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89C53">
      <w:pPr>
        <w:adjustRightInd w:val="0"/>
        <w:snapToGrid w:val="0"/>
        <w:spacing w:line="460" w:lineRule="atLeast"/>
        <w:jc w:val="center"/>
        <w:rPr>
          <w:rFonts w:hint="default" w:ascii="Times New Roman" w:hAnsi="Times New Roman" w:eastAsia="宋体" w:cs="Times New Roman"/>
          <w:color w:val="auto"/>
          <w:sz w:val="42"/>
          <w:szCs w:val="42"/>
        </w:rPr>
      </w:pPr>
    </w:p>
    <w:p w14:paraId="286C1741">
      <w:pPr>
        <w:adjustRightInd w:val="0"/>
        <w:snapToGrid w:val="0"/>
        <w:jc w:val="center"/>
        <w:rPr>
          <w:rFonts w:hint="default" w:ascii="Times New Roman" w:hAnsi="Times New Roman" w:eastAsia="宋体" w:cs="Times New Roman"/>
          <w:color w:val="auto"/>
          <w:sz w:val="52"/>
          <w:szCs w:val="52"/>
        </w:rPr>
      </w:pPr>
    </w:p>
    <w:p w14:paraId="39E8CC03">
      <w:pPr>
        <w:adjustRightInd w:val="0"/>
        <w:snapToGrid w:val="0"/>
        <w:jc w:val="center"/>
        <w:rPr>
          <w:rFonts w:hint="default" w:ascii="Times New Roman" w:hAnsi="Times New Roman" w:eastAsia="宋体" w:cs="Times New Roman"/>
          <w:color w:val="auto"/>
          <w:sz w:val="52"/>
          <w:szCs w:val="52"/>
        </w:rPr>
      </w:pPr>
    </w:p>
    <w:p w14:paraId="5FC25273">
      <w:pPr>
        <w:adjustRightInd w:val="0"/>
        <w:snapToGrid w:val="0"/>
        <w:spacing w:line="276" w:lineRule="auto"/>
        <w:jc w:val="center"/>
        <w:rPr>
          <w:rFonts w:hint="default" w:ascii="Times New Roman" w:hAnsi="Times New Roman" w:eastAsia="宋体" w:cs="Times New Roman"/>
          <w:color w:val="auto"/>
          <w:sz w:val="72"/>
          <w:szCs w:val="72"/>
        </w:rPr>
      </w:pPr>
      <w:r>
        <w:rPr>
          <w:rFonts w:hint="default" w:ascii="Times New Roman" w:hAnsi="Times New Roman" w:eastAsia="宋体" w:cs="Times New Roman"/>
          <w:color w:val="auto"/>
          <w:sz w:val="72"/>
          <w:szCs w:val="72"/>
        </w:rPr>
        <w:t>铁新线集输管道涉金钗湖水库建设迁改工程</w:t>
      </w:r>
    </w:p>
    <w:p w14:paraId="5DA8889F">
      <w:pPr>
        <w:adjustRightInd w:val="0"/>
        <w:snapToGrid w:val="0"/>
        <w:spacing w:line="276" w:lineRule="auto"/>
        <w:jc w:val="center"/>
        <w:rPr>
          <w:rFonts w:hint="default" w:ascii="Times New Roman" w:hAnsi="Times New Roman" w:eastAsia="宋体" w:cs="Times New Roman"/>
          <w:color w:val="auto"/>
          <w:sz w:val="72"/>
          <w:szCs w:val="72"/>
        </w:rPr>
      </w:pPr>
    </w:p>
    <w:p w14:paraId="2E5D2E08">
      <w:pPr>
        <w:adjustRightInd w:val="0"/>
        <w:snapToGrid w:val="0"/>
        <w:spacing w:line="276" w:lineRule="auto"/>
        <w:jc w:val="center"/>
        <w:rPr>
          <w:rFonts w:hint="default" w:ascii="Times New Roman" w:hAnsi="Times New Roman" w:eastAsia="宋体" w:cs="Times New Roman"/>
          <w:color w:val="auto"/>
          <w:sz w:val="72"/>
          <w:szCs w:val="72"/>
        </w:rPr>
      </w:pPr>
      <w:r>
        <w:rPr>
          <w:rFonts w:hint="default" w:ascii="Times New Roman" w:hAnsi="Times New Roman" w:eastAsia="宋体" w:cs="Times New Roman"/>
          <w:color w:val="auto"/>
          <w:sz w:val="72"/>
          <w:szCs w:val="72"/>
        </w:rPr>
        <w:t>环境影响报告书</w:t>
      </w:r>
    </w:p>
    <w:p w14:paraId="1C58ECA5">
      <w:pPr>
        <w:ind w:firstLine="520"/>
        <w:rPr>
          <w:rFonts w:hint="default" w:ascii="Times New Roman" w:hAnsi="Times New Roman" w:eastAsia="宋体" w:cs="Times New Roman"/>
          <w:color w:val="auto"/>
        </w:rPr>
      </w:pPr>
    </w:p>
    <w:p w14:paraId="14932BE3">
      <w:pPr>
        <w:adjustRightInd w:val="0"/>
        <w:snapToGrid w:val="0"/>
        <w:spacing w:line="460" w:lineRule="atLeast"/>
        <w:jc w:val="center"/>
        <w:rPr>
          <w:rFonts w:hint="default" w:ascii="Times New Roman" w:hAnsi="Times New Roman" w:eastAsia="宋体" w:cs="Times New Roman"/>
          <w:b/>
          <w:bCs/>
          <w:color w:val="auto"/>
          <w:sz w:val="72"/>
          <w:szCs w:val="48"/>
        </w:rPr>
      </w:pPr>
      <w:r>
        <w:rPr>
          <w:rFonts w:hint="default" w:ascii="Times New Roman" w:hAnsi="Times New Roman" w:eastAsia="宋体" w:cs="Times New Roman"/>
          <w:color w:val="auto"/>
          <w:sz w:val="52"/>
          <w:szCs w:val="48"/>
        </w:rPr>
        <w:t>（</w:t>
      </w:r>
      <w:r>
        <w:rPr>
          <w:rFonts w:hint="eastAsia" w:ascii="Times New Roman" w:hAnsi="Times New Roman" w:cs="Times New Roman"/>
          <w:color w:val="auto"/>
          <w:sz w:val="52"/>
          <w:szCs w:val="48"/>
          <w:lang w:val="en-US" w:eastAsia="zh-CN"/>
        </w:rPr>
        <w:t>公示本</w:t>
      </w:r>
      <w:r>
        <w:rPr>
          <w:rFonts w:hint="default" w:ascii="Times New Roman" w:hAnsi="Times New Roman" w:eastAsia="宋体" w:cs="Times New Roman"/>
          <w:color w:val="auto"/>
          <w:sz w:val="52"/>
          <w:szCs w:val="48"/>
        </w:rPr>
        <w:t>）</w:t>
      </w:r>
    </w:p>
    <w:p w14:paraId="3B8A481B">
      <w:pPr>
        <w:adjustRightInd w:val="0"/>
        <w:snapToGrid w:val="0"/>
        <w:spacing w:line="460" w:lineRule="atLeast"/>
        <w:ind w:firstLine="560"/>
        <w:rPr>
          <w:rFonts w:hint="default" w:ascii="Times New Roman" w:hAnsi="Times New Roman" w:eastAsia="宋体" w:cs="Times New Roman"/>
          <w:color w:val="auto"/>
          <w:sz w:val="28"/>
        </w:rPr>
      </w:pPr>
    </w:p>
    <w:p w14:paraId="15C9EFB7">
      <w:pPr>
        <w:adjustRightInd w:val="0"/>
        <w:snapToGrid w:val="0"/>
        <w:spacing w:line="460" w:lineRule="atLeast"/>
        <w:ind w:firstLine="560"/>
        <w:rPr>
          <w:rFonts w:hint="default" w:ascii="Times New Roman" w:hAnsi="Times New Roman" w:eastAsia="宋体" w:cs="Times New Roman"/>
          <w:color w:val="auto"/>
          <w:sz w:val="28"/>
        </w:rPr>
      </w:pPr>
    </w:p>
    <w:p w14:paraId="18382C57">
      <w:pPr>
        <w:adjustRightInd w:val="0"/>
        <w:snapToGrid w:val="0"/>
        <w:spacing w:line="460" w:lineRule="atLeast"/>
        <w:ind w:firstLine="560"/>
        <w:rPr>
          <w:rFonts w:hint="default" w:ascii="Times New Roman" w:hAnsi="Times New Roman" w:eastAsia="宋体" w:cs="Times New Roman"/>
          <w:color w:val="auto"/>
          <w:sz w:val="28"/>
        </w:rPr>
      </w:pPr>
    </w:p>
    <w:p w14:paraId="67B1C275">
      <w:pPr>
        <w:adjustRightInd w:val="0"/>
        <w:snapToGrid w:val="0"/>
        <w:spacing w:line="460" w:lineRule="atLeast"/>
        <w:ind w:firstLine="560"/>
        <w:rPr>
          <w:rFonts w:hint="default" w:ascii="Times New Roman" w:hAnsi="Times New Roman" w:eastAsia="宋体" w:cs="Times New Roman"/>
          <w:color w:val="auto"/>
          <w:sz w:val="28"/>
        </w:rPr>
      </w:pPr>
    </w:p>
    <w:p w14:paraId="3EEA9884">
      <w:pPr>
        <w:adjustRightInd w:val="0"/>
        <w:snapToGrid w:val="0"/>
        <w:spacing w:line="460" w:lineRule="atLeast"/>
        <w:ind w:firstLine="560"/>
        <w:rPr>
          <w:rFonts w:hint="default" w:ascii="Times New Roman" w:hAnsi="Times New Roman" w:eastAsia="宋体" w:cs="Times New Roman"/>
          <w:color w:val="auto"/>
          <w:sz w:val="28"/>
        </w:rPr>
      </w:pPr>
    </w:p>
    <w:p w14:paraId="1751DE92">
      <w:pPr>
        <w:adjustRightInd w:val="0"/>
        <w:snapToGrid w:val="0"/>
        <w:spacing w:line="460" w:lineRule="atLeast"/>
        <w:ind w:firstLine="560"/>
        <w:rPr>
          <w:rFonts w:hint="default" w:ascii="Times New Roman" w:hAnsi="Times New Roman" w:eastAsia="宋体" w:cs="Times New Roman"/>
          <w:color w:val="auto"/>
          <w:sz w:val="28"/>
        </w:rPr>
      </w:pPr>
    </w:p>
    <w:p w14:paraId="3FA02B28">
      <w:pPr>
        <w:adjustRightInd w:val="0"/>
        <w:snapToGrid w:val="0"/>
        <w:spacing w:line="460" w:lineRule="atLeast"/>
        <w:ind w:firstLine="560"/>
        <w:rPr>
          <w:rFonts w:hint="default" w:ascii="Times New Roman" w:hAnsi="Times New Roman" w:eastAsia="宋体" w:cs="Times New Roman"/>
          <w:color w:val="auto"/>
          <w:sz w:val="28"/>
        </w:rPr>
      </w:pPr>
    </w:p>
    <w:p w14:paraId="640FA17A">
      <w:pPr>
        <w:adjustRightInd w:val="0"/>
        <w:snapToGrid w:val="0"/>
        <w:spacing w:line="460" w:lineRule="atLeast"/>
        <w:ind w:firstLine="560"/>
        <w:rPr>
          <w:rFonts w:hint="default" w:ascii="Times New Roman" w:hAnsi="Times New Roman" w:eastAsia="宋体" w:cs="Times New Roman"/>
          <w:color w:val="auto"/>
          <w:sz w:val="28"/>
        </w:rPr>
      </w:pPr>
    </w:p>
    <w:p w14:paraId="5705C7A3">
      <w:pPr>
        <w:adjustRightInd w:val="0"/>
        <w:snapToGrid w:val="0"/>
        <w:spacing w:line="460" w:lineRule="atLeast"/>
        <w:ind w:firstLine="560"/>
        <w:rPr>
          <w:rFonts w:hint="default" w:ascii="Times New Roman" w:hAnsi="Times New Roman" w:eastAsia="宋体" w:cs="Times New Roman"/>
          <w:color w:val="auto"/>
          <w:sz w:val="28"/>
        </w:rPr>
      </w:pPr>
    </w:p>
    <w:p w14:paraId="63CF05B6">
      <w:pPr>
        <w:adjustRightInd w:val="0"/>
        <w:snapToGrid w:val="0"/>
        <w:spacing w:line="460" w:lineRule="atLeast"/>
        <w:ind w:firstLine="560"/>
        <w:rPr>
          <w:rFonts w:hint="default" w:ascii="Times New Roman" w:hAnsi="Times New Roman" w:eastAsia="宋体" w:cs="Times New Roman"/>
          <w:color w:val="auto"/>
          <w:sz w:val="28"/>
        </w:rPr>
      </w:pPr>
    </w:p>
    <w:p w14:paraId="24E0E1D1">
      <w:pPr>
        <w:adjustRightInd w:val="0"/>
        <w:snapToGrid w:val="0"/>
        <w:spacing w:line="460" w:lineRule="atLeast"/>
        <w:ind w:firstLine="560"/>
        <w:rPr>
          <w:rFonts w:hint="default" w:ascii="Times New Roman" w:hAnsi="Times New Roman" w:eastAsia="宋体" w:cs="Times New Roman"/>
          <w:color w:val="auto"/>
          <w:sz w:val="28"/>
        </w:rPr>
      </w:pPr>
    </w:p>
    <w:p w14:paraId="5642FCDF">
      <w:pPr>
        <w:spacing w:line="500" w:lineRule="exact"/>
        <w:ind w:left="2080" w:leftChars="200" w:hanging="1600" w:hangingChars="500"/>
        <w:rPr>
          <w:rFonts w:hint="default" w:ascii="Times New Roman" w:hAnsi="Times New Roman" w:eastAsia="宋体" w:cs="Times New Roman"/>
          <w:color w:val="auto"/>
          <w:spacing w:val="36"/>
          <w:sz w:val="32"/>
          <w:szCs w:val="32"/>
          <w:lang w:eastAsia="zh-CN"/>
        </w:rPr>
      </w:pPr>
      <w:r>
        <w:rPr>
          <w:rFonts w:hint="default" w:ascii="Times New Roman" w:hAnsi="Times New Roman" w:eastAsia="宋体" w:cs="Times New Roman"/>
          <w:color w:val="auto"/>
          <w:sz w:val="32"/>
          <w:szCs w:val="32"/>
        </w:rPr>
        <w:t>建设单位：</w:t>
      </w:r>
      <w:r>
        <w:rPr>
          <w:rFonts w:hint="default" w:ascii="Times New Roman" w:hAnsi="Times New Roman" w:eastAsia="宋体" w:cs="Times New Roman"/>
          <w:color w:val="auto"/>
          <w:spacing w:val="36"/>
          <w:sz w:val="32"/>
          <w:szCs w:val="32"/>
          <w:lang w:eastAsia="zh-CN"/>
        </w:rPr>
        <w:t>重庆市綦江区水利水电工程建设服务站</w:t>
      </w:r>
    </w:p>
    <w:p w14:paraId="0196FA84">
      <w:pPr>
        <w:spacing w:line="500" w:lineRule="exact"/>
        <w:ind w:left="2080" w:leftChars="200" w:hanging="1600" w:hangingChars="500"/>
        <w:rPr>
          <w:rFonts w:hint="default" w:ascii="Times New Roman" w:hAnsi="Times New Roman" w:eastAsia="宋体" w:cs="Times New Roman"/>
          <w:color w:val="auto"/>
          <w:spacing w:val="36"/>
          <w:sz w:val="32"/>
          <w:szCs w:val="32"/>
          <w:lang w:eastAsia="zh-CN"/>
        </w:rPr>
      </w:pPr>
      <w:r>
        <w:rPr>
          <w:rFonts w:hint="default" w:ascii="Times New Roman" w:hAnsi="Times New Roman" w:eastAsia="宋体" w:cs="Times New Roman"/>
          <w:color w:val="auto"/>
          <w:sz w:val="32"/>
          <w:szCs w:val="32"/>
        </w:rPr>
        <w:t>编制单位：</w:t>
      </w:r>
      <w:r>
        <w:rPr>
          <w:rFonts w:hint="default" w:ascii="Times New Roman" w:hAnsi="Times New Roman" w:eastAsia="宋体" w:cs="Times New Roman"/>
          <w:color w:val="auto"/>
          <w:sz w:val="32"/>
          <w:szCs w:val="32"/>
          <w:lang w:eastAsia="zh-CN"/>
        </w:rPr>
        <w:t>中煤科工重庆设计研究院（集团）有限公司</w:t>
      </w:r>
    </w:p>
    <w:p w14:paraId="71D6C0E0">
      <w:pPr>
        <w:jc w:val="center"/>
        <w:rPr>
          <w:rFonts w:hint="default" w:ascii="Times New Roman" w:hAnsi="Times New Roman" w:eastAsia="宋体" w:cs="Times New Roman"/>
          <w:color w:val="auto"/>
          <w:sz w:val="32"/>
          <w:szCs w:val="32"/>
        </w:rPr>
        <w:sectPr>
          <w:footerReference r:id="rId3" w:type="default"/>
          <w:pgSz w:w="11906" w:h="16838"/>
          <w:pgMar w:top="1418" w:right="1588" w:bottom="1418" w:left="1588" w:header="851" w:footer="992"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color w:val="auto"/>
          <w:sz w:val="32"/>
          <w:szCs w:val="32"/>
        </w:rPr>
        <w:t>二〇二</w:t>
      </w:r>
      <w:r>
        <w:rPr>
          <w:rFonts w:hint="default" w:ascii="Times New Roman" w:hAnsi="Times New Roman" w:eastAsia="宋体" w:cs="Times New Roman"/>
          <w:color w:val="auto"/>
          <w:sz w:val="32"/>
          <w:szCs w:val="32"/>
          <w:lang w:val="en-US" w:eastAsia="zh-CN"/>
        </w:rPr>
        <w:t>五</w:t>
      </w:r>
      <w:r>
        <w:rPr>
          <w:rFonts w:hint="default" w:ascii="Times New Roman" w:hAnsi="Times New Roman" w:eastAsia="宋体" w:cs="Times New Roman"/>
          <w:color w:val="auto"/>
          <w:sz w:val="32"/>
          <w:szCs w:val="32"/>
        </w:rPr>
        <w:t>年</w:t>
      </w:r>
      <w:r>
        <w:rPr>
          <w:rFonts w:hint="eastAsia" w:ascii="Times New Roman" w:hAnsi="Times New Roman" w:cs="Times New Roman"/>
          <w:color w:val="auto"/>
          <w:sz w:val="32"/>
          <w:szCs w:val="32"/>
          <w:lang w:val="en-US" w:eastAsia="zh-CN"/>
        </w:rPr>
        <w:t>十一</w:t>
      </w:r>
      <w:r>
        <w:rPr>
          <w:rFonts w:hint="default" w:ascii="Times New Roman" w:hAnsi="Times New Roman" w:eastAsia="宋体" w:cs="Times New Roman"/>
          <w:color w:val="auto"/>
          <w:sz w:val="32"/>
          <w:szCs w:val="32"/>
        </w:rPr>
        <w:t>月</w:t>
      </w:r>
    </w:p>
    <w:p w14:paraId="5C94D09D">
      <w:pPr>
        <w:jc w:val="center"/>
        <w:rPr>
          <w:rFonts w:hint="default" w:ascii="Times New Roman" w:hAnsi="Times New Roman" w:eastAsia="宋体" w:cs="Times New Roman"/>
          <w:b/>
          <w:color w:val="auto"/>
          <w:spacing w:val="-20"/>
          <w:sz w:val="52"/>
          <w:szCs w:val="52"/>
        </w:rPr>
      </w:pPr>
    </w:p>
    <w:p w14:paraId="3295CF41">
      <w:pPr>
        <w:adjustRightInd w:val="0"/>
        <w:snapToGrid w:val="0"/>
        <w:spacing w:after="240" w:afterLines="100" w:line="460" w:lineRule="exact"/>
        <w:jc w:val="center"/>
        <w:outlineLvl w:val="0"/>
        <w:rPr>
          <w:rFonts w:hint="default" w:ascii="Times New Roman" w:hAnsi="Times New Roman" w:eastAsia="宋体" w:cs="Times New Roman"/>
          <w:b/>
          <w:color w:val="auto"/>
          <w:sz w:val="32"/>
          <w:szCs w:val="32"/>
        </w:rPr>
      </w:pPr>
      <w:bookmarkStart w:id="0" w:name="_Toc60144151"/>
      <w:bookmarkStart w:id="1" w:name="_Toc26032"/>
      <w:bookmarkStart w:id="2" w:name="_Toc45551055"/>
      <w:bookmarkStart w:id="3" w:name="_Toc2034"/>
      <w:bookmarkStart w:id="4" w:name="_Toc60144369"/>
      <w:r>
        <w:rPr>
          <w:rFonts w:hint="default" w:ascii="Times New Roman" w:hAnsi="Times New Roman" w:eastAsia="宋体" w:cs="Times New Roman"/>
          <w:b/>
          <w:color w:val="auto"/>
          <w:sz w:val="32"/>
          <w:szCs w:val="32"/>
        </w:rPr>
        <w:t>目  录</w:t>
      </w:r>
      <w:bookmarkEnd w:id="0"/>
      <w:bookmarkEnd w:id="1"/>
      <w:bookmarkEnd w:id="2"/>
      <w:bookmarkEnd w:id="3"/>
      <w:bookmarkEnd w:id="4"/>
    </w:p>
    <w:p w14:paraId="1504F2CE">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bCs/>
          <w:color w:val="auto"/>
          <w:sz w:val="26"/>
          <w:szCs w:val="26"/>
        </w:rPr>
        <w:fldChar w:fldCharType="begin"/>
      </w:r>
      <w:r>
        <w:rPr>
          <w:rFonts w:hint="default" w:ascii="Times New Roman" w:hAnsi="Times New Roman" w:eastAsia="宋体" w:cs="Times New Roman"/>
          <w:bCs/>
          <w:color w:val="auto"/>
          <w:sz w:val="26"/>
          <w:szCs w:val="26"/>
        </w:rPr>
        <w:instrText xml:space="preserve"> TOC \o "1-2" \u </w:instrText>
      </w:r>
      <w:r>
        <w:rPr>
          <w:rFonts w:hint="default" w:ascii="Times New Roman" w:hAnsi="Times New Roman" w:eastAsia="宋体" w:cs="Times New Roman"/>
          <w:bCs/>
          <w:color w:val="auto"/>
          <w:sz w:val="26"/>
          <w:szCs w:val="26"/>
        </w:rPr>
        <w:fldChar w:fldCharType="separate"/>
      </w:r>
      <w:r>
        <w:rPr>
          <w:rFonts w:hint="default" w:ascii="Times New Roman" w:hAnsi="Times New Roman" w:eastAsia="宋体" w:cs="Times New Roman"/>
          <w:color w:val="auto"/>
          <w:szCs w:val="32"/>
        </w:rPr>
        <w:t>目  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_Toc2034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p>
    <w:p w14:paraId="03EA5228">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概  述</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_Toc6466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p>
    <w:p w14:paraId="63416FE4">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1 总  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_Toc44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p>
    <w:p w14:paraId="4F49F4CA">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 xml:space="preserve">1.1 </w:t>
      </w:r>
      <w:r>
        <w:rPr>
          <w:rFonts w:hint="default" w:ascii="Times New Roman" w:hAnsi="Times New Roman" w:eastAsia="宋体" w:cs="Times New Roman"/>
          <w:color w:val="auto"/>
          <w:szCs w:val="26"/>
          <w:lang w:val="en-US" w:eastAsia="zh-CN"/>
        </w:rPr>
        <w:t>编制目的</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_Toc9290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p>
    <w:p w14:paraId="574D7078">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1.2 编制依据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_Toc28937 \h </w:instrText>
      </w:r>
      <w:r>
        <w:rPr>
          <w:rFonts w:hint="default" w:ascii="Times New Roman" w:hAnsi="Times New Roman" w:eastAsia="宋体" w:cs="Times New Roman"/>
        </w:rPr>
        <w:fldChar w:fldCharType="separate"/>
      </w:r>
      <w:r>
        <w:rPr>
          <w:rFonts w:hint="default" w:ascii="Times New Roman" w:hAnsi="Times New Roman" w:eastAsia="宋体" w:cs="Times New Roman"/>
        </w:rPr>
        <w:t>7</w:t>
      </w:r>
      <w:r>
        <w:rPr>
          <w:rFonts w:hint="default" w:ascii="Times New Roman" w:hAnsi="Times New Roman" w:eastAsia="宋体" w:cs="Times New Roman"/>
        </w:rPr>
        <w:fldChar w:fldCharType="end"/>
      </w:r>
    </w:p>
    <w:p w14:paraId="58E95D75">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1.3 选线环境可行性</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_Toc21621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rPr>
        <w:fldChar w:fldCharType="end"/>
      </w:r>
    </w:p>
    <w:p w14:paraId="6AB6BF09">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1.4 评价思路及评价重点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_Toc11886 \h </w:instrText>
      </w:r>
      <w:r>
        <w:rPr>
          <w:rFonts w:hint="default" w:ascii="Times New Roman" w:hAnsi="Times New Roman" w:eastAsia="宋体" w:cs="Times New Roman"/>
        </w:rPr>
        <w:fldChar w:fldCharType="separate"/>
      </w:r>
      <w:r>
        <w:rPr>
          <w:rFonts w:hint="default" w:ascii="Times New Roman" w:hAnsi="Times New Roman" w:eastAsia="宋体" w:cs="Times New Roman"/>
        </w:rPr>
        <w:t>32</w:t>
      </w:r>
      <w:r>
        <w:rPr>
          <w:rFonts w:hint="default" w:ascii="Times New Roman" w:hAnsi="Times New Roman" w:eastAsia="宋体" w:cs="Times New Roman"/>
        </w:rPr>
        <w:fldChar w:fldCharType="end"/>
      </w:r>
    </w:p>
    <w:p w14:paraId="7A647BC8">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1.5 环境影响识别和评价因子筛选</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_Toc12349 \h </w:instrText>
      </w:r>
      <w:r>
        <w:rPr>
          <w:rFonts w:hint="default" w:ascii="Times New Roman" w:hAnsi="Times New Roman" w:eastAsia="宋体" w:cs="Times New Roman"/>
        </w:rPr>
        <w:fldChar w:fldCharType="separate"/>
      </w:r>
      <w:r>
        <w:rPr>
          <w:rFonts w:hint="default" w:ascii="Times New Roman" w:hAnsi="Times New Roman" w:eastAsia="宋体" w:cs="Times New Roman"/>
        </w:rPr>
        <w:t>32</w:t>
      </w:r>
      <w:r>
        <w:rPr>
          <w:rFonts w:hint="default" w:ascii="Times New Roman" w:hAnsi="Times New Roman" w:eastAsia="宋体" w:cs="Times New Roman"/>
        </w:rPr>
        <w:fldChar w:fldCharType="end"/>
      </w:r>
    </w:p>
    <w:p w14:paraId="47C3E310">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1.6 环境功能区划</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_Toc26189 \h </w:instrText>
      </w:r>
      <w:r>
        <w:rPr>
          <w:rFonts w:hint="default" w:ascii="Times New Roman" w:hAnsi="Times New Roman" w:eastAsia="宋体" w:cs="Times New Roman"/>
        </w:rPr>
        <w:fldChar w:fldCharType="separate"/>
      </w:r>
      <w:r>
        <w:rPr>
          <w:rFonts w:hint="default" w:ascii="Times New Roman" w:hAnsi="Times New Roman" w:eastAsia="宋体" w:cs="Times New Roman"/>
        </w:rPr>
        <w:t>36</w:t>
      </w:r>
      <w:r>
        <w:rPr>
          <w:rFonts w:hint="default" w:ascii="Times New Roman" w:hAnsi="Times New Roman" w:eastAsia="宋体" w:cs="Times New Roman"/>
        </w:rPr>
        <w:fldChar w:fldCharType="end"/>
      </w:r>
    </w:p>
    <w:p w14:paraId="7D2022A8">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1.7 评价标准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_Toc4497 \h </w:instrText>
      </w:r>
      <w:r>
        <w:rPr>
          <w:rFonts w:hint="default" w:ascii="Times New Roman" w:hAnsi="Times New Roman" w:eastAsia="宋体" w:cs="Times New Roman"/>
        </w:rPr>
        <w:fldChar w:fldCharType="separate"/>
      </w:r>
      <w:r>
        <w:rPr>
          <w:rFonts w:hint="default" w:ascii="Times New Roman" w:hAnsi="Times New Roman" w:eastAsia="宋体" w:cs="Times New Roman"/>
        </w:rPr>
        <w:t>37</w:t>
      </w:r>
      <w:r>
        <w:rPr>
          <w:rFonts w:hint="default" w:ascii="Times New Roman" w:hAnsi="Times New Roman" w:eastAsia="宋体" w:cs="Times New Roman"/>
        </w:rPr>
        <w:fldChar w:fldCharType="end"/>
      </w:r>
    </w:p>
    <w:p w14:paraId="2563707A">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1.8 评价等级</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_Toc26525 \h </w:instrText>
      </w:r>
      <w:r>
        <w:rPr>
          <w:rFonts w:hint="default" w:ascii="Times New Roman" w:hAnsi="Times New Roman" w:eastAsia="宋体" w:cs="Times New Roman"/>
        </w:rPr>
        <w:fldChar w:fldCharType="separate"/>
      </w:r>
      <w:r>
        <w:rPr>
          <w:rFonts w:hint="default" w:ascii="Times New Roman" w:hAnsi="Times New Roman" w:eastAsia="宋体" w:cs="Times New Roman"/>
        </w:rPr>
        <w:t>39</w:t>
      </w:r>
      <w:r>
        <w:rPr>
          <w:rFonts w:hint="default" w:ascii="Times New Roman" w:hAnsi="Times New Roman" w:eastAsia="宋体" w:cs="Times New Roman"/>
        </w:rPr>
        <w:fldChar w:fldCharType="end"/>
      </w:r>
    </w:p>
    <w:p w14:paraId="74CEC68A">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1.9 评价范围</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_Toc23903 \h </w:instrText>
      </w:r>
      <w:r>
        <w:rPr>
          <w:rFonts w:hint="default" w:ascii="Times New Roman" w:hAnsi="Times New Roman" w:eastAsia="宋体" w:cs="Times New Roman"/>
        </w:rPr>
        <w:fldChar w:fldCharType="separate"/>
      </w:r>
      <w:r>
        <w:rPr>
          <w:rFonts w:hint="default" w:ascii="Times New Roman" w:hAnsi="Times New Roman" w:eastAsia="宋体" w:cs="Times New Roman"/>
        </w:rPr>
        <w:t>42</w:t>
      </w:r>
      <w:r>
        <w:rPr>
          <w:rFonts w:hint="default" w:ascii="Times New Roman" w:hAnsi="Times New Roman" w:eastAsia="宋体" w:cs="Times New Roman"/>
        </w:rPr>
        <w:fldChar w:fldCharType="end"/>
      </w:r>
    </w:p>
    <w:p w14:paraId="4DF5CD56">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1.10 环境保护目标</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_Toc22042 \h </w:instrText>
      </w:r>
      <w:r>
        <w:rPr>
          <w:rFonts w:hint="default" w:ascii="Times New Roman" w:hAnsi="Times New Roman" w:eastAsia="宋体" w:cs="Times New Roman"/>
        </w:rPr>
        <w:fldChar w:fldCharType="separate"/>
      </w:r>
      <w:r>
        <w:rPr>
          <w:rFonts w:hint="default" w:ascii="Times New Roman" w:hAnsi="Times New Roman" w:eastAsia="宋体" w:cs="Times New Roman"/>
        </w:rPr>
        <w:t>42</w:t>
      </w:r>
      <w:r>
        <w:rPr>
          <w:rFonts w:hint="default" w:ascii="Times New Roman" w:hAnsi="Times New Roman" w:eastAsia="宋体" w:cs="Times New Roman"/>
        </w:rPr>
        <w:fldChar w:fldCharType="end"/>
      </w:r>
    </w:p>
    <w:p w14:paraId="378779C6">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2 工程概况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_Toc22739 \h </w:instrText>
      </w:r>
      <w:r>
        <w:rPr>
          <w:rFonts w:hint="default" w:ascii="Times New Roman" w:hAnsi="Times New Roman" w:eastAsia="宋体" w:cs="Times New Roman"/>
        </w:rPr>
        <w:fldChar w:fldCharType="separate"/>
      </w:r>
      <w:r>
        <w:rPr>
          <w:rFonts w:hint="default" w:ascii="Times New Roman" w:hAnsi="Times New Roman" w:eastAsia="宋体" w:cs="Times New Roman"/>
        </w:rPr>
        <w:t>45</w:t>
      </w:r>
      <w:r>
        <w:rPr>
          <w:rFonts w:hint="default" w:ascii="Times New Roman" w:hAnsi="Times New Roman" w:eastAsia="宋体" w:cs="Times New Roman"/>
        </w:rPr>
        <w:fldChar w:fldCharType="end"/>
      </w:r>
    </w:p>
    <w:p w14:paraId="027EB2B3">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2.</w:t>
      </w:r>
      <w:r>
        <w:rPr>
          <w:rFonts w:hint="default" w:ascii="Times New Roman" w:hAnsi="Times New Roman" w:eastAsia="宋体" w:cs="Times New Roman"/>
          <w:color w:val="auto"/>
          <w:szCs w:val="26"/>
          <w:lang w:val="en-US" w:eastAsia="zh-CN"/>
        </w:rPr>
        <w:t>1</w:t>
      </w:r>
      <w:r>
        <w:rPr>
          <w:rFonts w:hint="default" w:ascii="Times New Roman" w:hAnsi="Times New Roman" w:eastAsia="宋体" w:cs="Times New Roman"/>
          <w:color w:val="auto"/>
          <w:szCs w:val="26"/>
        </w:rPr>
        <w:t>现有工程</w:t>
      </w:r>
      <w:r>
        <w:rPr>
          <w:rFonts w:hint="default" w:ascii="Times New Roman" w:hAnsi="Times New Roman" w:eastAsia="宋体" w:cs="Times New Roman"/>
          <w:color w:val="auto"/>
          <w:szCs w:val="26"/>
          <w:lang w:val="en-US" w:eastAsia="zh-CN"/>
        </w:rPr>
        <w:t>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_Toc22811 \h </w:instrText>
      </w:r>
      <w:r>
        <w:rPr>
          <w:rFonts w:hint="default" w:ascii="Times New Roman" w:hAnsi="Times New Roman" w:eastAsia="宋体" w:cs="Times New Roman"/>
        </w:rPr>
        <w:fldChar w:fldCharType="separate"/>
      </w:r>
      <w:r>
        <w:rPr>
          <w:rFonts w:hint="default" w:ascii="Times New Roman" w:hAnsi="Times New Roman" w:eastAsia="宋体" w:cs="Times New Roman"/>
        </w:rPr>
        <w:t>45</w:t>
      </w:r>
      <w:r>
        <w:rPr>
          <w:rFonts w:hint="default" w:ascii="Times New Roman" w:hAnsi="Times New Roman" w:eastAsia="宋体" w:cs="Times New Roman"/>
        </w:rPr>
        <w:fldChar w:fldCharType="end"/>
      </w:r>
    </w:p>
    <w:p w14:paraId="6C2E4144">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2.</w:t>
      </w:r>
      <w:r>
        <w:rPr>
          <w:rFonts w:hint="default" w:ascii="Times New Roman" w:hAnsi="Times New Roman" w:eastAsia="宋体" w:cs="Times New Roman"/>
          <w:color w:val="auto"/>
          <w:szCs w:val="26"/>
          <w:lang w:val="en-US" w:eastAsia="zh-CN"/>
        </w:rPr>
        <w:t>2拟建</w:t>
      </w:r>
      <w:r>
        <w:rPr>
          <w:rFonts w:hint="default" w:ascii="Times New Roman" w:hAnsi="Times New Roman" w:eastAsia="宋体" w:cs="Times New Roman"/>
          <w:color w:val="auto"/>
          <w:szCs w:val="26"/>
        </w:rPr>
        <w:t>项目基本情况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_Toc4443 \h </w:instrText>
      </w:r>
      <w:r>
        <w:rPr>
          <w:rFonts w:hint="default" w:ascii="Times New Roman" w:hAnsi="Times New Roman" w:eastAsia="宋体" w:cs="Times New Roman"/>
        </w:rPr>
        <w:fldChar w:fldCharType="separate"/>
      </w:r>
      <w:r>
        <w:rPr>
          <w:rFonts w:hint="default" w:ascii="Times New Roman" w:hAnsi="Times New Roman" w:eastAsia="宋体" w:cs="Times New Roman"/>
        </w:rPr>
        <w:t>46</w:t>
      </w:r>
      <w:r>
        <w:rPr>
          <w:rFonts w:hint="default" w:ascii="Times New Roman" w:hAnsi="Times New Roman" w:eastAsia="宋体" w:cs="Times New Roman"/>
        </w:rPr>
        <w:fldChar w:fldCharType="end"/>
      </w:r>
    </w:p>
    <w:p w14:paraId="18F69087">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2.</w:t>
      </w:r>
      <w:r>
        <w:rPr>
          <w:rFonts w:hint="default" w:ascii="Times New Roman" w:hAnsi="Times New Roman" w:eastAsia="宋体" w:cs="Times New Roman"/>
          <w:color w:val="auto"/>
          <w:szCs w:val="26"/>
          <w:lang w:val="en-US" w:eastAsia="zh-CN"/>
        </w:rPr>
        <w:t>3</w:t>
      </w:r>
      <w:r>
        <w:rPr>
          <w:rFonts w:hint="default" w:ascii="Times New Roman" w:hAnsi="Times New Roman" w:eastAsia="宋体" w:cs="Times New Roman"/>
          <w:color w:val="auto"/>
          <w:szCs w:val="26"/>
        </w:rPr>
        <w:t>线路工程</w:t>
      </w:r>
      <w:r>
        <w:rPr>
          <w:rFonts w:hint="default" w:ascii="Times New Roman" w:hAnsi="Times New Roman" w:eastAsia="宋体" w:cs="Times New Roman"/>
          <w:color w:val="auto"/>
          <w:szCs w:val="26"/>
          <w:lang w:val="en-US" w:eastAsia="zh-CN"/>
        </w:rPr>
        <w:t>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_Toc13800 \h </w:instrText>
      </w:r>
      <w:r>
        <w:rPr>
          <w:rFonts w:hint="default" w:ascii="Times New Roman" w:hAnsi="Times New Roman" w:eastAsia="宋体" w:cs="Times New Roman"/>
        </w:rPr>
        <w:fldChar w:fldCharType="separate"/>
      </w:r>
      <w:r>
        <w:rPr>
          <w:rFonts w:hint="default" w:ascii="Times New Roman" w:hAnsi="Times New Roman" w:eastAsia="宋体" w:cs="Times New Roman"/>
        </w:rPr>
        <w:t>50</w:t>
      </w:r>
      <w:r>
        <w:rPr>
          <w:rFonts w:hint="default" w:ascii="Times New Roman" w:hAnsi="Times New Roman" w:eastAsia="宋体" w:cs="Times New Roman"/>
        </w:rPr>
        <w:fldChar w:fldCharType="end"/>
      </w:r>
    </w:p>
    <w:p w14:paraId="4ED8C2FE">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2.</w:t>
      </w:r>
      <w:r>
        <w:rPr>
          <w:rFonts w:hint="default" w:ascii="Times New Roman" w:hAnsi="Times New Roman" w:eastAsia="宋体" w:cs="Times New Roman"/>
          <w:color w:val="auto"/>
          <w:szCs w:val="26"/>
          <w:lang w:val="en-US" w:eastAsia="zh-CN"/>
        </w:rPr>
        <w:t>4</w:t>
      </w:r>
      <w:r>
        <w:rPr>
          <w:rFonts w:hint="default" w:ascii="Times New Roman" w:hAnsi="Times New Roman" w:eastAsia="宋体" w:cs="Times New Roman"/>
          <w:color w:val="auto"/>
          <w:szCs w:val="26"/>
        </w:rPr>
        <w:t xml:space="preserve"> 配套工程及公用工程</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_Toc2795 \h </w:instrText>
      </w:r>
      <w:r>
        <w:rPr>
          <w:rFonts w:hint="default" w:ascii="Times New Roman" w:hAnsi="Times New Roman" w:eastAsia="宋体" w:cs="Times New Roman"/>
        </w:rPr>
        <w:fldChar w:fldCharType="separate"/>
      </w:r>
      <w:r>
        <w:rPr>
          <w:rFonts w:hint="default" w:ascii="Times New Roman" w:hAnsi="Times New Roman" w:eastAsia="宋体" w:cs="Times New Roman"/>
        </w:rPr>
        <w:t>62</w:t>
      </w:r>
      <w:r>
        <w:rPr>
          <w:rFonts w:hint="default" w:ascii="Times New Roman" w:hAnsi="Times New Roman" w:eastAsia="宋体" w:cs="Times New Roman"/>
        </w:rPr>
        <w:fldChar w:fldCharType="end"/>
      </w:r>
    </w:p>
    <w:p w14:paraId="7DEEE34A">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2.</w:t>
      </w:r>
      <w:r>
        <w:rPr>
          <w:rFonts w:hint="default" w:ascii="Times New Roman" w:hAnsi="Times New Roman" w:eastAsia="宋体" w:cs="Times New Roman"/>
          <w:color w:val="auto"/>
          <w:szCs w:val="26"/>
          <w:lang w:val="en-US" w:eastAsia="zh-CN"/>
        </w:rPr>
        <w:t>5</w:t>
      </w:r>
      <w:r>
        <w:rPr>
          <w:rFonts w:hint="default" w:ascii="Times New Roman" w:hAnsi="Times New Roman" w:eastAsia="宋体" w:cs="Times New Roman"/>
          <w:color w:val="auto"/>
          <w:szCs w:val="26"/>
        </w:rPr>
        <w:t xml:space="preserve"> 施工组织</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_Toc29438 \h </w:instrText>
      </w:r>
      <w:r>
        <w:rPr>
          <w:rFonts w:hint="default" w:ascii="Times New Roman" w:hAnsi="Times New Roman" w:eastAsia="宋体" w:cs="Times New Roman"/>
        </w:rPr>
        <w:fldChar w:fldCharType="separate"/>
      </w:r>
      <w:r>
        <w:rPr>
          <w:rFonts w:hint="default" w:ascii="Times New Roman" w:hAnsi="Times New Roman" w:eastAsia="宋体" w:cs="Times New Roman"/>
        </w:rPr>
        <w:t>63</w:t>
      </w:r>
      <w:r>
        <w:rPr>
          <w:rFonts w:hint="default" w:ascii="Times New Roman" w:hAnsi="Times New Roman" w:eastAsia="宋体" w:cs="Times New Roman"/>
        </w:rPr>
        <w:fldChar w:fldCharType="end"/>
      </w:r>
    </w:p>
    <w:p w14:paraId="0272C596">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2.</w:t>
      </w:r>
      <w:r>
        <w:rPr>
          <w:rFonts w:hint="default" w:ascii="Times New Roman" w:hAnsi="Times New Roman" w:eastAsia="宋体" w:cs="Times New Roman"/>
          <w:color w:val="auto"/>
          <w:szCs w:val="26"/>
          <w:lang w:val="en-US" w:eastAsia="zh-CN"/>
        </w:rPr>
        <w:t>6</w:t>
      </w:r>
      <w:r>
        <w:rPr>
          <w:rFonts w:hint="default" w:ascii="Times New Roman" w:hAnsi="Times New Roman" w:eastAsia="宋体" w:cs="Times New Roman"/>
          <w:color w:val="auto"/>
          <w:szCs w:val="26"/>
        </w:rPr>
        <w:t>占地及土石方平衡</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_Toc1311 \h </w:instrText>
      </w:r>
      <w:r>
        <w:rPr>
          <w:rFonts w:hint="default" w:ascii="Times New Roman" w:hAnsi="Times New Roman" w:eastAsia="宋体" w:cs="Times New Roman"/>
        </w:rPr>
        <w:fldChar w:fldCharType="separate"/>
      </w:r>
      <w:r>
        <w:rPr>
          <w:rFonts w:hint="default" w:ascii="Times New Roman" w:hAnsi="Times New Roman" w:eastAsia="宋体" w:cs="Times New Roman"/>
        </w:rPr>
        <w:t>64</w:t>
      </w:r>
      <w:r>
        <w:rPr>
          <w:rFonts w:hint="default" w:ascii="Times New Roman" w:hAnsi="Times New Roman" w:eastAsia="宋体" w:cs="Times New Roman"/>
        </w:rPr>
        <w:fldChar w:fldCharType="end"/>
      </w:r>
    </w:p>
    <w:p w14:paraId="18C424A7">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3工程分析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_Toc12442 \h </w:instrText>
      </w:r>
      <w:r>
        <w:rPr>
          <w:rFonts w:hint="default" w:ascii="Times New Roman" w:hAnsi="Times New Roman" w:eastAsia="宋体" w:cs="Times New Roman"/>
        </w:rPr>
        <w:fldChar w:fldCharType="separate"/>
      </w:r>
      <w:r>
        <w:rPr>
          <w:rFonts w:hint="default" w:ascii="Times New Roman" w:hAnsi="Times New Roman" w:eastAsia="宋体" w:cs="Times New Roman"/>
        </w:rPr>
        <w:t>66</w:t>
      </w:r>
      <w:r>
        <w:rPr>
          <w:rFonts w:hint="default" w:ascii="Times New Roman" w:hAnsi="Times New Roman" w:eastAsia="宋体" w:cs="Times New Roman"/>
        </w:rPr>
        <w:fldChar w:fldCharType="end"/>
      </w:r>
    </w:p>
    <w:p w14:paraId="73F24E8C">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3.1施工期环境影响因素分析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_Toc1473 \h </w:instrText>
      </w:r>
      <w:r>
        <w:rPr>
          <w:rFonts w:hint="default" w:ascii="Times New Roman" w:hAnsi="Times New Roman" w:eastAsia="宋体" w:cs="Times New Roman"/>
        </w:rPr>
        <w:fldChar w:fldCharType="separate"/>
      </w:r>
      <w:r>
        <w:rPr>
          <w:rFonts w:hint="default" w:ascii="Times New Roman" w:hAnsi="Times New Roman" w:eastAsia="宋体" w:cs="Times New Roman"/>
        </w:rPr>
        <w:t>66</w:t>
      </w:r>
      <w:r>
        <w:rPr>
          <w:rFonts w:hint="default" w:ascii="Times New Roman" w:hAnsi="Times New Roman" w:eastAsia="宋体" w:cs="Times New Roman"/>
        </w:rPr>
        <w:fldChar w:fldCharType="end"/>
      </w:r>
    </w:p>
    <w:p w14:paraId="1759651E">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3.2运营期环境影响因素分析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_Toc18423 \h </w:instrText>
      </w:r>
      <w:r>
        <w:rPr>
          <w:rFonts w:hint="default" w:ascii="Times New Roman" w:hAnsi="Times New Roman" w:eastAsia="宋体" w:cs="Times New Roman"/>
        </w:rPr>
        <w:fldChar w:fldCharType="separate"/>
      </w:r>
      <w:r>
        <w:rPr>
          <w:rFonts w:hint="default" w:ascii="Times New Roman" w:hAnsi="Times New Roman" w:eastAsia="宋体" w:cs="Times New Roman"/>
        </w:rPr>
        <w:t>74</w:t>
      </w:r>
      <w:r>
        <w:rPr>
          <w:rFonts w:hint="default" w:ascii="Times New Roman" w:hAnsi="Times New Roman" w:eastAsia="宋体" w:cs="Times New Roman"/>
        </w:rPr>
        <w:fldChar w:fldCharType="end"/>
      </w:r>
    </w:p>
    <w:p w14:paraId="2C4846F0">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4 区域环境概况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_Toc8967 \h </w:instrText>
      </w:r>
      <w:r>
        <w:rPr>
          <w:rFonts w:hint="default" w:ascii="Times New Roman" w:hAnsi="Times New Roman" w:eastAsia="宋体" w:cs="Times New Roman"/>
        </w:rPr>
        <w:fldChar w:fldCharType="separate"/>
      </w:r>
      <w:r>
        <w:rPr>
          <w:rFonts w:hint="default" w:ascii="Times New Roman" w:hAnsi="Times New Roman" w:eastAsia="宋体" w:cs="Times New Roman"/>
        </w:rPr>
        <w:t>75</w:t>
      </w:r>
      <w:r>
        <w:rPr>
          <w:rFonts w:hint="default" w:ascii="Times New Roman" w:hAnsi="Times New Roman" w:eastAsia="宋体" w:cs="Times New Roman"/>
        </w:rPr>
        <w:fldChar w:fldCharType="end"/>
      </w:r>
    </w:p>
    <w:p w14:paraId="62AC003B">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4.1自然环境概况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_Toc14511 \h </w:instrText>
      </w:r>
      <w:r>
        <w:rPr>
          <w:rFonts w:hint="default" w:ascii="Times New Roman" w:hAnsi="Times New Roman" w:eastAsia="宋体" w:cs="Times New Roman"/>
        </w:rPr>
        <w:fldChar w:fldCharType="separate"/>
      </w:r>
      <w:r>
        <w:rPr>
          <w:rFonts w:hint="default" w:ascii="Times New Roman" w:hAnsi="Times New Roman" w:eastAsia="宋体" w:cs="Times New Roman"/>
        </w:rPr>
        <w:t>75</w:t>
      </w:r>
      <w:r>
        <w:rPr>
          <w:rFonts w:hint="default" w:ascii="Times New Roman" w:hAnsi="Times New Roman" w:eastAsia="宋体" w:cs="Times New Roman"/>
        </w:rPr>
        <w:fldChar w:fldCharType="end"/>
      </w:r>
    </w:p>
    <w:p w14:paraId="48A132D5">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4.2环境质量现状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_Toc8027 \h </w:instrText>
      </w:r>
      <w:r>
        <w:rPr>
          <w:rFonts w:hint="default" w:ascii="Times New Roman" w:hAnsi="Times New Roman" w:eastAsia="宋体" w:cs="Times New Roman"/>
        </w:rPr>
        <w:fldChar w:fldCharType="separate"/>
      </w:r>
      <w:r>
        <w:rPr>
          <w:rFonts w:hint="default" w:ascii="Times New Roman" w:hAnsi="Times New Roman" w:eastAsia="宋体" w:cs="Times New Roman"/>
        </w:rPr>
        <w:t>79</w:t>
      </w:r>
      <w:r>
        <w:rPr>
          <w:rFonts w:hint="default" w:ascii="Times New Roman" w:hAnsi="Times New Roman" w:eastAsia="宋体" w:cs="Times New Roman"/>
        </w:rPr>
        <w:fldChar w:fldCharType="end"/>
      </w:r>
    </w:p>
    <w:p w14:paraId="20E29A8B">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4.3 生态环境现状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_Toc24539 \h </w:instrText>
      </w:r>
      <w:r>
        <w:rPr>
          <w:rFonts w:hint="default" w:ascii="Times New Roman" w:hAnsi="Times New Roman" w:eastAsia="宋体" w:cs="Times New Roman"/>
        </w:rPr>
        <w:fldChar w:fldCharType="separate"/>
      </w:r>
      <w:r>
        <w:rPr>
          <w:rFonts w:hint="default" w:ascii="Times New Roman" w:hAnsi="Times New Roman" w:eastAsia="宋体" w:cs="Times New Roman"/>
        </w:rPr>
        <w:t>84</w:t>
      </w:r>
      <w:r>
        <w:rPr>
          <w:rFonts w:hint="default" w:ascii="Times New Roman" w:hAnsi="Times New Roman" w:eastAsia="宋体" w:cs="Times New Roman"/>
        </w:rPr>
        <w:fldChar w:fldCharType="end"/>
      </w:r>
    </w:p>
    <w:p w14:paraId="6AF94496">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5施工期环境影响分析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_Toc16001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110</w:t>
      </w:r>
      <w:r>
        <w:rPr>
          <w:rFonts w:hint="default" w:ascii="Times New Roman" w:hAnsi="Times New Roman" w:eastAsia="宋体" w:cs="Times New Roman"/>
        </w:rPr>
        <w:fldChar w:fldCharType="end"/>
      </w:r>
    </w:p>
    <w:p w14:paraId="11F1128A">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5.</w:t>
      </w:r>
      <w:r>
        <w:rPr>
          <w:rFonts w:hint="default" w:ascii="Times New Roman" w:hAnsi="Times New Roman" w:eastAsia="宋体" w:cs="Times New Roman"/>
          <w:color w:val="auto"/>
          <w:szCs w:val="26"/>
          <w:lang w:val="en-US" w:eastAsia="zh-CN"/>
        </w:rPr>
        <w:t>1</w:t>
      </w:r>
      <w:r>
        <w:rPr>
          <w:rFonts w:hint="default" w:ascii="Times New Roman" w:hAnsi="Times New Roman" w:eastAsia="宋体" w:cs="Times New Roman"/>
          <w:color w:val="auto"/>
          <w:szCs w:val="26"/>
        </w:rPr>
        <w:t>环境空气影响分析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_Toc2318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110</w:t>
      </w:r>
      <w:r>
        <w:rPr>
          <w:rFonts w:hint="default" w:ascii="Times New Roman" w:hAnsi="Times New Roman" w:eastAsia="宋体" w:cs="Times New Roman"/>
        </w:rPr>
        <w:fldChar w:fldCharType="end"/>
      </w:r>
    </w:p>
    <w:p w14:paraId="799EEDA2">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5.</w:t>
      </w:r>
      <w:r>
        <w:rPr>
          <w:rFonts w:hint="default" w:ascii="Times New Roman" w:hAnsi="Times New Roman" w:eastAsia="宋体" w:cs="Times New Roman"/>
          <w:color w:val="auto"/>
          <w:szCs w:val="26"/>
          <w:lang w:val="en-US" w:eastAsia="zh-CN"/>
        </w:rPr>
        <w:t>2</w:t>
      </w:r>
      <w:r>
        <w:rPr>
          <w:rFonts w:hint="default" w:ascii="Times New Roman" w:hAnsi="Times New Roman" w:eastAsia="宋体" w:cs="Times New Roman"/>
          <w:color w:val="auto"/>
          <w:szCs w:val="26"/>
        </w:rPr>
        <w:t>地表水环境影响分析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_Toc24852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111</w:t>
      </w:r>
      <w:r>
        <w:rPr>
          <w:rFonts w:hint="default" w:ascii="Times New Roman" w:hAnsi="Times New Roman" w:eastAsia="宋体" w:cs="Times New Roman"/>
        </w:rPr>
        <w:fldChar w:fldCharType="end"/>
      </w:r>
    </w:p>
    <w:p w14:paraId="320920CE">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5.</w:t>
      </w:r>
      <w:r>
        <w:rPr>
          <w:rFonts w:hint="default" w:ascii="Times New Roman" w:hAnsi="Times New Roman" w:eastAsia="宋体" w:cs="Times New Roman"/>
          <w:color w:val="auto"/>
          <w:szCs w:val="26"/>
          <w:lang w:val="en-US" w:eastAsia="zh-CN"/>
        </w:rPr>
        <w:t>3</w:t>
      </w:r>
      <w:r>
        <w:rPr>
          <w:rFonts w:hint="default" w:ascii="Times New Roman" w:hAnsi="Times New Roman" w:eastAsia="宋体" w:cs="Times New Roman"/>
          <w:color w:val="auto"/>
          <w:szCs w:val="26"/>
        </w:rPr>
        <w:t>地下水环境影响分析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_Toc12396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113</w:t>
      </w:r>
      <w:r>
        <w:rPr>
          <w:rFonts w:hint="default" w:ascii="Times New Roman" w:hAnsi="Times New Roman" w:eastAsia="宋体" w:cs="Times New Roman"/>
        </w:rPr>
        <w:fldChar w:fldCharType="end"/>
      </w:r>
    </w:p>
    <w:p w14:paraId="73EA513D">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5.</w:t>
      </w:r>
      <w:r>
        <w:rPr>
          <w:rFonts w:hint="default" w:ascii="Times New Roman" w:hAnsi="Times New Roman" w:eastAsia="宋体" w:cs="Times New Roman"/>
          <w:color w:val="auto"/>
          <w:szCs w:val="26"/>
          <w:lang w:val="en-US" w:eastAsia="zh-CN"/>
        </w:rPr>
        <w:t>4</w:t>
      </w:r>
      <w:r>
        <w:rPr>
          <w:rFonts w:hint="default" w:ascii="Times New Roman" w:hAnsi="Times New Roman" w:eastAsia="宋体" w:cs="Times New Roman"/>
          <w:color w:val="auto"/>
          <w:szCs w:val="26"/>
        </w:rPr>
        <w:t>声环境影响分析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115</w:t>
      </w:r>
      <w:r>
        <w:rPr>
          <w:rFonts w:hint="default" w:ascii="Times New Roman" w:hAnsi="Times New Roman" w:eastAsia="宋体" w:cs="Times New Roman"/>
        </w:rPr>
        <w:fldChar w:fldCharType="end"/>
      </w:r>
    </w:p>
    <w:p w14:paraId="0A0C21E2">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5.5固体废物影响分析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_Toc17956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116</w:t>
      </w:r>
      <w:r>
        <w:rPr>
          <w:rFonts w:hint="default" w:ascii="Times New Roman" w:hAnsi="Times New Roman" w:eastAsia="宋体" w:cs="Times New Roman"/>
        </w:rPr>
        <w:fldChar w:fldCharType="end"/>
      </w:r>
    </w:p>
    <w:p w14:paraId="293C929F">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5.6生态环境影响分析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_Toc15543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116</w:t>
      </w:r>
      <w:r>
        <w:rPr>
          <w:rFonts w:hint="default" w:ascii="Times New Roman" w:hAnsi="Times New Roman" w:eastAsia="宋体" w:cs="Times New Roman"/>
        </w:rPr>
        <w:fldChar w:fldCharType="end"/>
      </w:r>
    </w:p>
    <w:p w14:paraId="617BF120">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6运营期环境影响分析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_Toc1818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126</w:t>
      </w:r>
      <w:r>
        <w:rPr>
          <w:rFonts w:hint="default" w:ascii="Times New Roman" w:hAnsi="Times New Roman" w:eastAsia="宋体" w:cs="Times New Roman"/>
        </w:rPr>
        <w:fldChar w:fldCharType="end"/>
      </w:r>
    </w:p>
    <w:p w14:paraId="6298888D">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6.</w:t>
      </w:r>
      <w:r>
        <w:rPr>
          <w:rFonts w:hint="default" w:ascii="Times New Roman" w:hAnsi="Times New Roman" w:eastAsia="宋体" w:cs="Times New Roman"/>
          <w:color w:val="auto"/>
          <w:szCs w:val="26"/>
          <w:lang w:val="en-US" w:eastAsia="zh-CN"/>
        </w:rPr>
        <w:t>1</w:t>
      </w:r>
      <w:r>
        <w:rPr>
          <w:rFonts w:hint="default" w:ascii="Times New Roman" w:hAnsi="Times New Roman" w:eastAsia="宋体" w:cs="Times New Roman"/>
          <w:color w:val="auto"/>
          <w:szCs w:val="26"/>
        </w:rPr>
        <w:t>环境空气影响分析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_Toc22862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126</w:t>
      </w:r>
      <w:r>
        <w:rPr>
          <w:rFonts w:hint="default" w:ascii="Times New Roman" w:hAnsi="Times New Roman" w:eastAsia="宋体" w:cs="Times New Roman"/>
        </w:rPr>
        <w:fldChar w:fldCharType="end"/>
      </w:r>
    </w:p>
    <w:p w14:paraId="75CF5293">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6.</w:t>
      </w:r>
      <w:r>
        <w:rPr>
          <w:rFonts w:hint="default" w:ascii="Times New Roman" w:hAnsi="Times New Roman" w:eastAsia="宋体" w:cs="Times New Roman"/>
          <w:color w:val="auto"/>
          <w:szCs w:val="26"/>
          <w:lang w:val="en-US" w:eastAsia="zh-CN"/>
        </w:rPr>
        <w:t>2</w:t>
      </w:r>
      <w:r>
        <w:rPr>
          <w:rFonts w:hint="default" w:ascii="Times New Roman" w:hAnsi="Times New Roman" w:eastAsia="宋体" w:cs="Times New Roman"/>
          <w:color w:val="auto"/>
          <w:szCs w:val="26"/>
        </w:rPr>
        <w:t>地表水环境影响分析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_Toc23430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126</w:t>
      </w:r>
      <w:r>
        <w:rPr>
          <w:rFonts w:hint="default" w:ascii="Times New Roman" w:hAnsi="Times New Roman" w:eastAsia="宋体" w:cs="Times New Roman"/>
        </w:rPr>
        <w:fldChar w:fldCharType="end"/>
      </w:r>
    </w:p>
    <w:p w14:paraId="3E928A22">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6.</w:t>
      </w:r>
      <w:r>
        <w:rPr>
          <w:rFonts w:hint="default" w:ascii="Times New Roman" w:hAnsi="Times New Roman" w:eastAsia="宋体" w:cs="Times New Roman"/>
          <w:color w:val="auto"/>
          <w:szCs w:val="26"/>
          <w:lang w:val="en-US" w:eastAsia="zh-CN"/>
        </w:rPr>
        <w:t>3</w:t>
      </w:r>
      <w:r>
        <w:rPr>
          <w:rFonts w:hint="default" w:ascii="Times New Roman" w:hAnsi="Times New Roman" w:eastAsia="宋体" w:cs="Times New Roman"/>
          <w:color w:val="auto"/>
          <w:szCs w:val="26"/>
        </w:rPr>
        <w:t>地下水环境影响分析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_Toc913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126</w:t>
      </w:r>
      <w:r>
        <w:rPr>
          <w:rFonts w:hint="default" w:ascii="Times New Roman" w:hAnsi="Times New Roman" w:eastAsia="宋体" w:cs="Times New Roman"/>
        </w:rPr>
        <w:fldChar w:fldCharType="end"/>
      </w:r>
    </w:p>
    <w:p w14:paraId="04DA3DAB">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6.4声环境影响分析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_Toc29642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127</w:t>
      </w:r>
      <w:r>
        <w:rPr>
          <w:rFonts w:hint="default" w:ascii="Times New Roman" w:hAnsi="Times New Roman" w:eastAsia="宋体" w:cs="Times New Roman"/>
        </w:rPr>
        <w:fldChar w:fldCharType="end"/>
      </w:r>
    </w:p>
    <w:p w14:paraId="63BEC023">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6.5固体废物影响分析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_Toc19651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127</w:t>
      </w:r>
      <w:r>
        <w:rPr>
          <w:rFonts w:hint="default" w:ascii="Times New Roman" w:hAnsi="Times New Roman" w:eastAsia="宋体" w:cs="Times New Roman"/>
        </w:rPr>
        <w:fldChar w:fldCharType="end"/>
      </w:r>
    </w:p>
    <w:p w14:paraId="469EAF7E">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6.6生态环境影响分析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_Toc23768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127</w:t>
      </w:r>
      <w:r>
        <w:rPr>
          <w:rFonts w:hint="default" w:ascii="Times New Roman" w:hAnsi="Times New Roman" w:eastAsia="宋体" w:cs="Times New Roman"/>
        </w:rPr>
        <w:fldChar w:fldCharType="end"/>
      </w:r>
    </w:p>
    <w:p w14:paraId="059DAE16">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7环境风险评价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_Toc21450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129</w:t>
      </w:r>
      <w:r>
        <w:rPr>
          <w:rFonts w:hint="default" w:ascii="Times New Roman" w:hAnsi="Times New Roman" w:eastAsia="宋体" w:cs="Times New Roman"/>
        </w:rPr>
        <w:fldChar w:fldCharType="end"/>
      </w:r>
    </w:p>
    <w:p w14:paraId="24B21B6D">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7.1环境风险评价等级</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_Toc20695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129</w:t>
      </w:r>
      <w:r>
        <w:rPr>
          <w:rFonts w:hint="default" w:ascii="Times New Roman" w:hAnsi="Times New Roman" w:eastAsia="宋体" w:cs="Times New Roman"/>
        </w:rPr>
        <w:fldChar w:fldCharType="end"/>
      </w:r>
    </w:p>
    <w:p w14:paraId="32E7B781">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7.2环境风险识别</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_Toc28088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130</w:t>
      </w:r>
      <w:r>
        <w:rPr>
          <w:rFonts w:hint="default" w:ascii="Times New Roman" w:hAnsi="Times New Roman" w:eastAsia="宋体" w:cs="Times New Roman"/>
        </w:rPr>
        <w:fldChar w:fldCharType="end"/>
      </w:r>
    </w:p>
    <w:p w14:paraId="7893D856">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7.</w:t>
      </w:r>
      <w:r>
        <w:rPr>
          <w:rFonts w:hint="default" w:ascii="Times New Roman" w:hAnsi="Times New Roman" w:eastAsia="宋体" w:cs="Times New Roman"/>
          <w:color w:val="auto"/>
          <w:szCs w:val="26"/>
          <w:lang w:val="en-US" w:eastAsia="zh-CN"/>
        </w:rPr>
        <w:t>3</w:t>
      </w:r>
      <w:r>
        <w:rPr>
          <w:rFonts w:hint="default" w:ascii="Times New Roman" w:hAnsi="Times New Roman" w:eastAsia="宋体" w:cs="Times New Roman"/>
          <w:color w:val="auto"/>
          <w:szCs w:val="26"/>
        </w:rPr>
        <w:t xml:space="preserve"> 环境风险分析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_Toc28141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133</w:t>
      </w:r>
      <w:r>
        <w:rPr>
          <w:rFonts w:hint="default" w:ascii="Times New Roman" w:hAnsi="Times New Roman" w:eastAsia="宋体" w:cs="Times New Roman"/>
        </w:rPr>
        <w:fldChar w:fldCharType="end"/>
      </w:r>
    </w:p>
    <w:p w14:paraId="03B4C3B5">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7.</w:t>
      </w:r>
      <w:r>
        <w:rPr>
          <w:rFonts w:hint="default" w:ascii="Times New Roman" w:hAnsi="Times New Roman" w:eastAsia="宋体" w:cs="Times New Roman"/>
          <w:color w:val="auto"/>
          <w:szCs w:val="26"/>
          <w:lang w:val="en-US" w:eastAsia="zh-CN"/>
        </w:rPr>
        <w:t>4</w:t>
      </w:r>
      <w:r>
        <w:rPr>
          <w:rFonts w:hint="default" w:ascii="Times New Roman" w:hAnsi="Times New Roman" w:eastAsia="宋体" w:cs="Times New Roman"/>
          <w:color w:val="auto"/>
          <w:szCs w:val="26"/>
        </w:rPr>
        <w:t>环境风险防范措施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_Toc28661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143</w:t>
      </w:r>
      <w:r>
        <w:rPr>
          <w:rFonts w:hint="default" w:ascii="Times New Roman" w:hAnsi="Times New Roman" w:eastAsia="宋体" w:cs="Times New Roman"/>
        </w:rPr>
        <w:fldChar w:fldCharType="end"/>
      </w:r>
    </w:p>
    <w:p w14:paraId="2A5CF91E">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7.</w:t>
      </w:r>
      <w:r>
        <w:rPr>
          <w:rFonts w:hint="default" w:ascii="Times New Roman" w:hAnsi="Times New Roman" w:eastAsia="宋体" w:cs="Times New Roman"/>
          <w:color w:val="auto"/>
          <w:szCs w:val="26"/>
          <w:lang w:val="en-US" w:eastAsia="zh-CN"/>
        </w:rPr>
        <w:t>5</w:t>
      </w:r>
      <w:r>
        <w:rPr>
          <w:rFonts w:hint="default" w:ascii="Times New Roman" w:hAnsi="Times New Roman" w:eastAsia="宋体" w:cs="Times New Roman"/>
          <w:color w:val="auto"/>
          <w:szCs w:val="26"/>
        </w:rPr>
        <w:t>应急预案</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_Toc3158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144</w:t>
      </w:r>
      <w:r>
        <w:rPr>
          <w:rFonts w:hint="default" w:ascii="Times New Roman" w:hAnsi="Times New Roman" w:eastAsia="宋体" w:cs="Times New Roman"/>
        </w:rPr>
        <w:fldChar w:fldCharType="end"/>
      </w:r>
    </w:p>
    <w:p w14:paraId="1CCF6142">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7.</w:t>
      </w:r>
      <w:r>
        <w:rPr>
          <w:rFonts w:hint="default" w:ascii="Times New Roman" w:hAnsi="Times New Roman" w:eastAsia="宋体" w:cs="Times New Roman"/>
          <w:color w:val="auto"/>
          <w:szCs w:val="26"/>
          <w:lang w:val="en-US" w:eastAsia="zh-CN"/>
        </w:rPr>
        <w:t>6 分析结论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_Toc4216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145</w:t>
      </w:r>
      <w:r>
        <w:rPr>
          <w:rFonts w:hint="default" w:ascii="Times New Roman" w:hAnsi="Times New Roman" w:eastAsia="宋体" w:cs="Times New Roman"/>
        </w:rPr>
        <w:fldChar w:fldCharType="end"/>
      </w:r>
    </w:p>
    <w:p w14:paraId="667CDCDF">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 xml:space="preserve">8 </w:t>
      </w:r>
      <w:r>
        <w:rPr>
          <w:rFonts w:hint="default" w:ascii="Times New Roman" w:hAnsi="Times New Roman" w:eastAsia="宋体" w:cs="Times New Roman"/>
          <w:color w:val="auto"/>
          <w:szCs w:val="32"/>
          <w:lang w:val="en-US" w:eastAsia="zh-CN"/>
        </w:rPr>
        <w:t>生态</w:t>
      </w:r>
      <w:r>
        <w:rPr>
          <w:rFonts w:hint="default" w:ascii="Times New Roman" w:hAnsi="Times New Roman" w:eastAsia="宋体" w:cs="Times New Roman"/>
          <w:color w:val="auto"/>
          <w:szCs w:val="32"/>
        </w:rPr>
        <w:t>环境保护</w:t>
      </w:r>
      <w:r>
        <w:rPr>
          <w:rFonts w:hint="default" w:ascii="Times New Roman" w:hAnsi="Times New Roman" w:eastAsia="宋体" w:cs="Times New Roman"/>
          <w:color w:val="auto"/>
          <w:szCs w:val="32"/>
          <w:highlight w:val="none"/>
          <w:lang w:eastAsia="zh-CN"/>
        </w:rPr>
        <w:t>、</w:t>
      </w:r>
      <w:r>
        <w:rPr>
          <w:rFonts w:hint="default" w:ascii="Times New Roman" w:hAnsi="Times New Roman" w:eastAsia="宋体" w:cs="Times New Roman"/>
          <w:color w:val="auto"/>
          <w:szCs w:val="32"/>
          <w:highlight w:val="none"/>
        </w:rPr>
        <w:t>污染防治措施</w:t>
      </w:r>
      <w:r>
        <w:rPr>
          <w:rFonts w:hint="default" w:ascii="Times New Roman" w:hAnsi="Times New Roman" w:eastAsia="宋体" w:cs="Times New Roman"/>
          <w:color w:val="auto"/>
          <w:szCs w:val="32"/>
          <w:lang w:val="en-US" w:eastAsia="zh-CN"/>
        </w:rPr>
        <w:t>及其可行性</w:t>
      </w:r>
      <w:r>
        <w:rPr>
          <w:rFonts w:hint="default" w:ascii="Times New Roman" w:hAnsi="Times New Roman" w:eastAsia="宋体" w:cs="Times New Roman"/>
          <w:color w:val="auto"/>
          <w:szCs w:val="32"/>
        </w:rPr>
        <w:t>论证</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_Toc30255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146</w:t>
      </w:r>
      <w:r>
        <w:rPr>
          <w:rFonts w:hint="default" w:ascii="Times New Roman" w:hAnsi="Times New Roman" w:eastAsia="宋体" w:cs="Times New Roman"/>
        </w:rPr>
        <w:fldChar w:fldCharType="end"/>
      </w:r>
    </w:p>
    <w:p w14:paraId="3AB92AB0">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8.1施工期环境保护措施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_Toc13541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146</w:t>
      </w:r>
      <w:r>
        <w:rPr>
          <w:rFonts w:hint="default" w:ascii="Times New Roman" w:hAnsi="Times New Roman" w:eastAsia="宋体" w:cs="Times New Roman"/>
        </w:rPr>
        <w:fldChar w:fldCharType="end"/>
      </w:r>
    </w:p>
    <w:p w14:paraId="69742AC3">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8.2运营期环境保护措施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_Toc5791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157</w:t>
      </w:r>
      <w:r>
        <w:rPr>
          <w:rFonts w:hint="default" w:ascii="Times New Roman" w:hAnsi="Times New Roman" w:eastAsia="宋体" w:cs="Times New Roman"/>
        </w:rPr>
        <w:fldChar w:fldCharType="end"/>
      </w:r>
    </w:p>
    <w:p w14:paraId="7656CB68">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8.3其他保护措施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_Toc3987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157</w:t>
      </w:r>
      <w:r>
        <w:rPr>
          <w:rFonts w:hint="default" w:ascii="Times New Roman" w:hAnsi="Times New Roman" w:eastAsia="宋体" w:cs="Times New Roman"/>
        </w:rPr>
        <w:fldChar w:fldCharType="end"/>
      </w:r>
    </w:p>
    <w:p w14:paraId="515DF37F">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8.4环保</w:t>
      </w:r>
      <w:r>
        <w:rPr>
          <w:rFonts w:hint="default" w:ascii="Times New Roman" w:hAnsi="Times New Roman" w:eastAsia="宋体" w:cs="Times New Roman"/>
          <w:color w:val="auto"/>
          <w:szCs w:val="26"/>
          <w:lang w:val="en-US" w:eastAsia="zh-CN"/>
        </w:rPr>
        <w:t>措施及</w:t>
      </w:r>
      <w:r>
        <w:rPr>
          <w:rFonts w:hint="default" w:ascii="Times New Roman" w:hAnsi="Times New Roman" w:eastAsia="宋体" w:cs="Times New Roman"/>
          <w:color w:val="auto"/>
          <w:szCs w:val="26"/>
        </w:rPr>
        <w:t>投资估算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_Toc9026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158</w:t>
      </w:r>
      <w:r>
        <w:rPr>
          <w:rFonts w:hint="default" w:ascii="Times New Roman" w:hAnsi="Times New Roman" w:eastAsia="宋体" w:cs="Times New Roman"/>
        </w:rPr>
        <w:fldChar w:fldCharType="end"/>
      </w:r>
    </w:p>
    <w:p w14:paraId="057F872E">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9环境管理与监测计划</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_Toc8642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160</w:t>
      </w:r>
      <w:r>
        <w:rPr>
          <w:rFonts w:hint="default" w:ascii="Times New Roman" w:hAnsi="Times New Roman" w:eastAsia="宋体" w:cs="Times New Roman"/>
        </w:rPr>
        <w:fldChar w:fldCharType="end"/>
      </w:r>
    </w:p>
    <w:p w14:paraId="7844CB83">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bCs/>
          <w:color w:val="auto"/>
          <w:szCs w:val="26"/>
        </w:rPr>
        <w:t>9.1 环境保护机构</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_Toc6665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160</w:t>
      </w:r>
      <w:r>
        <w:rPr>
          <w:rFonts w:hint="default" w:ascii="Times New Roman" w:hAnsi="Times New Roman" w:eastAsia="宋体" w:cs="Times New Roman"/>
        </w:rPr>
        <w:fldChar w:fldCharType="end"/>
      </w:r>
    </w:p>
    <w:p w14:paraId="1D92D8CC">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bCs/>
          <w:color w:val="auto"/>
          <w:szCs w:val="26"/>
        </w:rPr>
        <w:t>9.2 HSE</w:t>
      </w:r>
      <w:r>
        <w:rPr>
          <w:rFonts w:hint="default" w:ascii="Times New Roman" w:hAnsi="Times New Roman" w:eastAsia="宋体" w:cs="Times New Roman"/>
          <w:color w:val="auto"/>
          <w:szCs w:val="26"/>
        </w:rPr>
        <w:t>管理体系</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_Toc13454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160</w:t>
      </w:r>
      <w:r>
        <w:rPr>
          <w:rFonts w:hint="default" w:ascii="Times New Roman" w:hAnsi="Times New Roman" w:eastAsia="宋体" w:cs="Times New Roman"/>
        </w:rPr>
        <w:fldChar w:fldCharType="end"/>
      </w:r>
    </w:p>
    <w:p w14:paraId="7C2BF146">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bCs/>
          <w:color w:val="auto"/>
          <w:szCs w:val="26"/>
        </w:rPr>
        <w:t>9.3本项目HSE管理体系</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_Toc32484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160</w:t>
      </w:r>
      <w:r>
        <w:rPr>
          <w:rFonts w:hint="default" w:ascii="Times New Roman" w:hAnsi="Times New Roman" w:eastAsia="宋体" w:cs="Times New Roman"/>
        </w:rPr>
        <w:fldChar w:fldCharType="end"/>
      </w:r>
    </w:p>
    <w:p w14:paraId="2F3B6E14">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bCs/>
          <w:color w:val="auto"/>
          <w:szCs w:val="26"/>
        </w:rPr>
        <w:t>9.4 HSE 管理要求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_Toc9821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160</w:t>
      </w:r>
      <w:r>
        <w:rPr>
          <w:rFonts w:hint="default" w:ascii="Times New Roman" w:hAnsi="Times New Roman" w:eastAsia="宋体" w:cs="Times New Roman"/>
        </w:rPr>
        <w:fldChar w:fldCharType="end"/>
      </w:r>
    </w:p>
    <w:p w14:paraId="4B8A9230">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bCs/>
          <w:color w:val="auto"/>
          <w:szCs w:val="26"/>
        </w:rPr>
        <w:t>9.5 监测计划</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_Toc24564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162</w:t>
      </w:r>
      <w:r>
        <w:rPr>
          <w:rFonts w:hint="default" w:ascii="Times New Roman" w:hAnsi="Times New Roman" w:eastAsia="宋体" w:cs="Times New Roman"/>
        </w:rPr>
        <w:fldChar w:fldCharType="end"/>
      </w:r>
    </w:p>
    <w:p w14:paraId="59A8A041">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bCs/>
          <w:color w:val="auto"/>
          <w:szCs w:val="26"/>
        </w:rPr>
        <w:t>9.6 竣工环保验收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_Toc6362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162</w:t>
      </w:r>
      <w:r>
        <w:rPr>
          <w:rFonts w:hint="default" w:ascii="Times New Roman" w:hAnsi="Times New Roman" w:eastAsia="宋体" w:cs="Times New Roman"/>
        </w:rPr>
        <w:fldChar w:fldCharType="end"/>
      </w:r>
    </w:p>
    <w:p w14:paraId="197C290D">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bCs/>
          <w:color w:val="auto"/>
          <w:szCs w:val="26"/>
          <w:lang w:val="en-US" w:eastAsia="zh-CN"/>
        </w:rPr>
        <w:t>9.7 总量控制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_Toc7192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163</w:t>
      </w:r>
      <w:r>
        <w:rPr>
          <w:rFonts w:hint="default" w:ascii="Times New Roman" w:hAnsi="Times New Roman" w:eastAsia="宋体" w:cs="Times New Roman"/>
        </w:rPr>
        <w:fldChar w:fldCharType="end"/>
      </w:r>
    </w:p>
    <w:p w14:paraId="5D93FA58">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10 环境经济损益分析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_Toc11201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164</w:t>
      </w:r>
      <w:r>
        <w:rPr>
          <w:rFonts w:hint="default" w:ascii="Times New Roman" w:hAnsi="Times New Roman" w:eastAsia="宋体" w:cs="Times New Roman"/>
        </w:rPr>
        <w:fldChar w:fldCharType="end"/>
      </w:r>
    </w:p>
    <w:p w14:paraId="1B61888C">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10.1社会经济效益分析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_Toc1805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164</w:t>
      </w:r>
      <w:r>
        <w:rPr>
          <w:rFonts w:hint="default" w:ascii="Times New Roman" w:hAnsi="Times New Roman" w:eastAsia="宋体" w:cs="Times New Roman"/>
        </w:rPr>
        <w:fldChar w:fldCharType="end"/>
      </w:r>
    </w:p>
    <w:p w14:paraId="4FA55E16">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10.2环境效益分析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_Toc4867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164</w:t>
      </w:r>
      <w:r>
        <w:rPr>
          <w:rFonts w:hint="default" w:ascii="Times New Roman" w:hAnsi="Times New Roman" w:eastAsia="宋体" w:cs="Times New Roman"/>
        </w:rPr>
        <w:fldChar w:fldCharType="end"/>
      </w:r>
    </w:p>
    <w:p w14:paraId="37D96BD4">
      <w:pPr>
        <w:pStyle w:val="22"/>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32"/>
        </w:rPr>
        <w:t>11 结论及建议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_Toc8067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166</w:t>
      </w:r>
      <w:r>
        <w:rPr>
          <w:rFonts w:hint="default" w:ascii="Times New Roman" w:hAnsi="Times New Roman" w:eastAsia="宋体" w:cs="Times New Roman"/>
        </w:rPr>
        <w:fldChar w:fldCharType="end"/>
      </w:r>
    </w:p>
    <w:p w14:paraId="7EF12EDA">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bCs/>
          <w:color w:val="auto"/>
          <w:szCs w:val="26"/>
        </w:rPr>
        <w:t>11.1项目概况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_Toc2827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166</w:t>
      </w:r>
      <w:r>
        <w:rPr>
          <w:rFonts w:hint="default" w:ascii="Times New Roman" w:hAnsi="Times New Roman" w:eastAsia="宋体" w:cs="Times New Roman"/>
        </w:rPr>
        <w:fldChar w:fldCharType="end"/>
      </w:r>
    </w:p>
    <w:p w14:paraId="6B4B71D1">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bCs/>
          <w:color w:val="auto"/>
          <w:szCs w:val="26"/>
        </w:rPr>
        <w:t>11.2环境质量现状评价结论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_Toc28365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166</w:t>
      </w:r>
      <w:r>
        <w:rPr>
          <w:rFonts w:hint="default" w:ascii="Times New Roman" w:hAnsi="Times New Roman" w:eastAsia="宋体" w:cs="Times New Roman"/>
        </w:rPr>
        <w:fldChar w:fldCharType="end"/>
      </w:r>
    </w:p>
    <w:p w14:paraId="5DF8DF1D">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11.3环境影响及环保措施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_Toc1066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167</w:t>
      </w:r>
      <w:r>
        <w:rPr>
          <w:rFonts w:hint="default" w:ascii="Times New Roman" w:hAnsi="Times New Roman" w:eastAsia="宋体" w:cs="Times New Roman"/>
        </w:rPr>
        <w:fldChar w:fldCharType="end"/>
      </w:r>
    </w:p>
    <w:p w14:paraId="6ACB0213">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11.4产业政策及规划符合性</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_Toc10006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169</w:t>
      </w:r>
      <w:r>
        <w:rPr>
          <w:rFonts w:hint="default" w:ascii="Times New Roman" w:hAnsi="Times New Roman" w:eastAsia="宋体" w:cs="Times New Roman"/>
        </w:rPr>
        <w:fldChar w:fldCharType="end"/>
      </w:r>
    </w:p>
    <w:p w14:paraId="316CE807">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11.5选线环境可行性</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_Toc26235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169</w:t>
      </w:r>
      <w:r>
        <w:rPr>
          <w:rFonts w:hint="default" w:ascii="Times New Roman" w:hAnsi="Times New Roman" w:eastAsia="宋体" w:cs="Times New Roman"/>
        </w:rPr>
        <w:fldChar w:fldCharType="end"/>
      </w:r>
    </w:p>
    <w:p w14:paraId="1F1CB382">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lang w:val="en-US" w:eastAsia="zh-CN"/>
        </w:rPr>
        <w:t>11.6公众参与</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_Toc31811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170</w:t>
      </w:r>
      <w:r>
        <w:rPr>
          <w:rFonts w:hint="default" w:ascii="Times New Roman" w:hAnsi="Times New Roman" w:eastAsia="宋体" w:cs="Times New Roman"/>
        </w:rPr>
        <w:fldChar w:fldCharType="end"/>
      </w:r>
    </w:p>
    <w:p w14:paraId="12B553A9">
      <w:pPr>
        <w:pStyle w:val="23"/>
        <w:tabs>
          <w:tab w:val="right" w:leader="dot" w:pos="8730"/>
        </w:tabs>
        <w:rPr>
          <w:rFonts w:hint="default" w:ascii="Times New Roman" w:hAnsi="Times New Roman" w:eastAsia="宋体" w:cs="Times New Roman"/>
        </w:rPr>
      </w:pPr>
      <w:r>
        <w:rPr>
          <w:rFonts w:hint="default" w:ascii="Times New Roman" w:hAnsi="Times New Roman" w:eastAsia="宋体" w:cs="Times New Roman"/>
          <w:color w:val="auto"/>
          <w:szCs w:val="26"/>
        </w:rPr>
        <w:t>11.</w:t>
      </w:r>
      <w:r>
        <w:rPr>
          <w:rFonts w:hint="default" w:ascii="Times New Roman" w:hAnsi="Times New Roman" w:eastAsia="宋体" w:cs="Times New Roman"/>
          <w:color w:val="auto"/>
          <w:szCs w:val="26"/>
          <w:lang w:val="en-US" w:eastAsia="zh-CN"/>
        </w:rPr>
        <w:t>7</w:t>
      </w:r>
      <w:r>
        <w:rPr>
          <w:rFonts w:hint="default" w:ascii="Times New Roman" w:hAnsi="Times New Roman" w:eastAsia="宋体" w:cs="Times New Roman"/>
          <w:color w:val="auto"/>
          <w:szCs w:val="26"/>
        </w:rPr>
        <w:t>综合结论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_Toc6581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170</w:t>
      </w:r>
      <w:r>
        <w:rPr>
          <w:rFonts w:hint="default" w:ascii="Times New Roman" w:hAnsi="Times New Roman" w:eastAsia="宋体" w:cs="Times New Roman"/>
        </w:rPr>
        <w:fldChar w:fldCharType="end"/>
      </w:r>
    </w:p>
    <w:p w14:paraId="1544A5AD">
      <w:pPr>
        <w:adjustRightInd w:val="0"/>
        <w:snapToGrid w:val="0"/>
        <w:rPr>
          <w:rFonts w:hint="default" w:ascii="Times New Roman" w:hAnsi="Times New Roman" w:eastAsia="宋体" w:cs="Times New Roman"/>
          <w:color w:val="auto"/>
          <w:szCs w:val="32"/>
        </w:rPr>
      </w:pPr>
      <w:r>
        <w:rPr>
          <w:rFonts w:hint="default" w:ascii="Times New Roman" w:hAnsi="Times New Roman" w:eastAsia="宋体" w:cs="Times New Roman"/>
          <w:bCs/>
          <w:color w:val="auto"/>
          <w:szCs w:val="26"/>
        </w:rPr>
        <w:fldChar w:fldCharType="end"/>
      </w:r>
    </w:p>
    <w:p w14:paraId="0A83CD0D">
      <w:pPr>
        <w:rPr>
          <w:rFonts w:hint="default" w:ascii="Times New Roman" w:hAnsi="Times New Roman" w:eastAsia="宋体" w:cs="Times New Roman"/>
          <w:b/>
          <w:color w:val="auto"/>
          <w:sz w:val="26"/>
          <w:szCs w:val="32"/>
        </w:rPr>
      </w:pPr>
      <w:r>
        <w:rPr>
          <w:rFonts w:hint="default" w:ascii="Times New Roman" w:hAnsi="Times New Roman" w:eastAsia="宋体" w:cs="Times New Roman"/>
          <w:color w:val="auto"/>
          <w:szCs w:val="32"/>
        </w:rPr>
        <w:br w:type="page"/>
      </w:r>
    </w:p>
    <w:p w14:paraId="1C88E52B">
      <w:pPr>
        <w:adjustRightInd w:val="0"/>
        <w:snapToGrid w:val="0"/>
        <w:spacing w:after="240" w:afterLines="100" w:line="460" w:lineRule="exact"/>
        <w:jc w:val="center"/>
        <w:outlineLvl w:val="0"/>
        <w:rPr>
          <w:rFonts w:hint="default" w:ascii="Times New Roman" w:hAnsi="Times New Roman" w:eastAsia="宋体" w:cs="Times New Roman"/>
          <w:color w:val="auto"/>
          <w:sz w:val="26"/>
          <w:szCs w:val="26"/>
        </w:rPr>
        <w:sectPr>
          <w:headerReference r:id="rId4" w:type="default"/>
          <w:footerReference r:id="rId5" w:type="default"/>
          <w:pgSz w:w="11906" w:h="16838"/>
          <w:pgMar w:top="1418" w:right="1588" w:bottom="1418" w:left="1588" w:header="851" w:footer="992" w:gutter="0"/>
          <w:pgBorders>
            <w:top w:val="none" w:sz="0" w:space="0"/>
            <w:left w:val="none" w:sz="0" w:space="0"/>
            <w:bottom w:val="none" w:sz="0" w:space="0"/>
            <w:right w:val="none" w:sz="0" w:space="0"/>
          </w:pgBorders>
          <w:pgNumType w:start="1"/>
          <w:cols w:space="720" w:num="1"/>
          <w:docGrid w:linePitch="312" w:charSpace="0"/>
        </w:sectPr>
      </w:pPr>
    </w:p>
    <w:p w14:paraId="3EF7361B">
      <w:pPr>
        <w:adjustRightInd w:val="0"/>
        <w:snapToGrid w:val="0"/>
        <w:spacing w:after="240" w:afterLines="100" w:line="460" w:lineRule="exact"/>
        <w:jc w:val="center"/>
        <w:outlineLvl w:val="0"/>
        <w:rPr>
          <w:rFonts w:hint="default" w:ascii="Times New Roman" w:hAnsi="Times New Roman" w:eastAsia="宋体" w:cs="Times New Roman"/>
          <w:b/>
          <w:color w:val="auto"/>
          <w:sz w:val="32"/>
          <w:szCs w:val="32"/>
        </w:rPr>
      </w:pPr>
      <w:bookmarkStart w:id="5" w:name="_Toc60144370"/>
      <w:bookmarkStart w:id="6" w:name="_Toc45551056"/>
      <w:bookmarkStart w:id="7" w:name="_Toc9267"/>
      <w:bookmarkStart w:id="8" w:name="_Toc6466"/>
      <w:r>
        <w:rPr>
          <w:rFonts w:hint="default" w:ascii="Times New Roman" w:hAnsi="Times New Roman" w:eastAsia="宋体" w:cs="Times New Roman"/>
          <w:b/>
          <w:color w:val="auto"/>
          <w:sz w:val="32"/>
          <w:szCs w:val="32"/>
        </w:rPr>
        <w:t>概  述</w:t>
      </w:r>
      <w:bookmarkEnd w:id="5"/>
      <w:bookmarkEnd w:id="6"/>
      <w:bookmarkEnd w:id="7"/>
      <w:bookmarkEnd w:id="8"/>
    </w:p>
    <w:p w14:paraId="5627F52F">
      <w:pPr>
        <w:adjustRightInd w:val="0"/>
        <w:snapToGrid w:val="0"/>
        <w:spacing w:line="500" w:lineRule="exact"/>
        <w:ind w:firstLine="522" w:firstLineChars="200"/>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一、项目背景</w:t>
      </w:r>
    </w:p>
    <w:p w14:paraId="538BDDFE">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重庆气矿江北采输气作业区铁新线是一条承担民生供气任务的重要输气管道</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起于重庆市江</w:t>
      </w:r>
      <w:r>
        <w:rPr>
          <w:rFonts w:hint="default" w:ascii="Times New Roman" w:hAnsi="Times New Roman" w:eastAsia="宋体" w:cs="Times New Roman"/>
          <w:color w:val="auto"/>
          <w:shd w:val="clear" w:fill="FFFFFF"/>
        </w:rPr>
        <w:t>津</w:t>
      </w:r>
      <w:r>
        <w:rPr>
          <w:rFonts w:hint="default" w:ascii="Times New Roman" w:hAnsi="Times New Roman" w:eastAsia="宋体" w:cs="Times New Roman"/>
          <w:color w:val="auto"/>
        </w:rPr>
        <w:t>广兴镇铁浅1井，止于綦江区新盛镇</w:t>
      </w:r>
      <w:r>
        <w:rPr>
          <w:rFonts w:hint="default" w:ascii="Times New Roman" w:hAnsi="Times New Roman" w:eastAsia="宋体" w:cs="Times New Roman"/>
          <w:color w:val="auto"/>
          <w:lang w:eastAsia="zh-CN"/>
        </w:rPr>
        <w:t>新盛站</w:t>
      </w:r>
      <w:r>
        <w:rPr>
          <w:rFonts w:hint="default" w:ascii="Times New Roman" w:hAnsi="Times New Roman" w:eastAsia="宋体" w:cs="Times New Roman"/>
          <w:color w:val="auto"/>
        </w:rPr>
        <w:t>，管线于2001年1月17日建成投产，全长16km，设计输气量</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/d，设计压力为4.0MPa</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实际输气量为</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/d，输送压力为0.4MPa，输送介质为净化气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目前</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铁新线气源改由新盛站供给，通过铁浅1井下游的城镇管网向用户供气</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金钗湖水库位于长江右岸一品河支流龙岗河上游，推荐</w:t>
      </w:r>
      <w:r>
        <w:rPr>
          <w:rFonts w:hint="default" w:ascii="Times New Roman" w:hAnsi="Times New Roman" w:eastAsia="宋体" w:cs="Times New Roman"/>
          <w:color w:val="auto"/>
        </w:rPr>
        <w:t>新建工程</w:t>
      </w:r>
      <w:r>
        <w:rPr>
          <w:rFonts w:hint="default" w:ascii="Times New Roman" w:hAnsi="Times New Roman" w:eastAsia="宋体" w:cs="Times New Roman"/>
          <w:color w:val="auto"/>
          <w:lang w:eastAsia="zh-CN"/>
        </w:rPr>
        <w:t>坝址位于綦江区文龙街道。该工程为区域重点水源工程，规划至2030年供水人口2.6万人（含城镇2万、农村0.6万），至2035年与梅子桥水库联合供水，服务总人口将达4.4万人（城镇3.88万、农村0.52万）。水库蓄水后将淹没铁新线部分管段，</w:t>
      </w:r>
      <w:r>
        <w:rPr>
          <w:rFonts w:hint="default" w:ascii="Times New Roman" w:hAnsi="Times New Roman" w:eastAsia="宋体" w:cs="Times New Roman"/>
          <w:color w:val="auto"/>
        </w:rPr>
        <w:t>根据《中华人民共和国石油天然气管道保护法》第三十条规定：“在管道线路中心线两侧各五米地域范围内，禁止取土、使用机械工具进行挖掘施工、挖塘、修渠以及修建其他建筑物、构筑物等</w:t>
      </w:r>
      <w:r>
        <w:rPr>
          <w:rFonts w:hint="default" w:ascii="Times New Roman" w:hAnsi="Times New Roman" w:eastAsia="宋体" w:cs="Times New Roman"/>
          <w:color w:val="auto"/>
          <w:lang w:val="en-US" w:eastAsia="zh-CN"/>
        </w:rPr>
        <w:t>相关要求</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因此</w:t>
      </w:r>
      <w:r>
        <w:rPr>
          <w:rFonts w:hint="default" w:ascii="Times New Roman" w:hAnsi="Times New Roman" w:eastAsia="宋体" w:cs="Times New Roman"/>
          <w:color w:val="auto"/>
          <w:lang w:eastAsia="zh-CN"/>
        </w:rPr>
        <w:t>，水库建成后，铁新线涉占压段管</w:t>
      </w:r>
      <w:r>
        <w:rPr>
          <w:rFonts w:hint="eastAsia" w:ascii="Times New Roman" w:hAnsi="Times New Roman" w:cs="Times New Roman"/>
          <w:color w:val="auto"/>
          <w:lang w:val="en-US" w:eastAsia="zh-CN"/>
        </w:rPr>
        <w:t>道</w:t>
      </w:r>
      <w:r>
        <w:rPr>
          <w:rFonts w:hint="default" w:ascii="Times New Roman" w:hAnsi="Times New Roman" w:eastAsia="宋体" w:cs="Times New Roman"/>
          <w:color w:val="auto"/>
          <w:lang w:eastAsia="zh-CN"/>
        </w:rPr>
        <w:t>将长期淹没于水下，导致管道巡检、隐患排查、应急抢修等日常管理工作无法开展，构成重大安全隐患。</w:t>
      </w:r>
    </w:p>
    <w:p w14:paraId="39B64426">
      <w:pPr>
        <w:pStyle w:val="56"/>
        <w:keepNext w:val="0"/>
        <w:keepLines w:val="0"/>
        <w:pageBreakBefore w:val="0"/>
        <w:widowControl/>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为消除</w:t>
      </w:r>
      <w:r>
        <w:rPr>
          <w:rFonts w:hint="default" w:ascii="Times New Roman" w:hAnsi="Times New Roman" w:eastAsia="宋体" w:cs="Times New Roman"/>
          <w:color w:val="auto"/>
          <w:lang w:val="en-US" w:eastAsia="zh-CN"/>
        </w:rPr>
        <w:t>金钗湖水库</w:t>
      </w:r>
      <w:r>
        <w:rPr>
          <w:rFonts w:hint="default" w:ascii="Times New Roman" w:hAnsi="Times New Roman" w:eastAsia="宋体" w:cs="Times New Roman"/>
          <w:color w:val="auto"/>
        </w:rPr>
        <w:t>占压隐患、保障管线安全运行及民生用气稳定供应，同时推进金钗</w:t>
      </w:r>
      <w:r>
        <w:rPr>
          <w:rFonts w:hint="default" w:ascii="Times New Roman" w:hAnsi="Times New Roman" w:eastAsia="宋体" w:cs="Times New Roman"/>
          <w:color w:val="auto"/>
          <w:lang w:val="en-US" w:eastAsia="zh-CN"/>
        </w:rPr>
        <w:t>湖</w:t>
      </w:r>
      <w:r>
        <w:rPr>
          <w:rFonts w:hint="default" w:ascii="Times New Roman" w:hAnsi="Times New Roman" w:eastAsia="宋体" w:cs="Times New Roman"/>
          <w:color w:val="auto"/>
        </w:rPr>
        <w:t>水库合法合规建设，重庆市綦江区水利水电工程建设服务站拟实施铁新线集输管道涉金钗湖水库建设迁改工程。</w:t>
      </w:r>
    </w:p>
    <w:p w14:paraId="3680BD04">
      <w:pPr>
        <w:spacing w:line="480" w:lineRule="exact"/>
        <w:ind w:firstLine="522" w:firstLineChars="200"/>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二、工程研究过程</w:t>
      </w:r>
    </w:p>
    <w:p w14:paraId="3C5375DE">
      <w:pPr>
        <w:pStyle w:val="56"/>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202</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月，</w:t>
      </w:r>
      <w:r>
        <w:rPr>
          <w:rFonts w:hint="default" w:ascii="Times New Roman" w:hAnsi="Times New Roman" w:eastAsia="宋体" w:cs="Times New Roman"/>
          <w:color w:val="auto"/>
          <w:lang w:eastAsia="zh-CN"/>
        </w:rPr>
        <w:t>重庆市綦江区水利水电工程建设服务站</w:t>
      </w:r>
      <w:r>
        <w:rPr>
          <w:rFonts w:hint="default" w:ascii="Times New Roman" w:hAnsi="Times New Roman" w:eastAsia="宋体" w:cs="Times New Roman"/>
          <w:color w:val="auto"/>
        </w:rPr>
        <w:t>委托四川</w:t>
      </w:r>
      <w:r>
        <w:rPr>
          <w:rFonts w:hint="default" w:ascii="Times New Roman" w:hAnsi="Times New Roman" w:eastAsia="宋体" w:cs="Times New Roman"/>
          <w:color w:val="auto"/>
          <w:lang w:val="en-US" w:eastAsia="zh-CN"/>
        </w:rPr>
        <w:t>华果石油天然气工程设计</w:t>
      </w:r>
      <w:r>
        <w:rPr>
          <w:rFonts w:hint="default" w:ascii="Times New Roman" w:hAnsi="Times New Roman" w:eastAsia="宋体" w:cs="Times New Roman"/>
          <w:color w:val="auto"/>
        </w:rPr>
        <w:t>有限公司完成了工程初步设计，建设内容主要包括对铁新线A001~A022段实施迁改，</w:t>
      </w:r>
      <w:r>
        <w:rPr>
          <w:rFonts w:hint="default" w:ascii="Times New Roman" w:hAnsi="Times New Roman" w:eastAsia="宋体" w:cs="Times New Roman"/>
          <w:color w:val="auto"/>
          <w:lang w:val="en-US" w:eastAsia="zh-CN"/>
        </w:rPr>
        <w:t>改</w:t>
      </w:r>
      <w:r>
        <w:rPr>
          <w:rFonts w:hint="default" w:ascii="Times New Roman" w:hAnsi="Times New Roman" w:eastAsia="宋体" w:cs="Times New Roman"/>
          <w:color w:val="auto"/>
          <w:lang w:eastAsia="zh-CN"/>
        </w:rPr>
        <w:t>建管道</w:t>
      </w:r>
      <w:r>
        <w:rPr>
          <w:rFonts w:hint="default" w:ascii="Times New Roman" w:hAnsi="Times New Roman" w:eastAsia="宋体" w:cs="Times New Roman"/>
          <w:color w:val="auto"/>
          <w:lang w:val="en-US" w:eastAsia="zh-CN"/>
        </w:rPr>
        <w:t>长度为</w:t>
      </w:r>
      <w:r>
        <w:rPr>
          <w:rFonts w:hint="default" w:ascii="Times New Roman" w:hAnsi="Times New Roman" w:eastAsia="宋体" w:cs="Times New Roman"/>
          <w:color w:val="auto"/>
          <w:lang w:eastAsia="zh-CN"/>
        </w:rPr>
        <w:t>1451.9</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lang w:eastAsia="zh-CN"/>
        </w:rPr>
        <w:t>，采用D89×5 L245N PSL2无缝钢管，设计压力4.0MPa、输量设计</w:t>
      </w:r>
      <w:r>
        <w:rPr>
          <w:rFonts w:hint="default" w:ascii="Times New Roman" w:hAnsi="Times New Roman" w:eastAsia="宋体" w:cs="Times New Roman"/>
          <w:color w:val="auto"/>
          <w:lang w:val="en-US" w:eastAsia="zh-CN"/>
        </w:rPr>
        <w:t>规模</w:t>
      </w:r>
      <w:r>
        <w:rPr>
          <w:rFonts w:hint="default" w:ascii="Times New Roman" w:hAnsi="Times New Roman" w:eastAsia="宋体" w:cs="Times New Roman"/>
          <w:color w:val="auto"/>
          <w:lang w:eastAsia="zh-CN"/>
        </w:rPr>
        <w:t>为</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/d，输送介质</w:t>
      </w:r>
      <w:r>
        <w:rPr>
          <w:rFonts w:hint="default" w:ascii="Times New Roman" w:hAnsi="Times New Roman" w:eastAsia="宋体" w:cs="Times New Roman"/>
          <w:color w:val="auto"/>
          <w:lang w:val="en-US" w:eastAsia="zh-CN"/>
        </w:rPr>
        <w:t>为</w:t>
      </w:r>
      <w:r>
        <w:rPr>
          <w:rFonts w:hint="default" w:ascii="Times New Roman" w:hAnsi="Times New Roman" w:eastAsia="宋体" w:cs="Times New Roman"/>
          <w:color w:val="auto"/>
          <w:lang w:eastAsia="zh-CN"/>
        </w:rPr>
        <w:t>净化气。该工程通过优化路由，避开水库淹没区，同时为后续区域供气能力提升预留空间。</w:t>
      </w:r>
    </w:p>
    <w:p w14:paraId="508D3DAA">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202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月，</w:t>
      </w:r>
      <w:r>
        <w:rPr>
          <w:rFonts w:hint="default" w:ascii="Times New Roman" w:hAnsi="Times New Roman" w:eastAsia="宋体" w:cs="Times New Roman"/>
          <w:color w:val="auto"/>
          <w:lang w:eastAsia="zh-CN"/>
        </w:rPr>
        <w:t>重庆市綦江区水利水电工程建设服务站</w:t>
      </w:r>
      <w:r>
        <w:rPr>
          <w:rFonts w:hint="default" w:ascii="Times New Roman" w:hAnsi="Times New Roman" w:eastAsia="宋体" w:cs="Times New Roman"/>
          <w:color w:val="auto"/>
        </w:rPr>
        <w:t>对项目进行了备案，迁改长度</w:t>
      </w:r>
      <w:r>
        <w:rPr>
          <w:rFonts w:hint="default" w:ascii="Times New Roman" w:hAnsi="Times New Roman" w:eastAsia="宋体" w:cs="Times New Roman"/>
          <w:color w:val="auto"/>
          <w:lang w:val="en-US" w:eastAsia="zh-CN"/>
        </w:rPr>
        <w:t>1507</w:t>
      </w:r>
      <w:r>
        <w:rPr>
          <w:rFonts w:hint="default" w:ascii="Times New Roman" w:hAnsi="Times New Roman" w:eastAsia="宋体" w:cs="Times New Roman"/>
          <w:color w:val="auto"/>
        </w:rPr>
        <w:t>m。</w:t>
      </w:r>
    </w:p>
    <w:p w14:paraId="460E07A9">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202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重庆市綦江区规划和自然资源局出具用地预审与选址意见书，</w:t>
      </w:r>
      <w:r>
        <w:rPr>
          <w:rFonts w:hint="default" w:ascii="Times New Roman" w:hAnsi="Times New Roman" w:eastAsia="宋体" w:cs="Times New Roman"/>
          <w:color w:val="auto"/>
        </w:rPr>
        <w:t>同意项目</w:t>
      </w:r>
      <w:r>
        <w:rPr>
          <w:rFonts w:hint="default" w:ascii="Times New Roman" w:hAnsi="Times New Roman" w:eastAsia="宋体" w:cs="Times New Roman"/>
          <w:color w:val="auto"/>
          <w:lang w:val="en-US" w:eastAsia="zh-CN"/>
        </w:rPr>
        <w:t>改建管道长度约1451.9m</w:t>
      </w:r>
      <w:r>
        <w:rPr>
          <w:rFonts w:hint="default" w:ascii="Times New Roman" w:hAnsi="Times New Roman" w:eastAsia="宋体" w:cs="Times New Roman"/>
          <w:color w:val="auto"/>
        </w:rPr>
        <w:t>。</w:t>
      </w:r>
    </w:p>
    <w:p w14:paraId="15CE80EA">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202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月，四川</w:t>
      </w:r>
      <w:r>
        <w:rPr>
          <w:rFonts w:hint="default" w:ascii="Times New Roman" w:hAnsi="Times New Roman" w:eastAsia="宋体" w:cs="Times New Roman"/>
          <w:color w:val="auto"/>
          <w:lang w:val="en-US" w:eastAsia="zh-CN"/>
        </w:rPr>
        <w:t>华果石油天然气工程设计</w:t>
      </w:r>
      <w:r>
        <w:rPr>
          <w:rFonts w:hint="default" w:ascii="Times New Roman" w:hAnsi="Times New Roman" w:eastAsia="宋体" w:cs="Times New Roman"/>
          <w:color w:val="auto"/>
        </w:rPr>
        <w:t>有限公司根据施工图审查会议纪要，对施工图进行了修改，迁改管线长度调整为</w:t>
      </w:r>
      <w:r>
        <w:rPr>
          <w:rFonts w:hint="default" w:ascii="Times New Roman" w:hAnsi="Times New Roman" w:eastAsia="宋体" w:cs="Times New Roman"/>
          <w:color w:val="auto"/>
          <w:lang w:val="en-US" w:eastAsia="zh-CN"/>
        </w:rPr>
        <w:t>1451.9m</w:t>
      </w:r>
      <w:r>
        <w:rPr>
          <w:rFonts w:hint="default" w:ascii="Times New Roman" w:hAnsi="Times New Roman" w:eastAsia="宋体" w:cs="Times New Roman"/>
          <w:color w:val="auto"/>
        </w:rPr>
        <w:t>。本次环评按该修改方案进行评价。</w:t>
      </w:r>
    </w:p>
    <w:p w14:paraId="485B9B73">
      <w:pPr>
        <w:spacing w:line="480" w:lineRule="exact"/>
        <w:ind w:firstLine="522" w:firstLineChars="200"/>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三、项目建设内容</w:t>
      </w:r>
    </w:p>
    <w:p w14:paraId="3F93236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迁改管线长度为</w:t>
      </w:r>
      <w:r>
        <w:rPr>
          <w:rFonts w:hint="default" w:ascii="Times New Roman" w:hAnsi="Times New Roman" w:eastAsia="宋体" w:cs="Times New Roman"/>
          <w:color w:val="auto"/>
          <w:lang w:val="en-US" w:eastAsia="zh-CN"/>
        </w:rPr>
        <w:t>1451.9m</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采用</w:t>
      </w:r>
      <w:r>
        <w:rPr>
          <w:rFonts w:hint="default" w:ascii="Times New Roman" w:hAnsi="Times New Roman" w:eastAsia="宋体" w:cs="Times New Roman"/>
          <w:color w:val="auto"/>
          <w:lang w:eastAsia="zh-CN"/>
        </w:rPr>
        <w:t>D89×5 L245N PSL2无缝钢管</w:t>
      </w:r>
      <w:r>
        <w:rPr>
          <w:rFonts w:hint="default" w:ascii="Times New Roman" w:hAnsi="Times New Roman" w:eastAsia="宋体" w:cs="Times New Roman"/>
          <w:color w:val="auto"/>
        </w:rPr>
        <w:t>，设计压力4.0MPa</w:t>
      </w:r>
      <w:r>
        <w:rPr>
          <w:rFonts w:hint="default" w:ascii="Times New Roman" w:hAnsi="Times New Roman" w:eastAsia="宋体" w:cs="Times New Roman"/>
          <w:color w:val="auto"/>
          <w:lang w:eastAsia="zh-CN"/>
        </w:rPr>
        <w:t>、设计输量</w:t>
      </w:r>
      <w:r>
        <w:rPr>
          <w:rFonts w:hint="default" w:ascii="Times New Roman" w:hAnsi="Times New Roman" w:eastAsia="宋体" w:cs="Times New Roman"/>
          <w:color w:val="auto"/>
          <w:lang w:val="en-US" w:eastAsia="zh-CN"/>
        </w:rPr>
        <w:t>规模</w:t>
      </w:r>
      <w:r>
        <w:rPr>
          <w:rFonts w:hint="default" w:ascii="Times New Roman" w:hAnsi="Times New Roman" w:eastAsia="宋体" w:cs="Times New Roman"/>
          <w:color w:val="auto"/>
          <w:lang w:eastAsia="zh-CN"/>
        </w:rPr>
        <w:t>为</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w:t>
      </w:r>
      <w:r>
        <w:rPr>
          <w:rFonts w:hint="default" w:ascii="Times New Roman" w:hAnsi="Times New Roman" w:eastAsia="宋体" w:cs="Times New Roman"/>
          <w:color w:val="auto"/>
        </w:rPr>
        <w:t>，输送介质为净化气。项目总投资</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rPr>
        <w:t>万元，环保投资</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rPr>
        <w:t>万元，约占总投资的</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rPr>
        <w:t>%。</w:t>
      </w:r>
    </w:p>
    <w:p w14:paraId="6CC6877C">
      <w:pPr>
        <w:adjustRightInd w:val="0"/>
        <w:snapToGrid w:val="0"/>
        <w:spacing w:line="500" w:lineRule="exact"/>
        <w:ind w:firstLine="522" w:firstLineChars="200"/>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四、环境影响评价过程</w:t>
      </w:r>
    </w:p>
    <w:p w14:paraId="2D2B4F2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依据《中华人民共和国环境影响评价法</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建设项目环境保护管理条例</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建设项目环境影响评价分类管理名录》（2021年版）等有关规定，本项目属于“五十二、交通运输业、管道运输业 147原油、成品油、天然气管线（不含城市天然气管线；不含城镇燃气管线；不含企业厂区内管道）”</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应进行环境影响评价，项目临时占地涉及永久基本农田，属于涉及环境敏感区的天然气管线项目，环境影响评价类别为编制环境影响报告书。</w:t>
      </w:r>
    </w:p>
    <w:p w14:paraId="43B7EB9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202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月，受</w:t>
      </w:r>
      <w:r>
        <w:rPr>
          <w:rFonts w:hint="default" w:ascii="Times New Roman" w:hAnsi="Times New Roman" w:eastAsia="宋体" w:cs="Times New Roman"/>
          <w:color w:val="auto"/>
          <w:lang w:eastAsia="zh-CN"/>
        </w:rPr>
        <w:t>重庆市綦江区水利水电工程建设服务站</w:t>
      </w:r>
      <w:r>
        <w:rPr>
          <w:rFonts w:hint="default" w:ascii="Times New Roman" w:hAnsi="Times New Roman" w:eastAsia="宋体" w:cs="Times New Roman"/>
          <w:color w:val="auto"/>
        </w:rPr>
        <w:t>委托，</w:t>
      </w:r>
      <w:r>
        <w:rPr>
          <w:rFonts w:hint="default" w:ascii="Times New Roman" w:hAnsi="Times New Roman" w:eastAsia="宋体" w:cs="Times New Roman"/>
          <w:color w:val="auto"/>
          <w:lang w:eastAsia="zh-CN"/>
        </w:rPr>
        <w:t>中煤科工重庆设计研究院（集团）有限公司</w:t>
      </w:r>
      <w:r>
        <w:rPr>
          <w:rFonts w:hint="default" w:ascii="Times New Roman" w:hAnsi="Times New Roman" w:eastAsia="宋体" w:cs="Times New Roman"/>
          <w:color w:val="auto"/>
        </w:rPr>
        <w:t>（以下简称“我公司”）承担该项目的环境影响评价工作，接受委托后，我公司根据拟建项目特点确定了环评工作思路。对区域进行了详查，查明评价范围内饮用水源、自然保护区、风景名胜区、森林公园、文物保护单位等各类环境敏感区分布情况。202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月，根据调查、收集到的有关文件、资料，在环境现状调查结果的基础上，对建设项目对各环境要素的环境影响和环境风险进行了分析、预测及评价，根据各环境要素的分析、预测结果，评价工程建设对各环境要素的影响，编制了环境影响报告书，论证工程建设的环境可行性。</w:t>
      </w:r>
    </w:p>
    <w:p w14:paraId="01CB6191">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评价过程中，建设单位按照《环境影响评价公众参与办法》相关规定，开展了本项目的公众参与相关工作，</w:t>
      </w:r>
      <w:r>
        <w:rPr>
          <w:rFonts w:hint="default" w:ascii="Times New Roman" w:hAnsi="Times New Roman" w:eastAsia="宋体" w:cs="Times New Roman"/>
          <w:color w:val="auto"/>
          <w:shd w:val="clear" w:fill="FFFFFF"/>
          <w:lang w:eastAsia="zh-CN"/>
        </w:rPr>
        <w:t>本次</w:t>
      </w:r>
      <w:r>
        <w:rPr>
          <w:rFonts w:hint="default" w:ascii="Times New Roman" w:hAnsi="Times New Roman" w:eastAsia="宋体" w:cs="Times New Roman"/>
          <w:color w:val="auto"/>
        </w:rPr>
        <w:t>评价将其结论纳入环评报告。</w:t>
      </w:r>
    </w:p>
    <w:p w14:paraId="23D57FA1">
      <w:pPr>
        <w:adjustRightInd w:val="0"/>
        <w:snapToGrid w:val="0"/>
        <w:spacing w:line="500" w:lineRule="exact"/>
        <w:ind w:firstLine="522" w:firstLineChars="200"/>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五、评价内容和评价时段</w:t>
      </w:r>
    </w:p>
    <w:p w14:paraId="7274FBD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（1）评价内容</w:t>
      </w:r>
    </w:p>
    <w:p w14:paraId="0FEA30A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本工程的项目特点，结合项目区的环境状况，评价的主要内容包括总则、工程概况、工程分析、区域环境概况、施工期环境影响分析、运营期环境影响分析、环境风险评价、生态环境保护及污染防治措施技术经济论证、环境管理及监测计划、环境经济损益分析、结论与建议。</w:t>
      </w:r>
    </w:p>
    <w:p w14:paraId="660F757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（2）评价时段</w:t>
      </w:r>
    </w:p>
    <w:p w14:paraId="355C74EC">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本工程环境影响评价时段包括施工期和运营期。</w:t>
      </w:r>
    </w:p>
    <w:p w14:paraId="58CB7217">
      <w:pPr>
        <w:adjustRightInd w:val="0"/>
        <w:snapToGrid w:val="0"/>
        <w:spacing w:line="500" w:lineRule="exact"/>
        <w:ind w:firstLine="522" w:firstLineChars="200"/>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六、建设项目特点</w:t>
      </w:r>
    </w:p>
    <w:p w14:paraId="5423DCE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根据《产业结构调整指导目录（20</w:t>
      </w:r>
      <w:r>
        <w:rPr>
          <w:rFonts w:hint="default" w:ascii="Times New Roman" w:hAnsi="Times New Roman" w:eastAsia="宋体" w:cs="Times New Roman"/>
          <w:color w:val="auto"/>
          <w:lang w:val="en-US" w:eastAsia="zh-CN"/>
        </w:rPr>
        <w:t>24</w:t>
      </w:r>
      <w:r>
        <w:rPr>
          <w:rFonts w:hint="default" w:ascii="Times New Roman" w:hAnsi="Times New Roman" w:eastAsia="宋体" w:cs="Times New Roman"/>
          <w:color w:val="auto"/>
        </w:rPr>
        <w:t>年）》，本工程属于第一类“鼓励类”第七条“石油类、天然气”第2项“油气管网建设：原油、天然气、液化天然气、成品油的储存和管道输送设施、网络和液化天然气加注设施建设、技术装备开发与应用”，符合国家有关产业政策。</w:t>
      </w:r>
    </w:p>
    <w:p w14:paraId="4E3354C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拟建项目为</w:t>
      </w:r>
      <w:r>
        <w:rPr>
          <w:rFonts w:hint="default" w:ascii="Times New Roman" w:hAnsi="Times New Roman" w:eastAsia="宋体" w:cs="Times New Roman"/>
          <w:color w:val="auto"/>
          <w:lang w:eastAsia="zh-CN"/>
        </w:rPr>
        <w:t>天然气管道改建工程</w:t>
      </w:r>
      <w:r>
        <w:rPr>
          <w:rFonts w:hint="default" w:ascii="Times New Roman" w:hAnsi="Times New Roman" w:eastAsia="宋体" w:cs="Times New Roman"/>
          <w:color w:val="auto"/>
        </w:rPr>
        <w:t>，管线较短，穿越道路</w:t>
      </w:r>
      <w:r>
        <w:rPr>
          <w:rFonts w:hint="eastAsia" w:ascii="Times New Roman" w:hAnsi="Times New Roman" w:cs="Times New Roman"/>
          <w:color w:val="auto"/>
          <w:lang w:val="en-US" w:eastAsia="zh-CN"/>
        </w:rPr>
        <w:t>5</w:t>
      </w:r>
      <w:r>
        <w:rPr>
          <w:rFonts w:hint="default" w:ascii="Times New Roman" w:hAnsi="Times New Roman" w:eastAsia="宋体" w:cs="Times New Roman"/>
          <w:color w:val="auto"/>
        </w:rPr>
        <w:t>次</w:t>
      </w:r>
      <w:r>
        <w:rPr>
          <w:rFonts w:hint="default" w:ascii="Times New Roman" w:hAnsi="Times New Roman" w:eastAsia="宋体" w:cs="Times New Roman"/>
          <w:color w:val="auto"/>
          <w:lang w:eastAsia="zh-CN"/>
        </w:rPr>
        <w:t>、沟渠1次</w:t>
      </w:r>
      <w:r>
        <w:rPr>
          <w:rFonts w:hint="default" w:ascii="Times New Roman" w:hAnsi="Times New Roman" w:eastAsia="宋体" w:cs="Times New Roman"/>
          <w:color w:val="auto"/>
        </w:rPr>
        <w:t>，不涉及生态保护红线、自然保护区、风景名胜区、森林公园等生态敏感区，涉及永久基本农田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天然林</w:t>
      </w:r>
      <w:r>
        <w:rPr>
          <w:rFonts w:hint="default" w:ascii="Times New Roman" w:hAnsi="Times New Roman" w:eastAsia="宋体" w:cs="Times New Roman"/>
          <w:color w:val="auto"/>
        </w:rPr>
        <w:t>。根据现场踏勘，管道沿线主要为</w:t>
      </w:r>
      <w:r>
        <w:rPr>
          <w:rFonts w:hint="default" w:ascii="Times New Roman" w:hAnsi="Times New Roman" w:eastAsia="宋体" w:cs="Times New Roman"/>
          <w:color w:val="auto"/>
          <w:lang w:val="en-US" w:eastAsia="zh-CN"/>
        </w:rPr>
        <w:t>林地、</w:t>
      </w:r>
      <w:r>
        <w:rPr>
          <w:rFonts w:hint="default" w:ascii="Times New Roman" w:hAnsi="Times New Roman" w:eastAsia="宋体" w:cs="Times New Roman"/>
          <w:color w:val="auto"/>
        </w:rPr>
        <w:t>耕地，</w:t>
      </w:r>
      <w:r>
        <w:rPr>
          <w:rFonts w:hint="default" w:ascii="Times New Roman" w:hAnsi="Times New Roman" w:eastAsia="宋体" w:cs="Times New Roman"/>
          <w:bCs/>
          <w:color w:val="auto"/>
        </w:rPr>
        <w:t>占地及施工活动范围内</w:t>
      </w:r>
      <w:r>
        <w:rPr>
          <w:rFonts w:hint="default" w:ascii="Times New Roman" w:hAnsi="Times New Roman" w:eastAsia="宋体" w:cs="Times New Roman"/>
          <w:color w:val="auto"/>
        </w:rPr>
        <w:t>未见珍稀保护植物和名木古树，植被以人工栽培植被为主。</w:t>
      </w:r>
    </w:p>
    <w:p w14:paraId="57F73ED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项目对环境的影响主要集中在施工期间，主要为管道的开挖、敷设、回填对沿线的水环境、环境空气、声环境、土地利用类型、植被等短期内会造成一定的影响。运营期影响主要体现为环境风险影响。</w:t>
      </w:r>
    </w:p>
    <w:p w14:paraId="4EAB5323">
      <w:pPr>
        <w:adjustRightInd w:val="0"/>
        <w:snapToGrid w:val="0"/>
        <w:spacing w:line="500" w:lineRule="exact"/>
        <w:ind w:firstLine="522" w:firstLineChars="200"/>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七、关注的主要环境问题</w:t>
      </w:r>
    </w:p>
    <w:p w14:paraId="0497198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（1）工程施工过程对生态环境、声环境、地表水环境、地下水环境、环境空气的影响程度及环境保护措施的可行性。</w:t>
      </w:r>
    </w:p>
    <w:p w14:paraId="20DE7E8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（2）工程运营过程的环境风险水平、风险防范措施的可行性。</w:t>
      </w:r>
    </w:p>
    <w:p w14:paraId="7A7E9BCC">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（3）临时占地对永久基本农田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天然林</w:t>
      </w:r>
      <w:r>
        <w:rPr>
          <w:rFonts w:hint="default" w:ascii="Times New Roman" w:hAnsi="Times New Roman" w:eastAsia="宋体" w:cs="Times New Roman"/>
          <w:color w:val="auto"/>
        </w:rPr>
        <w:t>的影响。</w:t>
      </w:r>
    </w:p>
    <w:p w14:paraId="24C52643">
      <w:pPr>
        <w:adjustRightInd w:val="0"/>
        <w:snapToGrid w:val="0"/>
        <w:spacing w:line="500" w:lineRule="exact"/>
        <w:ind w:firstLine="522" w:firstLineChars="200"/>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八、结论</w:t>
      </w:r>
    </w:p>
    <w:p w14:paraId="132CB022">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重庆市綦江区水利水电工程建设服务站铁新线集输管道涉金钗湖水库建设迁改工程</w:t>
      </w:r>
      <w:r>
        <w:rPr>
          <w:rFonts w:hint="default" w:ascii="Times New Roman" w:hAnsi="Times New Roman" w:eastAsia="宋体" w:cs="Times New Roman"/>
          <w:color w:val="auto"/>
        </w:rPr>
        <w:t>符合国家产业政策及相关规划，选线满足相关法律法规要求。虽然工程的实施将对环境造成一定的影响，但在采取严格的生态环境保护措施及污染防治措施后，对环境的不利影响</w:t>
      </w:r>
      <w:r>
        <w:rPr>
          <w:rFonts w:hint="default" w:ascii="Times New Roman" w:hAnsi="Times New Roman" w:eastAsia="宋体" w:cs="Times New Roman"/>
          <w:color w:val="auto"/>
          <w:shd w:val="clear" w:fill="FFFFFF"/>
        </w:rPr>
        <w:t>可</w:t>
      </w:r>
      <w:r>
        <w:rPr>
          <w:rFonts w:hint="default" w:ascii="Times New Roman" w:hAnsi="Times New Roman" w:eastAsia="宋体" w:cs="Times New Roman"/>
          <w:color w:val="auto"/>
        </w:rPr>
        <w:t>得到有效控制和缓解，不会改变区域环境功能，环境影响有限，因此，从环境保护的角度看，该项目建设是可行的。</w:t>
      </w:r>
    </w:p>
    <w:p w14:paraId="74C560D0">
      <w:pPr>
        <w:pStyle w:val="56"/>
        <w:rPr>
          <w:rFonts w:hint="default" w:ascii="Times New Roman" w:hAnsi="Times New Roman" w:eastAsia="宋体" w:cs="Times New Roman"/>
          <w:b/>
          <w:color w:val="auto"/>
          <w:sz w:val="32"/>
          <w:szCs w:val="32"/>
        </w:rPr>
      </w:pPr>
    </w:p>
    <w:p w14:paraId="3C3280D9">
      <w:pPr>
        <w:adjustRightInd w:val="0"/>
        <w:snapToGrid w:val="0"/>
        <w:spacing w:after="120" w:afterLines="50"/>
        <w:jc w:val="center"/>
        <w:outlineLvl w:val="0"/>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br w:type="page"/>
      </w:r>
      <w:bookmarkStart w:id="9" w:name="_Toc45551057"/>
      <w:bookmarkStart w:id="10" w:name="_Toc60144371"/>
      <w:bookmarkStart w:id="11" w:name="_Toc44"/>
      <w:bookmarkStart w:id="12" w:name="_Toc164084298"/>
      <w:bookmarkStart w:id="13" w:name="_Toc220170964"/>
      <w:bookmarkStart w:id="14" w:name="_Toc158006769"/>
      <w:bookmarkStart w:id="15" w:name="_Toc4683"/>
      <w:r>
        <w:rPr>
          <w:rFonts w:hint="default" w:ascii="Times New Roman" w:hAnsi="Times New Roman" w:eastAsia="宋体" w:cs="Times New Roman"/>
          <w:b/>
          <w:color w:val="auto"/>
          <w:sz w:val="32"/>
          <w:szCs w:val="32"/>
        </w:rPr>
        <w:t>1 总  则</w:t>
      </w:r>
      <w:bookmarkEnd w:id="9"/>
      <w:bookmarkEnd w:id="10"/>
      <w:bookmarkEnd w:id="11"/>
      <w:bookmarkEnd w:id="12"/>
      <w:bookmarkEnd w:id="13"/>
      <w:bookmarkEnd w:id="14"/>
      <w:bookmarkEnd w:id="15"/>
    </w:p>
    <w:p w14:paraId="531F68B7">
      <w:pPr>
        <w:adjustRightInd w:val="0"/>
        <w:snapToGrid w:val="0"/>
        <w:spacing w:line="480" w:lineRule="exact"/>
        <w:ind w:firstLine="522" w:firstLineChars="200"/>
        <w:outlineLvl w:val="1"/>
        <w:rPr>
          <w:rFonts w:hint="default" w:ascii="Times New Roman" w:hAnsi="Times New Roman" w:eastAsia="宋体" w:cs="Times New Roman"/>
          <w:b/>
          <w:color w:val="auto"/>
          <w:sz w:val="26"/>
          <w:szCs w:val="26"/>
          <w:lang w:eastAsia="zh-CN"/>
        </w:rPr>
      </w:pPr>
      <w:bookmarkStart w:id="16" w:name="_Toc8988"/>
      <w:bookmarkStart w:id="17" w:name="_Toc12732"/>
      <w:bookmarkStart w:id="18" w:name="_Toc9290"/>
      <w:bookmarkStart w:id="19" w:name="_Toc164084299"/>
      <w:bookmarkStart w:id="20" w:name="_Toc45551058"/>
      <w:bookmarkStart w:id="21" w:name="_Toc23470"/>
      <w:bookmarkStart w:id="22" w:name="_Toc220170965"/>
      <w:bookmarkStart w:id="23" w:name="_Toc158006770"/>
      <w:bookmarkStart w:id="24" w:name="_Toc60144372"/>
      <w:r>
        <w:rPr>
          <w:rFonts w:hint="default" w:ascii="Times New Roman" w:hAnsi="Times New Roman" w:eastAsia="宋体" w:cs="Times New Roman"/>
          <w:b/>
          <w:color w:val="auto"/>
          <w:sz w:val="26"/>
          <w:szCs w:val="26"/>
        </w:rPr>
        <w:t xml:space="preserve">1.1 </w:t>
      </w:r>
      <w:bookmarkEnd w:id="16"/>
      <w:bookmarkEnd w:id="17"/>
      <w:r>
        <w:rPr>
          <w:rFonts w:hint="default" w:ascii="Times New Roman" w:hAnsi="Times New Roman" w:eastAsia="宋体" w:cs="Times New Roman"/>
          <w:b/>
          <w:color w:val="auto"/>
          <w:sz w:val="26"/>
          <w:szCs w:val="26"/>
          <w:lang w:val="en-US" w:eastAsia="zh-CN"/>
        </w:rPr>
        <w:t>编制目的</w:t>
      </w:r>
      <w:bookmarkEnd w:id="18"/>
    </w:p>
    <w:bookmarkEnd w:id="19"/>
    <w:bookmarkEnd w:id="20"/>
    <w:bookmarkEnd w:id="21"/>
    <w:bookmarkEnd w:id="22"/>
    <w:bookmarkEnd w:id="23"/>
    <w:bookmarkEnd w:id="24"/>
    <w:p w14:paraId="3F08713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（1）通过对项目所在区域生态环境、环境质量现状调查，结合区域发展规划、工程建设内容，从环境保护角度为工程建设的环境可行性提供依据。</w:t>
      </w:r>
    </w:p>
    <w:p w14:paraId="3F570017">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通过工程建设对环境的影响预测分析，结合项目附近区域的环境保护目标，明确工程建设对工程区域自然生态环境及环境质量的影响程度和范围；提出生态环境不利影响减缓措施和恢复措施、污染防治方案，并将之反馈于工程建设之中，将工程建设带来的负面影响减小到最低程度，最大限度发挥工程建设的经济效益、社会效益和环境效益，使经济发展与环境保护协调统一。</w:t>
      </w:r>
    </w:p>
    <w:p w14:paraId="46CF5D8D">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（3）通过本项目的环境影响评价，使所编制的环境影响报告书能成为本工程环境保护设计和环境管理的依据，并作为环境主管部门管理本项目的科学依据。</w:t>
      </w:r>
    </w:p>
    <w:p w14:paraId="28AE6F44">
      <w:pPr>
        <w:adjustRightInd w:val="0"/>
        <w:snapToGrid w:val="0"/>
        <w:spacing w:line="460" w:lineRule="exact"/>
        <w:ind w:firstLine="522" w:firstLineChars="200"/>
        <w:outlineLvl w:val="1"/>
        <w:rPr>
          <w:rFonts w:hint="default" w:ascii="Times New Roman" w:hAnsi="Times New Roman" w:eastAsia="宋体" w:cs="Times New Roman"/>
          <w:b/>
          <w:color w:val="auto"/>
          <w:sz w:val="26"/>
          <w:szCs w:val="26"/>
        </w:rPr>
      </w:pPr>
      <w:bookmarkStart w:id="25" w:name="_Toc60144373"/>
      <w:bookmarkStart w:id="26" w:name="_Toc158006771"/>
      <w:bookmarkStart w:id="27" w:name="_Toc45551059"/>
      <w:bookmarkStart w:id="28" w:name="_Toc11763"/>
      <w:bookmarkStart w:id="29" w:name="_Toc164084300"/>
      <w:bookmarkStart w:id="30" w:name="_Toc220170966"/>
      <w:bookmarkStart w:id="31" w:name="_Toc28937"/>
      <w:r>
        <w:rPr>
          <w:rFonts w:hint="default" w:ascii="Times New Roman" w:hAnsi="Times New Roman" w:eastAsia="宋体" w:cs="Times New Roman"/>
          <w:b/>
          <w:color w:val="auto"/>
          <w:sz w:val="26"/>
          <w:szCs w:val="26"/>
        </w:rPr>
        <w:t>1.2 编制依据</w:t>
      </w:r>
      <w:bookmarkEnd w:id="25"/>
      <w:bookmarkEnd w:id="26"/>
      <w:bookmarkEnd w:id="27"/>
      <w:bookmarkEnd w:id="28"/>
      <w:bookmarkEnd w:id="29"/>
      <w:bookmarkEnd w:id="30"/>
      <w:bookmarkEnd w:id="31"/>
    </w:p>
    <w:p w14:paraId="11378692">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1.2.1 环境保护法律和法规</w:t>
      </w:r>
    </w:p>
    <w:p w14:paraId="3CCD87F8">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bookmarkStart w:id="32" w:name="_Hlk131511765"/>
      <w:r>
        <w:rPr>
          <w:rFonts w:hint="default" w:ascii="Times New Roman" w:hAnsi="Times New Roman" w:eastAsia="宋体" w:cs="Times New Roman"/>
          <w:color w:val="auto"/>
          <w:sz w:val="26"/>
          <w:szCs w:val="26"/>
        </w:rPr>
        <w:t>《中华人民共和国环境保护法》（2015年1月）；</w:t>
      </w:r>
    </w:p>
    <w:p w14:paraId="71A99211">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《中华人民共和国环境影响评价法》（2018年12月修订）；</w:t>
      </w:r>
    </w:p>
    <w:p w14:paraId="0BA96EF0">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《中华人民共和国水土保持法》（2011年3月）；</w:t>
      </w:r>
    </w:p>
    <w:p w14:paraId="1B936931">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《中华人民共和国水污染防治法》（2017年6月修订）；</w:t>
      </w:r>
    </w:p>
    <w:p w14:paraId="0233B192">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《中华人民共和国大气污染防治法》（2018年10月）；</w:t>
      </w:r>
    </w:p>
    <w:p w14:paraId="75D94641">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《中华人民共和国噪声污染防治法》（2022年6月5日起施行）；</w:t>
      </w:r>
    </w:p>
    <w:p w14:paraId="221413E4">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《中华人民共和国固体废物污染环境防治法》（2020年4月修订）；</w:t>
      </w:r>
    </w:p>
    <w:p w14:paraId="02C2A38D">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《中华人民共和国土壤污染防治法》（2019年1月）；</w:t>
      </w:r>
    </w:p>
    <w:p w14:paraId="57B81882">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《中华人民共和国土地管理法》（2020年1月）；</w:t>
      </w:r>
    </w:p>
    <w:p w14:paraId="781930A7">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《中华人民共和国农业法》（2012年12月28日修订）；</w:t>
      </w:r>
    </w:p>
    <w:p w14:paraId="09DB6542">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《中华人民共和国石油天然气管道保护法》（2010年10月）；</w:t>
      </w:r>
    </w:p>
    <w:p w14:paraId="6950D32D">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《中华人民共和国土地管理法》（2019年8月26日修订）；</w:t>
      </w:r>
    </w:p>
    <w:p w14:paraId="57F0548B">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《中华人民共和国水法》（2016年7月修订）；</w:t>
      </w:r>
    </w:p>
    <w:p w14:paraId="40EFD270">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lang w:eastAsia="zh-CN"/>
        </w:rPr>
      </w:pPr>
      <w:r>
        <w:rPr>
          <w:rFonts w:hint="default" w:ascii="Times New Roman" w:hAnsi="Times New Roman" w:eastAsia="宋体" w:cs="Times New Roman"/>
          <w:color w:val="auto"/>
          <w:sz w:val="26"/>
          <w:szCs w:val="26"/>
        </w:rPr>
        <w:t>《中华人民共和国森林法》（2019年12月28日修正）</w:t>
      </w:r>
      <w:r>
        <w:rPr>
          <w:rFonts w:hint="default" w:ascii="Times New Roman" w:hAnsi="Times New Roman" w:eastAsia="宋体" w:cs="Times New Roman"/>
          <w:color w:val="auto"/>
          <w:sz w:val="26"/>
          <w:szCs w:val="26"/>
          <w:lang w:eastAsia="zh-CN"/>
        </w:rPr>
        <w:t>；</w:t>
      </w:r>
    </w:p>
    <w:p w14:paraId="53B7BBC5">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《中华人民共和国清洁生产促进法》（2012年2月29日修正）；</w:t>
      </w:r>
    </w:p>
    <w:p w14:paraId="4FA5C638">
      <w:pPr>
        <w:numPr>
          <w:ilvl w:val="0"/>
          <w:numId w:val="2"/>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《饮用水水源保护区污染防治管理规定（2010年修订）》。</w:t>
      </w:r>
    </w:p>
    <w:bookmarkEnd w:id="32"/>
    <w:p w14:paraId="5986C7D0">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1.2.2 规章和规范性文件</w:t>
      </w:r>
    </w:p>
    <w:p w14:paraId="00275D10">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《建设项目环境影响评价分类管理名录（2021年版）》（2021年1月1日实施）；</w:t>
      </w:r>
    </w:p>
    <w:p w14:paraId="710E0552">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《建设项目环境保护管理条例》（2017年7月16日修订）；</w:t>
      </w:r>
    </w:p>
    <w:p w14:paraId="19A2FBBF">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《环境影响评价公众参与办法》（生态环境部令第4号）；</w:t>
      </w:r>
    </w:p>
    <w:p w14:paraId="55FBB42B">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《关于发布&lt;环境影响评价公众参与办法&gt;配套文件的公告》（生态环境部公告2018年第48号）；</w:t>
      </w:r>
    </w:p>
    <w:p w14:paraId="1EE24D62">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《产业结构调整指导目录（2024年本）》；</w:t>
      </w:r>
    </w:p>
    <w:p w14:paraId="7BD39D06">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《天然气基础设施建设与运营管理办法》（</w:t>
      </w:r>
      <w:r>
        <w:rPr>
          <w:rFonts w:hint="default" w:ascii="Times New Roman" w:hAnsi="Times New Roman" w:eastAsia="宋体" w:cs="Times New Roman"/>
          <w:color w:val="auto"/>
          <w:sz w:val="26"/>
          <w:szCs w:val="26"/>
          <w:shd w:val="clear" w:fill="FFFFFF"/>
          <w:lang w:val="en-US" w:eastAsia="zh-CN"/>
        </w:rPr>
        <w:t>国家发改委</w:t>
      </w:r>
      <w:r>
        <w:rPr>
          <w:rFonts w:hint="default" w:ascii="Times New Roman" w:hAnsi="Times New Roman" w:eastAsia="宋体" w:cs="Times New Roman"/>
          <w:color w:val="auto"/>
          <w:sz w:val="26"/>
          <w:szCs w:val="26"/>
          <w:lang w:val="en-US" w:eastAsia="zh-CN"/>
        </w:rPr>
        <w:t>第8号令）；</w:t>
      </w:r>
    </w:p>
    <w:p w14:paraId="001C9D48">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《关于以改善环境质量为核心加强环境影响评价管理的通知》（环环评〔2016〕150号）；</w:t>
      </w:r>
    </w:p>
    <w:p w14:paraId="766AB8CF">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《关于切实加强风险防范严格环境影响评价管理的通知》（环发〔2012〕98号）；</w:t>
      </w:r>
    </w:p>
    <w:p w14:paraId="185C2157">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《关于进一步加强环境影响评价管理防范环境风险的通知》（环发〔2012〕77号）；</w:t>
      </w:r>
    </w:p>
    <w:p w14:paraId="40867D06">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《土地复垦条例》（2011年2月）；</w:t>
      </w:r>
    </w:p>
    <w:p w14:paraId="336820A8">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《土壤污染防治行动计划》（国发〔2016〕31号）；</w:t>
      </w:r>
    </w:p>
    <w:p w14:paraId="6CE28063">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《全国生态功能区划（修编版）》（2015年11月23日）；</w:t>
      </w:r>
    </w:p>
    <w:p w14:paraId="5D5B9956">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《中华人民共和国基本农田保护条例》（2011年修订）；</w:t>
      </w:r>
    </w:p>
    <w:p w14:paraId="58F63A7F">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《中华人民共和国陆生野生动物保护实施条例》（2016年2月）；</w:t>
      </w:r>
    </w:p>
    <w:p w14:paraId="7E11071C">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《中华人民共和国野生植物保护条例》（2017年10月）；</w:t>
      </w:r>
    </w:p>
    <w:p w14:paraId="7C126508">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《陆生野生动物重要栖息地名录（第一批）》（国家林业和草原局公告，2023年第23号）；</w:t>
      </w:r>
    </w:p>
    <w:p w14:paraId="1D8E8D96">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《国家重点保护野生动物名录》（2021年2月1日）；</w:t>
      </w:r>
    </w:p>
    <w:p w14:paraId="4D45665C">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《国家重点保护野生植物名录》（2021年9月7日）；</w:t>
      </w:r>
    </w:p>
    <w:p w14:paraId="10690D28">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《国家危险废物名录》（2025年版）；</w:t>
      </w:r>
    </w:p>
    <w:p w14:paraId="6EB74320">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《中华人民共和国土地管理法实施条例》（2021年7月2日修订）；</w:t>
      </w:r>
    </w:p>
    <w:p w14:paraId="1C653A5B">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《四川省、重庆市长江经济带发展负面清单实施细则（试行，2022年版）》；</w:t>
      </w:r>
    </w:p>
    <w:p w14:paraId="1A6AFDC0">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《“十四五”现代能源体系规划》（发改能源〔2022〕210号，2022年1月29日）；</w:t>
      </w:r>
    </w:p>
    <w:p w14:paraId="6B31500A">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《永久基本农田保护红线管理办法》（自2025年10月1日起施行）；</w:t>
      </w:r>
    </w:p>
    <w:p w14:paraId="314927FD">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shd w:val="clear" w:fill="FFFFFF"/>
          <w:lang w:val="en-US" w:eastAsia="zh-CN"/>
        </w:rPr>
        <w:t>国家林业局</w:t>
      </w:r>
      <w:r>
        <w:rPr>
          <w:rFonts w:hint="default" w:ascii="Times New Roman" w:hAnsi="Times New Roman" w:eastAsia="宋体" w:cs="Times New Roman"/>
          <w:color w:val="auto"/>
          <w:sz w:val="26"/>
          <w:szCs w:val="26"/>
          <w:lang w:val="en-US" w:eastAsia="zh-CN"/>
        </w:rPr>
        <w:t>关于严格保护天然林的通知》林资发〔2015〕181号；</w:t>
      </w:r>
    </w:p>
    <w:p w14:paraId="2462CBE6">
      <w:pPr>
        <w:numPr>
          <w:ilvl w:val="0"/>
          <w:numId w:val="3"/>
        </w:numPr>
        <w:spacing w:line="480" w:lineRule="exact"/>
        <w:ind w:left="454" w:leftChars="0" w:firstLine="260" w:firstLineChars="1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《关于印发重庆市天然林保护修复制度实施方案的通知》渝府办发〔2020〕103号。</w:t>
      </w:r>
    </w:p>
    <w:p w14:paraId="40A3713F">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1.2.3 地方行政规章及规范性文件</w:t>
      </w:r>
    </w:p>
    <w:p w14:paraId="47093A55">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bookmarkStart w:id="33" w:name="_Hlk131511819"/>
      <w:r>
        <w:rPr>
          <w:rFonts w:hint="default" w:ascii="Times New Roman" w:hAnsi="Times New Roman" w:eastAsia="宋体" w:cs="Times New Roman"/>
          <w:color w:val="auto"/>
          <w:sz w:val="26"/>
          <w:szCs w:val="26"/>
          <w:highlight w:val="none"/>
        </w:rPr>
        <w:t>《重庆市</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三线一单</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生态环境分区管控调整方案（2023年）》（渝环规〔2024〕2号）</w:t>
      </w:r>
      <w:r>
        <w:rPr>
          <w:rFonts w:hint="default" w:ascii="Times New Roman" w:hAnsi="Times New Roman" w:eastAsia="宋体" w:cs="Times New Roman"/>
          <w:color w:val="auto"/>
          <w:sz w:val="26"/>
          <w:szCs w:val="26"/>
          <w:highlight w:val="none"/>
          <w:lang w:eastAsia="zh-CN"/>
        </w:rPr>
        <w:t>；</w:t>
      </w:r>
    </w:p>
    <w:p w14:paraId="45DC5F3F">
      <w:pPr>
        <w:keepNext w:val="0"/>
        <w:keepLines w:val="0"/>
        <w:pageBreakBefore w:val="0"/>
        <w:widowControl/>
        <w:numPr>
          <w:ilvl w:val="0"/>
          <w:numId w:val="4"/>
        </w:numPr>
        <w:kinsoku/>
        <w:wordWrap/>
        <w:overflowPunct/>
        <w:topLinePunct w:val="0"/>
        <w:autoSpaceDE/>
        <w:autoSpaceDN/>
        <w:bidi w:val="0"/>
        <w:spacing w:line="500" w:lineRule="exact"/>
        <w:jc w:val="left"/>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《重庆市人民政府办公厅关于公布水土流失重点预防区和重点治理区</w:t>
      </w:r>
      <w:r>
        <w:rPr>
          <w:rFonts w:hint="default" w:ascii="Times New Roman" w:hAnsi="Times New Roman" w:eastAsia="宋体" w:cs="Times New Roman"/>
          <w:color w:val="auto"/>
          <w:sz w:val="26"/>
          <w:szCs w:val="26"/>
          <w:highlight w:val="none"/>
          <w:lang w:eastAsia="zh-CN"/>
        </w:rPr>
        <w:t>复核</w:t>
      </w:r>
      <w:r>
        <w:rPr>
          <w:rFonts w:hint="default" w:ascii="Times New Roman" w:hAnsi="Times New Roman" w:eastAsia="宋体" w:cs="Times New Roman"/>
          <w:color w:val="auto"/>
          <w:sz w:val="26"/>
          <w:szCs w:val="26"/>
          <w:highlight w:val="none"/>
        </w:rPr>
        <w:t>划分成果的通知》（渝府办发〔2015〕197号）</w:t>
      </w:r>
      <w:r>
        <w:rPr>
          <w:rFonts w:hint="default" w:ascii="Times New Roman" w:hAnsi="Times New Roman" w:eastAsia="宋体" w:cs="Times New Roman"/>
          <w:color w:val="auto"/>
          <w:sz w:val="26"/>
          <w:szCs w:val="26"/>
          <w:highlight w:val="none"/>
          <w:lang w:eastAsia="zh-CN"/>
        </w:rPr>
        <w:t>；</w:t>
      </w:r>
    </w:p>
    <w:p w14:paraId="42DC048D">
      <w:pPr>
        <w:keepNext w:val="0"/>
        <w:keepLines w:val="0"/>
        <w:pageBreakBefore w:val="0"/>
        <w:widowControl/>
        <w:numPr>
          <w:ilvl w:val="0"/>
          <w:numId w:val="4"/>
        </w:numPr>
        <w:kinsoku/>
        <w:wordWrap/>
        <w:overflowPunct/>
        <w:topLinePunct w:val="0"/>
        <w:autoSpaceDE/>
        <w:autoSpaceDN/>
        <w:bidi w:val="0"/>
        <w:spacing w:line="500" w:lineRule="exact"/>
        <w:jc w:val="left"/>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w:t>
      </w:r>
      <w:r>
        <w:rPr>
          <w:rFonts w:hint="default" w:ascii="Times New Roman" w:hAnsi="Times New Roman" w:eastAsia="宋体" w:cs="Times New Roman"/>
          <w:bCs/>
          <w:color w:val="auto"/>
          <w:sz w:val="26"/>
          <w:szCs w:val="26"/>
          <w:highlight w:val="none"/>
        </w:rPr>
        <w:t>重庆市水污染防治条例</w:t>
      </w:r>
      <w:r>
        <w:rPr>
          <w:rFonts w:hint="default" w:ascii="Times New Roman" w:hAnsi="Times New Roman" w:eastAsia="宋体" w:cs="Times New Roman"/>
          <w:color w:val="auto"/>
          <w:sz w:val="26"/>
          <w:szCs w:val="26"/>
          <w:highlight w:val="none"/>
        </w:rPr>
        <w:t>》</w:t>
      </w:r>
      <w:r>
        <w:rPr>
          <w:rFonts w:hint="default" w:ascii="Times New Roman" w:hAnsi="Times New Roman" w:eastAsia="宋体" w:cs="Times New Roman"/>
          <w:color w:val="auto"/>
          <w:sz w:val="26"/>
          <w:szCs w:val="26"/>
          <w:highlight w:val="none"/>
          <w:lang w:eastAsia="zh-CN"/>
        </w:rPr>
        <w:t>（2020年7月30日重庆市第五届人民代表大会常务委员会第二十次会议通过）；</w:t>
      </w:r>
    </w:p>
    <w:p w14:paraId="113ECA59">
      <w:pPr>
        <w:keepNext w:val="0"/>
        <w:keepLines w:val="0"/>
        <w:pageBreakBefore w:val="0"/>
        <w:widowControl/>
        <w:numPr>
          <w:ilvl w:val="0"/>
          <w:numId w:val="4"/>
        </w:numPr>
        <w:kinsoku/>
        <w:wordWrap/>
        <w:overflowPunct/>
        <w:topLinePunct w:val="0"/>
        <w:autoSpaceDE/>
        <w:autoSpaceDN/>
        <w:bidi w:val="0"/>
        <w:spacing w:line="500" w:lineRule="exact"/>
        <w:jc w:val="left"/>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《重庆市生态功能区划（修编）》（渝府〔2008〕133号）</w:t>
      </w:r>
      <w:r>
        <w:rPr>
          <w:rFonts w:hint="default" w:ascii="Times New Roman" w:hAnsi="Times New Roman" w:eastAsia="宋体" w:cs="Times New Roman"/>
          <w:color w:val="auto"/>
          <w:sz w:val="26"/>
          <w:szCs w:val="26"/>
          <w:highlight w:val="none"/>
          <w:lang w:eastAsia="zh-CN"/>
        </w:rPr>
        <w:t>；</w:t>
      </w:r>
    </w:p>
    <w:p w14:paraId="2C1733F6">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lang w:bidi="ar"/>
        </w:rPr>
        <w:t>《重庆市噪声污染防治办法》（重庆市人民政府令第363号，2024年2月1日起施行）</w:t>
      </w:r>
      <w:r>
        <w:rPr>
          <w:rFonts w:hint="default" w:ascii="Times New Roman" w:hAnsi="Times New Roman" w:eastAsia="宋体" w:cs="Times New Roman"/>
          <w:color w:val="auto"/>
          <w:sz w:val="26"/>
          <w:szCs w:val="26"/>
          <w:highlight w:val="none"/>
          <w:lang w:eastAsia="zh-CN" w:bidi="ar"/>
        </w:rPr>
        <w:t>；</w:t>
      </w:r>
    </w:p>
    <w:p w14:paraId="58BE1580">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《重庆市人民政府批转重庆市地表水环境功能类别调整方案的通知》（渝府发</w:t>
      </w:r>
      <w:r>
        <w:rPr>
          <w:rFonts w:hint="default" w:ascii="Times New Roman" w:hAnsi="Times New Roman" w:eastAsia="宋体" w:cs="Times New Roman"/>
          <w:color w:val="auto"/>
          <w:sz w:val="26"/>
          <w:szCs w:val="26"/>
          <w:highlight w:val="none"/>
          <w:lang w:eastAsia="zh-CN"/>
        </w:rPr>
        <w:t>〔2012〕4号</w:t>
      </w:r>
      <w:r>
        <w:rPr>
          <w:rFonts w:hint="default" w:ascii="Times New Roman" w:hAnsi="Times New Roman" w:eastAsia="宋体" w:cs="Times New Roman"/>
          <w:color w:val="auto"/>
          <w:sz w:val="26"/>
          <w:szCs w:val="26"/>
          <w:highlight w:val="none"/>
        </w:rPr>
        <w:t>）</w:t>
      </w:r>
      <w:r>
        <w:rPr>
          <w:rFonts w:hint="default" w:ascii="Times New Roman" w:hAnsi="Times New Roman" w:eastAsia="宋体" w:cs="Times New Roman"/>
          <w:color w:val="auto"/>
          <w:sz w:val="26"/>
          <w:szCs w:val="26"/>
          <w:highlight w:val="none"/>
          <w:lang w:eastAsia="zh-CN"/>
        </w:rPr>
        <w:t>；</w:t>
      </w:r>
    </w:p>
    <w:p w14:paraId="53C7A58E">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《重庆市人民政府关于批转重庆市地表水环境功能类别局部调整方案的通知》（渝府〔2016〕43号）</w:t>
      </w:r>
      <w:r>
        <w:rPr>
          <w:rFonts w:hint="default" w:ascii="Times New Roman" w:hAnsi="Times New Roman" w:eastAsia="宋体" w:cs="Times New Roman"/>
          <w:color w:val="auto"/>
          <w:sz w:val="26"/>
          <w:szCs w:val="26"/>
          <w:highlight w:val="none"/>
          <w:lang w:eastAsia="zh-CN"/>
        </w:rPr>
        <w:t>；</w:t>
      </w:r>
    </w:p>
    <w:p w14:paraId="6AFB6559">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《重庆市人民政府办公厅关于调整万州区等31个区县（自治县）集中式饮用水源保护区的通知》（渝府办〔2013〕40号）</w:t>
      </w:r>
      <w:r>
        <w:rPr>
          <w:rFonts w:hint="default" w:ascii="Times New Roman" w:hAnsi="Times New Roman" w:eastAsia="宋体" w:cs="Times New Roman"/>
          <w:color w:val="auto"/>
          <w:sz w:val="26"/>
          <w:szCs w:val="26"/>
          <w:highlight w:val="none"/>
          <w:lang w:eastAsia="zh-CN"/>
        </w:rPr>
        <w:t>；</w:t>
      </w:r>
    </w:p>
    <w:p w14:paraId="6BB2CE59">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《重庆市人民政府关于印发重庆市环境空气质量功能区划分规定的通知》（渝府发</w:t>
      </w:r>
      <w:r>
        <w:rPr>
          <w:rFonts w:hint="default" w:ascii="Times New Roman" w:hAnsi="Times New Roman" w:eastAsia="宋体" w:cs="Times New Roman"/>
          <w:color w:val="auto"/>
          <w:sz w:val="26"/>
          <w:szCs w:val="26"/>
          <w:highlight w:val="none"/>
          <w:lang w:val="en-US" w:eastAsia="zh-CN"/>
        </w:rPr>
        <w:t>〔</w:t>
      </w:r>
      <w:r>
        <w:rPr>
          <w:rFonts w:hint="default" w:ascii="Times New Roman" w:hAnsi="Times New Roman" w:eastAsia="宋体" w:cs="Times New Roman"/>
          <w:color w:val="auto"/>
          <w:sz w:val="26"/>
          <w:szCs w:val="26"/>
          <w:highlight w:val="none"/>
        </w:rPr>
        <w:t>2016〕19号）</w:t>
      </w:r>
      <w:r>
        <w:rPr>
          <w:rFonts w:hint="default" w:ascii="Times New Roman" w:hAnsi="Times New Roman" w:eastAsia="宋体" w:cs="Times New Roman"/>
          <w:color w:val="auto"/>
          <w:sz w:val="26"/>
          <w:szCs w:val="26"/>
          <w:highlight w:val="none"/>
          <w:lang w:eastAsia="zh-CN"/>
        </w:rPr>
        <w:t>；</w:t>
      </w:r>
    </w:p>
    <w:p w14:paraId="07CA9E43">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《重庆市大气环境保护</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十四五</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规划（2021—2025年）》（渝环〔2022〕43号）</w:t>
      </w:r>
      <w:r>
        <w:rPr>
          <w:rFonts w:hint="default" w:ascii="Times New Roman" w:hAnsi="Times New Roman" w:eastAsia="宋体" w:cs="Times New Roman"/>
          <w:color w:val="auto"/>
          <w:sz w:val="26"/>
          <w:szCs w:val="26"/>
          <w:highlight w:val="none"/>
          <w:lang w:eastAsia="zh-CN"/>
        </w:rPr>
        <w:t>；</w:t>
      </w:r>
    </w:p>
    <w:p w14:paraId="5D3494CA">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《重庆市空气质量持续改善行动实施方案》（渝府发〔2024〕15 号）</w:t>
      </w:r>
      <w:r>
        <w:rPr>
          <w:rFonts w:hint="default" w:ascii="Times New Roman" w:hAnsi="Times New Roman" w:eastAsia="宋体" w:cs="Times New Roman"/>
          <w:color w:val="auto"/>
          <w:sz w:val="26"/>
          <w:szCs w:val="26"/>
          <w:highlight w:val="none"/>
          <w:lang w:eastAsia="zh-CN"/>
        </w:rPr>
        <w:t>；</w:t>
      </w:r>
    </w:p>
    <w:p w14:paraId="048ED831">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《重庆市噪声污染防治实施方案（2023—2027年）》（渝环〔2024〕24号）</w:t>
      </w:r>
      <w:r>
        <w:rPr>
          <w:rFonts w:hint="default" w:ascii="Times New Roman" w:hAnsi="Times New Roman" w:eastAsia="宋体" w:cs="Times New Roman"/>
          <w:color w:val="auto"/>
          <w:sz w:val="26"/>
          <w:szCs w:val="26"/>
          <w:highlight w:val="none"/>
          <w:lang w:eastAsia="zh-CN"/>
        </w:rPr>
        <w:t>；</w:t>
      </w:r>
    </w:p>
    <w:p w14:paraId="4BD4B00B">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十四五</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土壤生态环境保护规划（2021—2025年）》（渝环〔2022〕108号）</w:t>
      </w:r>
      <w:r>
        <w:rPr>
          <w:rFonts w:hint="default" w:ascii="Times New Roman" w:hAnsi="Times New Roman" w:eastAsia="宋体" w:cs="Times New Roman"/>
          <w:color w:val="auto"/>
          <w:sz w:val="26"/>
          <w:szCs w:val="26"/>
          <w:highlight w:val="none"/>
          <w:lang w:eastAsia="zh-CN"/>
        </w:rPr>
        <w:t>；</w:t>
      </w:r>
    </w:p>
    <w:p w14:paraId="015964EB">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《重庆市重点保护野生植物名录》（重庆市林业局 重庆市农业农村委员会公告，渝林规范〔2023〕2号）</w:t>
      </w:r>
      <w:r>
        <w:rPr>
          <w:rFonts w:hint="default" w:ascii="Times New Roman" w:hAnsi="Times New Roman" w:eastAsia="宋体" w:cs="Times New Roman"/>
          <w:color w:val="auto"/>
          <w:sz w:val="26"/>
          <w:szCs w:val="26"/>
          <w:highlight w:val="none"/>
          <w:lang w:eastAsia="zh-CN"/>
        </w:rPr>
        <w:t>；</w:t>
      </w:r>
    </w:p>
    <w:p w14:paraId="19BC7BAD">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《重庆市重点保护野生动物名录》（重庆市林业局 重庆市农业农村委员会公告，渝林规范〔2023〕2号）</w:t>
      </w:r>
      <w:r>
        <w:rPr>
          <w:rFonts w:hint="default" w:ascii="Times New Roman" w:hAnsi="Times New Roman" w:eastAsia="宋体" w:cs="Times New Roman"/>
          <w:color w:val="auto"/>
          <w:sz w:val="26"/>
          <w:szCs w:val="26"/>
          <w:highlight w:val="none"/>
          <w:lang w:eastAsia="zh-CN"/>
        </w:rPr>
        <w:t>；</w:t>
      </w:r>
    </w:p>
    <w:p w14:paraId="75A2844F">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《重庆市綦江区“三线一单”生态环境分区管控调整方案（2023年）》（綦江府发〔2024〕15号）</w:t>
      </w:r>
      <w:r>
        <w:rPr>
          <w:rFonts w:hint="default" w:ascii="Times New Roman" w:hAnsi="Times New Roman" w:eastAsia="宋体" w:cs="Times New Roman"/>
          <w:color w:val="auto"/>
          <w:sz w:val="26"/>
          <w:szCs w:val="26"/>
          <w:highlight w:val="none"/>
          <w:lang w:eastAsia="zh-CN"/>
        </w:rPr>
        <w:t>；</w:t>
      </w:r>
    </w:p>
    <w:p w14:paraId="1341EBDA">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《重庆市能源发展“十四五”规划（2021—2025年）》（渝府办发〔2022〕48号）</w:t>
      </w:r>
      <w:r>
        <w:rPr>
          <w:rFonts w:hint="default" w:ascii="Times New Roman" w:hAnsi="Times New Roman" w:eastAsia="宋体" w:cs="Times New Roman"/>
          <w:color w:val="auto"/>
          <w:sz w:val="26"/>
          <w:szCs w:val="26"/>
          <w:highlight w:val="none"/>
          <w:lang w:eastAsia="zh-CN"/>
        </w:rPr>
        <w:t>；</w:t>
      </w:r>
    </w:p>
    <w:p w14:paraId="59A7FF84">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《重庆市国民经济和社会发展第十四个五年规划和二〇三五年远景目标纲要》（渝府发〔2021〕6号）</w:t>
      </w:r>
      <w:r>
        <w:rPr>
          <w:rFonts w:hint="default" w:ascii="Times New Roman" w:hAnsi="Times New Roman" w:eastAsia="宋体" w:cs="Times New Roman"/>
          <w:color w:val="auto"/>
          <w:sz w:val="26"/>
          <w:szCs w:val="26"/>
          <w:highlight w:val="none"/>
          <w:lang w:eastAsia="zh-CN"/>
        </w:rPr>
        <w:t>；</w:t>
      </w:r>
    </w:p>
    <w:p w14:paraId="4BC162AC">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《重庆市綦江区国民经济和社会发展第十四个五年规划和二〇三五年远景目标纲要》（綦江府发〔2021〕5号）</w:t>
      </w:r>
      <w:r>
        <w:rPr>
          <w:rFonts w:hint="default" w:ascii="Times New Roman" w:hAnsi="Times New Roman" w:eastAsia="宋体" w:cs="Times New Roman"/>
          <w:color w:val="auto"/>
          <w:sz w:val="26"/>
          <w:szCs w:val="26"/>
          <w:highlight w:val="none"/>
          <w:lang w:eastAsia="zh-CN"/>
        </w:rPr>
        <w:t>；</w:t>
      </w:r>
    </w:p>
    <w:p w14:paraId="1AFD6838">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《重庆市生态环境保护“十四五”规划（2021-2025）》（渝府发〔2022〕11号）</w:t>
      </w:r>
      <w:r>
        <w:rPr>
          <w:rFonts w:hint="default" w:ascii="Times New Roman" w:hAnsi="Times New Roman" w:eastAsia="宋体" w:cs="Times New Roman"/>
          <w:color w:val="auto"/>
          <w:sz w:val="26"/>
          <w:szCs w:val="26"/>
          <w:highlight w:val="none"/>
          <w:lang w:eastAsia="zh-CN"/>
        </w:rPr>
        <w:t>；</w:t>
      </w:r>
    </w:p>
    <w:p w14:paraId="61BD5CB8">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《重庆市綦江区生态环境保护“十四五”规划（2021-2025）》（綦府发〔2021〕28号）</w:t>
      </w:r>
      <w:r>
        <w:rPr>
          <w:rFonts w:hint="default" w:ascii="Times New Roman" w:hAnsi="Times New Roman" w:eastAsia="宋体" w:cs="Times New Roman"/>
          <w:color w:val="auto"/>
          <w:sz w:val="26"/>
          <w:szCs w:val="26"/>
          <w:highlight w:val="none"/>
          <w:lang w:eastAsia="zh-CN"/>
        </w:rPr>
        <w:t>；</w:t>
      </w:r>
    </w:p>
    <w:p w14:paraId="6E571EB7">
      <w:pPr>
        <w:pStyle w:val="67"/>
        <w:keepNext w:val="0"/>
        <w:keepLines w:val="0"/>
        <w:pageBreakBefore w:val="0"/>
        <w:numPr>
          <w:ilvl w:val="0"/>
          <w:numId w:val="4"/>
        </w:numPr>
        <w:kinsoku/>
        <w:wordWrap/>
        <w:overflowPunct/>
        <w:topLinePunct w:val="0"/>
        <w:autoSpaceDE/>
        <w:autoSpaceDN/>
        <w:bidi w:val="0"/>
        <w:adjustRightInd w:val="0"/>
        <w:snapToGrid w:val="0"/>
        <w:spacing w:line="500" w:lineRule="exact"/>
        <w:ind w:firstLineChars="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《重庆市土地管理条例》（自2025年1月1日起施行）</w:t>
      </w:r>
      <w:r>
        <w:rPr>
          <w:rFonts w:hint="default" w:ascii="Times New Roman" w:hAnsi="Times New Roman" w:eastAsia="宋体" w:cs="Times New Roman"/>
          <w:color w:val="auto"/>
          <w:sz w:val="26"/>
          <w:szCs w:val="26"/>
          <w:highlight w:val="none"/>
          <w:lang w:eastAsia="zh-CN"/>
        </w:rPr>
        <w:t>。</w:t>
      </w:r>
    </w:p>
    <w:bookmarkEnd w:id="33"/>
    <w:p w14:paraId="799C7A07">
      <w:pPr>
        <w:adjustRightInd w:val="0"/>
        <w:snapToGrid w:val="0"/>
        <w:spacing w:line="46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1.2.4 技术规范</w:t>
      </w:r>
    </w:p>
    <w:p w14:paraId="585213C8">
      <w:pPr>
        <w:numPr>
          <w:ilvl w:val="0"/>
          <w:numId w:val="4"/>
        </w:numPr>
        <w:adjustRightInd w:val="0"/>
        <w:snapToGrid w:val="0"/>
        <w:spacing w:line="480" w:lineRule="exact"/>
        <w:ind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《建设项目环境影响评价技术导则 总纲》（HJ2.1-2016）；</w:t>
      </w:r>
    </w:p>
    <w:p w14:paraId="4A87311D">
      <w:pPr>
        <w:numPr>
          <w:ilvl w:val="0"/>
          <w:numId w:val="4"/>
        </w:numPr>
        <w:adjustRightInd w:val="0"/>
        <w:snapToGrid w:val="0"/>
        <w:spacing w:line="480" w:lineRule="exact"/>
        <w:ind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《环境影响评价技术导则 大气环境》（HJ2.2-2018）；</w:t>
      </w:r>
    </w:p>
    <w:p w14:paraId="01903868">
      <w:pPr>
        <w:numPr>
          <w:ilvl w:val="0"/>
          <w:numId w:val="4"/>
        </w:numPr>
        <w:adjustRightInd w:val="0"/>
        <w:snapToGrid w:val="0"/>
        <w:spacing w:line="480" w:lineRule="exact"/>
        <w:ind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《环境影响评价技术导则 地表水环境》（HJ2.3-2018）；</w:t>
      </w:r>
    </w:p>
    <w:p w14:paraId="3E2B86E1">
      <w:pPr>
        <w:numPr>
          <w:ilvl w:val="0"/>
          <w:numId w:val="4"/>
        </w:numPr>
        <w:adjustRightInd w:val="0"/>
        <w:snapToGrid w:val="0"/>
        <w:spacing w:line="480" w:lineRule="exact"/>
        <w:ind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《环境影响评价技术导则 声环境》（HJ2.4-2021）；</w:t>
      </w:r>
    </w:p>
    <w:p w14:paraId="74307F44">
      <w:pPr>
        <w:numPr>
          <w:ilvl w:val="0"/>
          <w:numId w:val="4"/>
        </w:numPr>
        <w:adjustRightInd w:val="0"/>
        <w:snapToGrid w:val="0"/>
        <w:spacing w:line="480" w:lineRule="exact"/>
        <w:ind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《环境影响评价技术导则 生态影响》（HJ19-2022）；</w:t>
      </w:r>
    </w:p>
    <w:p w14:paraId="4C171F68">
      <w:pPr>
        <w:numPr>
          <w:ilvl w:val="0"/>
          <w:numId w:val="4"/>
        </w:numPr>
        <w:adjustRightInd w:val="0"/>
        <w:snapToGrid w:val="0"/>
        <w:spacing w:line="480" w:lineRule="exact"/>
        <w:ind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《环境影响评价技术导则 地下水环境》（HJ610-2016）；</w:t>
      </w:r>
    </w:p>
    <w:p w14:paraId="0DF9D02E">
      <w:pPr>
        <w:numPr>
          <w:ilvl w:val="0"/>
          <w:numId w:val="4"/>
        </w:numPr>
        <w:adjustRightInd w:val="0"/>
        <w:snapToGrid w:val="0"/>
        <w:spacing w:line="480" w:lineRule="exact"/>
        <w:ind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《环境影响评价技术导则 土壤环境（试行）》（HJ964-2018）；</w:t>
      </w:r>
    </w:p>
    <w:p w14:paraId="54140E62">
      <w:pPr>
        <w:numPr>
          <w:ilvl w:val="0"/>
          <w:numId w:val="4"/>
        </w:numPr>
        <w:adjustRightInd w:val="0"/>
        <w:snapToGrid w:val="0"/>
        <w:spacing w:line="480" w:lineRule="exact"/>
        <w:ind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rPr>
        <w:fldChar w:fldCharType="begin"/>
      </w:r>
      <w:r>
        <w:rPr>
          <w:rFonts w:hint="default" w:ascii="Times New Roman" w:hAnsi="Times New Roman" w:eastAsia="宋体" w:cs="Times New Roman"/>
          <w:color w:val="auto"/>
          <w:sz w:val="26"/>
          <w:szCs w:val="26"/>
        </w:rPr>
        <w:instrText xml:space="preserve"> HYPERLINK "http://gongcheng.studyez.com/kb/?id=342" \t "_blank" </w:instrText>
      </w:r>
      <w:r>
        <w:rPr>
          <w:rFonts w:hint="default" w:ascii="Times New Roman" w:hAnsi="Times New Roman" w:eastAsia="宋体" w:cs="Times New Roman"/>
          <w:color w:val="auto"/>
          <w:sz w:val="26"/>
          <w:szCs w:val="26"/>
        </w:rPr>
        <w:fldChar w:fldCharType="separate"/>
      </w:r>
      <w:r>
        <w:rPr>
          <w:rFonts w:hint="default" w:ascii="Times New Roman" w:hAnsi="Times New Roman" w:eastAsia="宋体" w:cs="Times New Roman"/>
          <w:color w:val="auto"/>
          <w:sz w:val="26"/>
          <w:szCs w:val="26"/>
        </w:rPr>
        <w:t>建设项目环境风险评价技术导则</w:t>
      </w:r>
      <w:r>
        <w:rPr>
          <w:rFonts w:hint="default" w:ascii="Times New Roman" w:hAnsi="Times New Roman" w:eastAsia="宋体" w:cs="Times New Roman"/>
          <w:color w:val="auto"/>
          <w:sz w:val="26"/>
          <w:szCs w:val="26"/>
        </w:rPr>
        <w:fldChar w:fldCharType="end"/>
      </w:r>
      <w:r>
        <w:rPr>
          <w:rFonts w:hint="default" w:ascii="Times New Roman" w:hAnsi="Times New Roman" w:eastAsia="宋体" w:cs="Times New Roman"/>
          <w:color w:val="auto"/>
          <w:sz w:val="26"/>
          <w:szCs w:val="26"/>
        </w:rPr>
        <w:t>》（HJ169-2018）</w:t>
      </w:r>
      <w:r>
        <w:rPr>
          <w:rFonts w:hint="default" w:ascii="Times New Roman" w:hAnsi="Times New Roman" w:eastAsia="宋体" w:cs="Times New Roman"/>
          <w:color w:val="auto"/>
          <w:sz w:val="26"/>
          <w:szCs w:val="26"/>
          <w:lang w:eastAsia="zh-CN"/>
        </w:rPr>
        <w:t>。</w:t>
      </w:r>
    </w:p>
    <w:p w14:paraId="3CCC07E3">
      <w:pPr>
        <w:adjustRightInd w:val="0"/>
        <w:snapToGrid w:val="0"/>
        <w:spacing w:line="460" w:lineRule="exact"/>
        <w:ind w:left="52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1.2.</w:t>
      </w:r>
      <w:r>
        <w:rPr>
          <w:rFonts w:hint="default" w:ascii="Times New Roman" w:hAnsi="Times New Roman" w:eastAsia="宋体" w:cs="Times New Roman"/>
          <w:b/>
          <w:color w:val="auto"/>
          <w:sz w:val="26"/>
          <w:szCs w:val="26"/>
          <w:lang w:val="en-US" w:eastAsia="zh-CN"/>
        </w:rPr>
        <w:t>5</w:t>
      </w:r>
      <w:r>
        <w:rPr>
          <w:rFonts w:hint="default" w:ascii="Times New Roman" w:hAnsi="Times New Roman" w:eastAsia="宋体" w:cs="Times New Roman"/>
          <w:b/>
          <w:color w:val="auto"/>
          <w:sz w:val="26"/>
          <w:szCs w:val="26"/>
        </w:rPr>
        <w:t xml:space="preserve"> 建设项目的有关资料</w:t>
      </w:r>
    </w:p>
    <w:p w14:paraId="302BCC00">
      <w:pPr>
        <w:pStyle w:val="56"/>
        <w:rPr>
          <w:rFonts w:hint="default" w:ascii="Times New Roman" w:hAnsi="Times New Roman" w:eastAsia="宋体" w:cs="Times New Roman"/>
          <w:color w:val="auto"/>
        </w:rPr>
      </w:pPr>
      <w:bookmarkStart w:id="34" w:name="_Toc45551060"/>
      <w:bookmarkStart w:id="35" w:name="_Toc60144374"/>
      <w:bookmarkStart w:id="36" w:name="_Toc12171"/>
      <w:bookmarkStart w:id="37" w:name="_Toc536297604"/>
      <w:r>
        <w:rPr>
          <w:rFonts w:hint="default" w:ascii="Times New Roman" w:hAnsi="Times New Roman" w:eastAsia="宋体" w:cs="Times New Roman"/>
          <w:color w:val="auto"/>
        </w:rPr>
        <w:t>（1）项目施工设计图（四川</w:t>
      </w:r>
      <w:r>
        <w:rPr>
          <w:rFonts w:hint="default" w:ascii="Times New Roman" w:hAnsi="Times New Roman" w:eastAsia="宋体" w:cs="Times New Roman"/>
          <w:color w:val="auto"/>
          <w:lang w:val="en-US" w:eastAsia="zh-CN"/>
        </w:rPr>
        <w:t>华果石油天然气工程设计</w:t>
      </w:r>
      <w:r>
        <w:rPr>
          <w:rFonts w:hint="default" w:ascii="Times New Roman" w:hAnsi="Times New Roman" w:eastAsia="宋体" w:cs="Times New Roman"/>
          <w:color w:val="auto"/>
        </w:rPr>
        <w:t>有限公司）；</w:t>
      </w:r>
    </w:p>
    <w:p w14:paraId="4BE1C74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（2）委托书；</w:t>
      </w:r>
    </w:p>
    <w:p w14:paraId="2D801161">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（3）环境质量现状监测报告</w:t>
      </w:r>
      <w:r>
        <w:rPr>
          <w:rFonts w:hint="default" w:ascii="Times New Roman" w:hAnsi="Times New Roman" w:eastAsia="宋体" w:cs="Times New Roman"/>
          <w:color w:val="auto"/>
          <w:lang w:eastAsia="zh-CN"/>
        </w:rPr>
        <w:t>；</w:t>
      </w:r>
    </w:p>
    <w:p w14:paraId="0A297E33">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（4）建设单位提供的其他工程资料</w:t>
      </w:r>
      <w:r>
        <w:rPr>
          <w:rFonts w:hint="default" w:ascii="Times New Roman" w:hAnsi="Times New Roman" w:eastAsia="宋体" w:cs="Times New Roman"/>
          <w:color w:val="auto"/>
          <w:lang w:eastAsia="zh-CN"/>
        </w:rPr>
        <w:t>。</w:t>
      </w:r>
    </w:p>
    <w:p w14:paraId="03D929E2">
      <w:pPr>
        <w:spacing w:line="460" w:lineRule="exact"/>
        <w:ind w:firstLine="522"/>
        <w:outlineLvl w:val="1"/>
        <w:rPr>
          <w:rFonts w:hint="default" w:ascii="Times New Roman" w:hAnsi="Times New Roman" w:eastAsia="宋体" w:cs="Times New Roman"/>
          <w:b/>
          <w:color w:val="auto"/>
          <w:sz w:val="26"/>
          <w:szCs w:val="26"/>
        </w:rPr>
      </w:pPr>
      <w:bookmarkStart w:id="38" w:name="_Toc21621"/>
      <w:r>
        <w:rPr>
          <w:rFonts w:hint="default" w:ascii="Times New Roman" w:hAnsi="Times New Roman" w:eastAsia="宋体" w:cs="Times New Roman"/>
          <w:b/>
          <w:color w:val="auto"/>
          <w:sz w:val="26"/>
          <w:szCs w:val="26"/>
        </w:rPr>
        <w:t>1.3 选线环境可行性</w:t>
      </w:r>
      <w:bookmarkEnd w:id="38"/>
    </w:p>
    <w:p w14:paraId="50E6F602">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1.3.1与产业政策、规划符合性分析</w:t>
      </w:r>
    </w:p>
    <w:p w14:paraId="07EEB894">
      <w:pPr>
        <w:pStyle w:val="93"/>
        <w:ind w:firstLine="52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（1）与产业政策符合性分析</w:t>
      </w:r>
    </w:p>
    <w:p w14:paraId="7D8529EA">
      <w:pPr>
        <w:pStyle w:val="93"/>
        <w:ind w:firstLine="5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本项目为</w:t>
      </w:r>
      <w:r>
        <w:rPr>
          <w:rFonts w:hint="default" w:ascii="Times New Roman" w:hAnsi="Times New Roman" w:eastAsia="宋体" w:cs="Times New Roman"/>
          <w:color w:val="auto"/>
          <w:lang w:val="en-US" w:eastAsia="zh-CN"/>
        </w:rPr>
        <w:t>天然气管道改建项目</w:t>
      </w:r>
      <w:r>
        <w:rPr>
          <w:rFonts w:hint="default" w:ascii="Times New Roman" w:hAnsi="Times New Roman" w:eastAsia="宋体" w:cs="Times New Roman"/>
          <w:color w:val="auto"/>
        </w:rPr>
        <w:t>，根据《产业结构调整指导目录（2024</w:t>
      </w:r>
      <w:r>
        <w:rPr>
          <w:rFonts w:hint="default" w:ascii="Times New Roman" w:hAnsi="Times New Roman" w:eastAsia="宋体" w:cs="Times New Roman"/>
          <w:color w:val="auto"/>
          <w:lang w:val="en-US" w:eastAsia="zh-CN"/>
        </w:rPr>
        <w:t>年</w:t>
      </w:r>
      <w:r>
        <w:rPr>
          <w:rFonts w:hint="default" w:ascii="Times New Roman" w:hAnsi="Times New Roman" w:eastAsia="宋体" w:cs="Times New Roman"/>
          <w:color w:val="auto"/>
        </w:rPr>
        <w:t>）》，本工程属于第一类“鼓励类”第七条“石油类、天然气”第2项“油气管网建设：原油、天然气、液化天然气、成品油的储存和管道输送设施、网络和液化天然气加注设施建设、技术装备开发与应用”，符合国家有关产业政策</w:t>
      </w:r>
      <w:r>
        <w:rPr>
          <w:rFonts w:hint="default" w:ascii="Times New Roman" w:hAnsi="Times New Roman" w:eastAsia="宋体" w:cs="Times New Roman"/>
          <w:color w:val="auto"/>
          <w:lang w:eastAsia="zh-CN"/>
        </w:rPr>
        <w:t>。</w:t>
      </w:r>
    </w:p>
    <w:p w14:paraId="5128B751">
      <w:pPr>
        <w:pStyle w:val="93"/>
        <w:ind w:firstLine="52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（2）与《四川省、重庆市长江经济带发展负面清单实施细则（试行，2022年版）》的符合性分析</w:t>
      </w:r>
    </w:p>
    <w:p w14:paraId="481D7B92">
      <w:pPr>
        <w:pStyle w:val="93"/>
        <w:ind w:firstLine="520"/>
        <w:rPr>
          <w:rFonts w:hint="default" w:ascii="Times New Roman" w:hAnsi="Times New Roman" w:eastAsia="宋体" w:cs="Times New Roman"/>
          <w:color w:val="auto"/>
        </w:rPr>
      </w:pPr>
      <w:bookmarkStart w:id="39" w:name="_Hlk127951449"/>
      <w:r>
        <w:rPr>
          <w:rFonts w:hint="default" w:ascii="Times New Roman" w:hAnsi="Times New Roman" w:eastAsia="宋体" w:cs="Times New Roman"/>
          <w:color w:val="auto"/>
        </w:rPr>
        <w:t>2022年8月25日四川省和重庆市联合发布《关于印发四川省、重庆市长江经济带发展负面清单实施细则（试行，2022年版）的通知》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本项目与《四川省、重庆市长江经济带发展负面清单实施细则（试行，2022年版）》符合性分析见下表。</w:t>
      </w:r>
    </w:p>
    <w:p w14:paraId="1ED3C06E">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 </w:t>
      </w:r>
    </w:p>
    <w:p w14:paraId="38E611A3">
      <w:pPr>
        <w:pStyle w:val="85"/>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表1.3-1 与《四川省、重庆市长江经济带发展负面清单实施细则》符合性分析</w:t>
      </w:r>
    </w:p>
    <w:tbl>
      <w:tblPr>
        <w:tblStyle w:val="29"/>
        <w:tblW w:w="4926"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6150"/>
        <w:gridCol w:w="1114"/>
        <w:gridCol w:w="1114"/>
      </w:tblGrid>
      <w:tr w14:paraId="7A9D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373BC0C8">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序号</w:t>
            </w:r>
          </w:p>
        </w:tc>
        <w:tc>
          <w:tcPr>
            <w:tcW w:w="3492" w:type="pct"/>
            <w:tcBorders>
              <w:top w:val="single" w:color="auto" w:sz="4" w:space="0"/>
              <w:left w:val="nil"/>
              <w:bottom w:val="single" w:color="auto" w:sz="4" w:space="0"/>
              <w:right w:val="single" w:color="auto" w:sz="4" w:space="0"/>
            </w:tcBorders>
            <w:noWrap w:val="0"/>
            <w:vAlign w:val="center"/>
          </w:tcPr>
          <w:p w14:paraId="6260E3DC">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指南要求</w:t>
            </w:r>
          </w:p>
        </w:tc>
        <w:tc>
          <w:tcPr>
            <w:tcW w:w="635" w:type="pct"/>
            <w:tcBorders>
              <w:top w:val="single" w:color="auto" w:sz="4" w:space="0"/>
              <w:left w:val="nil"/>
              <w:bottom w:val="single" w:color="auto" w:sz="4" w:space="0"/>
              <w:right w:val="single" w:color="auto" w:sz="4" w:space="0"/>
            </w:tcBorders>
            <w:noWrap w:val="0"/>
            <w:vAlign w:val="center"/>
          </w:tcPr>
          <w:p w14:paraId="0257D6BC">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对比</w:t>
            </w:r>
          </w:p>
          <w:p w14:paraId="21341F17">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分析</w:t>
            </w:r>
          </w:p>
        </w:tc>
        <w:tc>
          <w:tcPr>
            <w:tcW w:w="635" w:type="pct"/>
            <w:tcBorders>
              <w:top w:val="single" w:color="auto" w:sz="4" w:space="0"/>
              <w:left w:val="nil"/>
              <w:bottom w:val="single" w:color="auto" w:sz="4" w:space="0"/>
              <w:right w:val="single" w:color="auto" w:sz="4" w:space="0"/>
            </w:tcBorders>
            <w:noWrap w:val="0"/>
            <w:vAlign w:val="center"/>
          </w:tcPr>
          <w:p w14:paraId="05308D46">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分析</w:t>
            </w:r>
          </w:p>
          <w:p w14:paraId="3EC8AE71">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结果</w:t>
            </w:r>
          </w:p>
        </w:tc>
      </w:tr>
      <w:tr w14:paraId="08A2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009BB59A">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1</w:t>
            </w:r>
          </w:p>
        </w:tc>
        <w:tc>
          <w:tcPr>
            <w:tcW w:w="3492" w:type="pct"/>
            <w:tcBorders>
              <w:top w:val="single" w:color="auto" w:sz="4" w:space="0"/>
              <w:left w:val="nil"/>
              <w:bottom w:val="single" w:color="auto" w:sz="4" w:space="0"/>
              <w:right w:val="single" w:color="auto" w:sz="4" w:space="0"/>
            </w:tcBorders>
            <w:noWrap w:val="0"/>
            <w:vAlign w:val="center"/>
          </w:tcPr>
          <w:p w14:paraId="6EBEB641">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第五条禁止新建、改建和扩建不符合全国港口布局规划，以及《四川省内河水运发展规划》《泸州—宜宾—乐山港口群布局规划》《重庆港总体规划（203 5 年）》等省级港口布局规划及市级港口总体规划的码头项目。</w:t>
            </w:r>
          </w:p>
        </w:tc>
        <w:tc>
          <w:tcPr>
            <w:tcW w:w="635" w:type="pct"/>
            <w:tcBorders>
              <w:top w:val="single" w:color="auto" w:sz="4" w:space="0"/>
              <w:left w:val="nil"/>
              <w:bottom w:val="single" w:color="auto" w:sz="4" w:space="0"/>
              <w:right w:val="single" w:color="auto" w:sz="4" w:space="0"/>
            </w:tcBorders>
            <w:noWrap w:val="0"/>
            <w:vAlign w:val="center"/>
          </w:tcPr>
          <w:p w14:paraId="0E973680">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本项目不涉及</w:t>
            </w:r>
          </w:p>
        </w:tc>
        <w:tc>
          <w:tcPr>
            <w:tcW w:w="635" w:type="pct"/>
            <w:tcBorders>
              <w:top w:val="single" w:color="auto" w:sz="4" w:space="0"/>
              <w:left w:val="nil"/>
              <w:bottom w:val="single" w:color="auto" w:sz="4" w:space="0"/>
              <w:right w:val="single" w:color="auto" w:sz="4" w:space="0"/>
            </w:tcBorders>
            <w:noWrap w:val="0"/>
            <w:vAlign w:val="center"/>
          </w:tcPr>
          <w:p w14:paraId="06BFBA79">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5A69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102D257E">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2</w:t>
            </w:r>
          </w:p>
        </w:tc>
        <w:tc>
          <w:tcPr>
            <w:tcW w:w="3492" w:type="pct"/>
            <w:tcBorders>
              <w:top w:val="single" w:color="auto" w:sz="4" w:space="0"/>
              <w:left w:val="nil"/>
              <w:bottom w:val="single" w:color="auto" w:sz="4" w:space="0"/>
              <w:right w:val="single" w:color="auto" w:sz="4" w:space="0"/>
            </w:tcBorders>
            <w:noWrap w:val="0"/>
            <w:vAlign w:val="center"/>
          </w:tcPr>
          <w:p w14:paraId="16F42603">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第六条禁止新建、改建和扩建不符合《长江</w:t>
            </w:r>
            <w:r>
              <w:rPr>
                <w:rFonts w:hint="default" w:ascii="Times New Roman" w:hAnsi="Times New Roman" w:eastAsia="宋体" w:cs="Times New Roman"/>
                <w:bCs/>
                <w:color w:val="auto"/>
                <w:sz w:val="22"/>
                <w:shd w:val="clear" w:fill="FFFFFF"/>
                <w:lang w:eastAsia="zh-CN"/>
              </w:rPr>
              <w:t>干线</w:t>
            </w:r>
            <w:r>
              <w:rPr>
                <w:rFonts w:hint="default" w:ascii="Times New Roman" w:hAnsi="Times New Roman" w:eastAsia="宋体" w:cs="Times New Roman"/>
                <w:bCs/>
                <w:color w:val="auto"/>
                <w:sz w:val="22"/>
              </w:rPr>
              <w:t>过江通道布局规划（ 2020—2035 年）》</w:t>
            </w:r>
            <w:r>
              <w:rPr>
                <w:rFonts w:hint="default" w:ascii="Times New Roman" w:hAnsi="Times New Roman" w:eastAsia="宋体" w:cs="Times New Roman"/>
                <w:bCs/>
                <w:color w:val="auto"/>
                <w:sz w:val="22"/>
                <w:lang w:val="en-US" w:eastAsia="zh-CN"/>
              </w:rPr>
              <w:t>的</w:t>
            </w:r>
            <w:r>
              <w:rPr>
                <w:rFonts w:hint="default" w:ascii="Times New Roman" w:hAnsi="Times New Roman" w:eastAsia="宋体" w:cs="Times New Roman"/>
                <w:bCs/>
                <w:color w:val="auto"/>
                <w:sz w:val="22"/>
                <w:shd w:val="clear" w:fill="FFFFFF"/>
                <w:lang w:eastAsia="zh-CN"/>
              </w:rPr>
              <w:t>过</w:t>
            </w:r>
            <w:r>
              <w:rPr>
                <w:rFonts w:hint="default" w:ascii="Times New Roman" w:hAnsi="Times New Roman" w:eastAsia="宋体" w:cs="Times New Roman"/>
                <w:bCs/>
                <w:color w:val="auto"/>
                <w:sz w:val="22"/>
              </w:rPr>
              <w:t>长江通道项目（含桥梁、隧道），国家发展改革委同意过长江通道线位调整的除外。</w:t>
            </w:r>
          </w:p>
        </w:tc>
        <w:tc>
          <w:tcPr>
            <w:tcW w:w="635" w:type="pct"/>
            <w:tcBorders>
              <w:top w:val="single" w:color="auto" w:sz="4" w:space="0"/>
              <w:left w:val="nil"/>
              <w:bottom w:val="single" w:color="auto" w:sz="4" w:space="0"/>
              <w:right w:val="single" w:color="auto" w:sz="4" w:space="0"/>
            </w:tcBorders>
            <w:noWrap w:val="0"/>
            <w:vAlign w:val="center"/>
          </w:tcPr>
          <w:p w14:paraId="5387D855">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48B12014">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31F0854C">
            <w:pPr>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19FE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593A064D">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3</w:t>
            </w:r>
          </w:p>
        </w:tc>
        <w:tc>
          <w:tcPr>
            <w:tcW w:w="3492" w:type="pct"/>
            <w:tcBorders>
              <w:top w:val="single" w:color="auto" w:sz="4" w:space="0"/>
              <w:left w:val="nil"/>
              <w:bottom w:val="single" w:color="auto" w:sz="4" w:space="0"/>
              <w:right w:val="single" w:color="auto" w:sz="4" w:space="0"/>
            </w:tcBorders>
            <w:noWrap w:val="0"/>
            <w:vAlign w:val="center"/>
          </w:tcPr>
          <w:p w14:paraId="6DD2EEF5">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第七条禁止在自然保护区核心区、缓冲区的岸线和河段范围内投资建设旅游和生产经营项目。自然保护区的内部未分区的，依照核心区和缓冲区的规定管控。</w:t>
            </w:r>
          </w:p>
        </w:tc>
        <w:tc>
          <w:tcPr>
            <w:tcW w:w="635" w:type="pct"/>
            <w:tcBorders>
              <w:top w:val="single" w:color="auto" w:sz="4" w:space="0"/>
              <w:left w:val="nil"/>
              <w:bottom w:val="single" w:color="auto" w:sz="4" w:space="0"/>
              <w:right w:val="single" w:color="auto" w:sz="4" w:space="0"/>
            </w:tcBorders>
            <w:noWrap w:val="0"/>
            <w:vAlign w:val="center"/>
          </w:tcPr>
          <w:p w14:paraId="1F9452C4">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544C36B0">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471BF00A">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6D00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736EA3F5">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4</w:t>
            </w:r>
          </w:p>
        </w:tc>
        <w:tc>
          <w:tcPr>
            <w:tcW w:w="3492" w:type="pct"/>
            <w:tcBorders>
              <w:top w:val="single" w:color="auto" w:sz="4" w:space="0"/>
              <w:left w:val="nil"/>
              <w:bottom w:val="single" w:color="auto" w:sz="4" w:space="0"/>
              <w:right w:val="single" w:color="auto" w:sz="4" w:space="0"/>
            </w:tcBorders>
            <w:noWrap w:val="0"/>
            <w:vAlign w:val="center"/>
          </w:tcPr>
          <w:p w14:paraId="0FFFEDB2">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第八条禁止违反风景名胜区规划，在风景名胜区内设立各类开发区。禁止在风景名胜区核心景区的岸线和河段范围内建设宾馆、招待所、培训中心、疗养院以及与风景名</w:t>
            </w:r>
            <w:r>
              <w:rPr>
                <w:rFonts w:hint="default" w:ascii="Times New Roman" w:hAnsi="Times New Roman" w:eastAsia="宋体" w:cs="Times New Roman"/>
                <w:bCs/>
                <w:color w:val="auto"/>
                <w:sz w:val="22"/>
                <w:shd w:val="clear" w:fill="FFFFFF"/>
              </w:rPr>
              <w:t>胜</w:t>
            </w:r>
            <w:r>
              <w:rPr>
                <w:rFonts w:hint="default" w:ascii="Times New Roman" w:hAnsi="Times New Roman" w:eastAsia="宋体" w:cs="Times New Roman"/>
                <w:bCs/>
                <w:color w:val="auto"/>
                <w:sz w:val="22"/>
              </w:rPr>
              <w:t>资源保护无关的项目。</w:t>
            </w:r>
          </w:p>
        </w:tc>
        <w:tc>
          <w:tcPr>
            <w:tcW w:w="635" w:type="pct"/>
            <w:tcBorders>
              <w:top w:val="single" w:color="auto" w:sz="4" w:space="0"/>
              <w:left w:val="nil"/>
              <w:bottom w:val="single" w:color="auto" w:sz="4" w:space="0"/>
              <w:right w:val="single" w:color="auto" w:sz="4" w:space="0"/>
            </w:tcBorders>
            <w:noWrap w:val="0"/>
            <w:vAlign w:val="center"/>
          </w:tcPr>
          <w:p w14:paraId="7FB41CDD">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64C5FC94">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5B0E79C6">
            <w:pPr>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55DB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27D5270D">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5</w:t>
            </w:r>
          </w:p>
        </w:tc>
        <w:tc>
          <w:tcPr>
            <w:tcW w:w="3492" w:type="pct"/>
            <w:tcBorders>
              <w:top w:val="single" w:color="auto" w:sz="4" w:space="0"/>
              <w:left w:val="nil"/>
              <w:bottom w:val="single" w:color="auto" w:sz="4" w:space="0"/>
              <w:right w:val="single" w:color="auto" w:sz="4" w:space="0"/>
            </w:tcBorders>
            <w:noWrap w:val="0"/>
            <w:vAlign w:val="center"/>
          </w:tcPr>
          <w:p w14:paraId="55FC1480">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第九条禁止在饮用水</w:t>
            </w:r>
            <w:r>
              <w:rPr>
                <w:rFonts w:hint="default" w:ascii="Times New Roman" w:hAnsi="Times New Roman" w:eastAsia="宋体" w:cs="Times New Roman"/>
                <w:bCs/>
                <w:color w:val="auto"/>
                <w:sz w:val="22"/>
                <w:shd w:val="clear" w:fill="FFFFFF"/>
              </w:rPr>
              <w:t>水源准</w:t>
            </w:r>
            <w:r>
              <w:rPr>
                <w:rFonts w:hint="default" w:ascii="Times New Roman" w:hAnsi="Times New Roman" w:eastAsia="宋体" w:cs="Times New Roman"/>
                <w:bCs/>
                <w:color w:val="auto"/>
                <w:sz w:val="22"/>
              </w:rPr>
              <w:t>保护区的岸线和河段范围内新建、扩建对水体污染严重的建设项目， 禁止改建增加排污量的建设项目。</w:t>
            </w:r>
          </w:p>
        </w:tc>
        <w:tc>
          <w:tcPr>
            <w:tcW w:w="635" w:type="pct"/>
            <w:tcBorders>
              <w:top w:val="single" w:color="auto" w:sz="4" w:space="0"/>
              <w:left w:val="nil"/>
              <w:bottom w:val="single" w:color="auto" w:sz="4" w:space="0"/>
              <w:right w:val="single" w:color="auto" w:sz="4" w:space="0"/>
            </w:tcBorders>
            <w:noWrap w:val="0"/>
            <w:vAlign w:val="center"/>
          </w:tcPr>
          <w:p w14:paraId="425F45AE">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13663E0A">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32516E6A">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0FDD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34F057C4">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6</w:t>
            </w:r>
          </w:p>
        </w:tc>
        <w:tc>
          <w:tcPr>
            <w:tcW w:w="3492" w:type="pct"/>
            <w:tcBorders>
              <w:top w:val="single" w:color="auto" w:sz="4" w:space="0"/>
              <w:left w:val="nil"/>
              <w:bottom w:val="single" w:color="auto" w:sz="4" w:space="0"/>
              <w:right w:val="single" w:color="auto" w:sz="4" w:space="0"/>
            </w:tcBorders>
            <w:noWrap w:val="0"/>
            <w:vAlign w:val="center"/>
          </w:tcPr>
          <w:p w14:paraId="306D8172">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第十条饮用水水源二级保护区的岸线和河段范围内， 除遵守准保护区规定外，禁止新建、改建、扩建排放污染物的投资建设项目；禁止从事对水体有污染的水产养殖等活动。</w:t>
            </w:r>
          </w:p>
        </w:tc>
        <w:tc>
          <w:tcPr>
            <w:tcW w:w="635" w:type="pct"/>
            <w:tcBorders>
              <w:top w:val="single" w:color="auto" w:sz="4" w:space="0"/>
              <w:left w:val="nil"/>
              <w:bottom w:val="single" w:color="auto" w:sz="4" w:space="0"/>
              <w:right w:val="single" w:color="auto" w:sz="4" w:space="0"/>
            </w:tcBorders>
            <w:noWrap w:val="0"/>
            <w:vAlign w:val="center"/>
          </w:tcPr>
          <w:p w14:paraId="0E141EB6">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16C551E9">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2E90E30F">
            <w:pPr>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6D89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268859DD">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7</w:t>
            </w:r>
          </w:p>
        </w:tc>
        <w:tc>
          <w:tcPr>
            <w:tcW w:w="3492" w:type="pct"/>
            <w:tcBorders>
              <w:top w:val="single" w:color="auto" w:sz="4" w:space="0"/>
              <w:left w:val="nil"/>
              <w:bottom w:val="single" w:color="auto" w:sz="4" w:space="0"/>
              <w:right w:val="single" w:color="auto" w:sz="4" w:space="0"/>
            </w:tcBorders>
            <w:noWrap w:val="0"/>
            <w:vAlign w:val="center"/>
          </w:tcPr>
          <w:p w14:paraId="161538A6">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第十一条饮用水水源一级保护区的岸线和河段范围内，除遵守二级保护区规定外， 禁止新建、改建、扩建与供水设施和保护水源无关的项目，以及网箱养殖、畜禽养殖、旅游等可能污染饮用水水体的投资建设项目。</w:t>
            </w:r>
          </w:p>
        </w:tc>
        <w:tc>
          <w:tcPr>
            <w:tcW w:w="635" w:type="pct"/>
            <w:tcBorders>
              <w:top w:val="single" w:color="auto" w:sz="4" w:space="0"/>
              <w:left w:val="nil"/>
              <w:bottom w:val="single" w:color="auto" w:sz="4" w:space="0"/>
              <w:right w:val="single" w:color="auto" w:sz="4" w:space="0"/>
            </w:tcBorders>
            <w:noWrap w:val="0"/>
            <w:vAlign w:val="center"/>
          </w:tcPr>
          <w:p w14:paraId="368E7F45">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0D1DA967">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358AF8F3">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5A06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7A42AE37">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8</w:t>
            </w:r>
          </w:p>
        </w:tc>
        <w:tc>
          <w:tcPr>
            <w:tcW w:w="3492" w:type="pct"/>
            <w:tcBorders>
              <w:top w:val="single" w:color="auto" w:sz="4" w:space="0"/>
              <w:left w:val="nil"/>
              <w:bottom w:val="single" w:color="auto" w:sz="4" w:space="0"/>
              <w:right w:val="single" w:color="auto" w:sz="4" w:space="0"/>
            </w:tcBorders>
            <w:noWrap w:val="0"/>
            <w:vAlign w:val="center"/>
          </w:tcPr>
          <w:p w14:paraId="12603F4A">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第十二条禁止在水产种质资源保护区岸线和河段范围内新建围湖造田、围湖造地或挖沙采石等投资建设项目。</w:t>
            </w:r>
          </w:p>
        </w:tc>
        <w:tc>
          <w:tcPr>
            <w:tcW w:w="635" w:type="pct"/>
            <w:tcBorders>
              <w:top w:val="single" w:color="auto" w:sz="4" w:space="0"/>
              <w:left w:val="nil"/>
              <w:bottom w:val="single" w:color="auto" w:sz="4" w:space="0"/>
              <w:right w:val="single" w:color="auto" w:sz="4" w:space="0"/>
            </w:tcBorders>
            <w:noWrap w:val="0"/>
            <w:vAlign w:val="center"/>
          </w:tcPr>
          <w:p w14:paraId="7DE049CF">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166F5CCD">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63A25B53">
            <w:pPr>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0E64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10C74E5B">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9</w:t>
            </w:r>
          </w:p>
        </w:tc>
        <w:tc>
          <w:tcPr>
            <w:tcW w:w="3492" w:type="pct"/>
            <w:tcBorders>
              <w:top w:val="single" w:color="auto" w:sz="4" w:space="0"/>
              <w:left w:val="nil"/>
              <w:bottom w:val="single" w:color="auto" w:sz="4" w:space="0"/>
              <w:right w:val="single" w:color="auto" w:sz="4" w:space="0"/>
            </w:tcBorders>
            <w:noWrap w:val="0"/>
            <w:vAlign w:val="center"/>
          </w:tcPr>
          <w:p w14:paraId="37B5B199">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十三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w:t>
            </w:r>
            <w:r>
              <w:rPr>
                <w:rFonts w:hint="default" w:ascii="Times New Roman" w:hAnsi="Times New Roman" w:eastAsia="宋体" w:cs="Times New Roman"/>
                <w:bCs/>
                <w:color w:val="auto"/>
                <w:sz w:val="22"/>
                <w:shd w:val="clear" w:fill="FFFFFF"/>
                <w:lang w:eastAsia="zh-CN"/>
              </w:rPr>
              <w:t>鱼类</w:t>
            </w:r>
            <w:r>
              <w:rPr>
                <w:rFonts w:hint="default" w:ascii="Times New Roman" w:hAnsi="Times New Roman" w:eastAsia="宋体" w:cs="Times New Roman"/>
                <w:bCs/>
                <w:color w:val="auto"/>
                <w:sz w:val="22"/>
                <w:shd w:val="clear" w:fill="FFFFFF"/>
                <w:lang w:val="en-US" w:eastAsia="zh-CN"/>
              </w:rPr>
              <w:t>洄</w:t>
            </w:r>
            <w:r>
              <w:rPr>
                <w:rFonts w:hint="default" w:ascii="Times New Roman" w:hAnsi="Times New Roman" w:eastAsia="宋体" w:cs="Times New Roman"/>
                <w:bCs/>
                <w:color w:val="auto"/>
                <w:sz w:val="22"/>
                <w:shd w:val="clear" w:fill="FFFFFF"/>
                <w:lang w:eastAsia="zh-CN"/>
              </w:rPr>
              <w:t>游</w:t>
            </w:r>
            <w:r>
              <w:rPr>
                <w:rFonts w:hint="default" w:ascii="Times New Roman" w:hAnsi="Times New Roman" w:eastAsia="宋体" w:cs="Times New Roman"/>
                <w:bCs/>
                <w:color w:val="auto"/>
                <w:sz w:val="22"/>
              </w:rPr>
              <w:t>通道。</w:t>
            </w:r>
          </w:p>
        </w:tc>
        <w:tc>
          <w:tcPr>
            <w:tcW w:w="635" w:type="pct"/>
            <w:tcBorders>
              <w:top w:val="single" w:color="auto" w:sz="4" w:space="0"/>
              <w:left w:val="nil"/>
              <w:bottom w:val="single" w:color="auto" w:sz="4" w:space="0"/>
              <w:right w:val="single" w:color="auto" w:sz="4" w:space="0"/>
            </w:tcBorders>
            <w:noWrap w:val="0"/>
            <w:vAlign w:val="center"/>
          </w:tcPr>
          <w:p w14:paraId="37B503C5">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23CB341A">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61368533">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7AB2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6C944042">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10</w:t>
            </w:r>
          </w:p>
        </w:tc>
        <w:tc>
          <w:tcPr>
            <w:tcW w:w="3492" w:type="pct"/>
            <w:tcBorders>
              <w:top w:val="single" w:color="auto" w:sz="4" w:space="0"/>
              <w:left w:val="nil"/>
              <w:bottom w:val="single" w:color="auto" w:sz="4" w:space="0"/>
              <w:right w:val="single" w:color="auto" w:sz="4" w:space="0"/>
            </w:tcBorders>
            <w:noWrap w:val="0"/>
            <w:vAlign w:val="center"/>
          </w:tcPr>
          <w:p w14:paraId="3CB67289">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635" w:type="pct"/>
            <w:tcBorders>
              <w:top w:val="single" w:color="auto" w:sz="4" w:space="0"/>
              <w:left w:val="nil"/>
              <w:bottom w:val="single" w:color="auto" w:sz="4" w:space="0"/>
              <w:right w:val="single" w:color="auto" w:sz="4" w:space="0"/>
            </w:tcBorders>
            <w:noWrap w:val="0"/>
            <w:vAlign w:val="center"/>
          </w:tcPr>
          <w:p w14:paraId="60FF5789">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11F0FB8B">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054DDB61">
            <w:pPr>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572BD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5D0E35A9">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11</w:t>
            </w:r>
          </w:p>
        </w:tc>
        <w:tc>
          <w:tcPr>
            <w:tcW w:w="3492" w:type="pct"/>
            <w:tcBorders>
              <w:top w:val="single" w:color="auto" w:sz="4" w:space="0"/>
              <w:left w:val="nil"/>
              <w:bottom w:val="single" w:color="auto" w:sz="4" w:space="0"/>
              <w:right w:val="single" w:color="auto" w:sz="4" w:space="0"/>
            </w:tcBorders>
            <w:noWrap w:val="0"/>
            <w:vAlign w:val="center"/>
          </w:tcPr>
          <w:p w14:paraId="7A2C9653">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第十五条禁止在《全国重要江河湖泊水功能区划》划定的河段及湖泊保护区、保留区内投资建设不利于水资源及自然生态保护的项目。</w:t>
            </w:r>
          </w:p>
        </w:tc>
        <w:tc>
          <w:tcPr>
            <w:tcW w:w="635" w:type="pct"/>
            <w:tcBorders>
              <w:top w:val="single" w:color="auto" w:sz="4" w:space="0"/>
              <w:left w:val="nil"/>
              <w:bottom w:val="single" w:color="auto" w:sz="4" w:space="0"/>
              <w:right w:val="single" w:color="auto" w:sz="4" w:space="0"/>
            </w:tcBorders>
            <w:noWrap w:val="0"/>
            <w:vAlign w:val="center"/>
          </w:tcPr>
          <w:p w14:paraId="643C7678">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6BBC50D5">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37882A5F">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6196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30884B42">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12</w:t>
            </w:r>
          </w:p>
        </w:tc>
        <w:tc>
          <w:tcPr>
            <w:tcW w:w="3492" w:type="pct"/>
            <w:tcBorders>
              <w:top w:val="single" w:color="auto" w:sz="4" w:space="0"/>
              <w:left w:val="nil"/>
              <w:bottom w:val="single" w:color="auto" w:sz="4" w:space="0"/>
              <w:right w:val="single" w:color="auto" w:sz="4" w:space="0"/>
            </w:tcBorders>
            <w:noWrap w:val="0"/>
            <w:vAlign w:val="center"/>
          </w:tcPr>
          <w:p w14:paraId="60936840">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第十六条禁止在长江流域江河、湖泊新设、改设或者扩大排污口，经有管辖权的生态环境主管部门或者长江流域生态环境监督管理机构同意的除外。</w:t>
            </w:r>
          </w:p>
        </w:tc>
        <w:tc>
          <w:tcPr>
            <w:tcW w:w="635" w:type="pct"/>
            <w:tcBorders>
              <w:top w:val="single" w:color="auto" w:sz="4" w:space="0"/>
              <w:left w:val="nil"/>
              <w:bottom w:val="single" w:color="auto" w:sz="4" w:space="0"/>
              <w:right w:val="single" w:color="auto" w:sz="4" w:space="0"/>
            </w:tcBorders>
            <w:noWrap w:val="0"/>
            <w:vAlign w:val="center"/>
          </w:tcPr>
          <w:p w14:paraId="272BFB45">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4D760849">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51932717">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53DE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2DA041AE">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13</w:t>
            </w:r>
          </w:p>
        </w:tc>
        <w:tc>
          <w:tcPr>
            <w:tcW w:w="3492" w:type="pct"/>
            <w:tcBorders>
              <w:top w:val="single" w:color="auto" w:sz="4" w:space="0"/>
              <w:left w:val="nil"/>
              <w:bottom w:val="single" w:color="auto" w:sz="4" w:space="0"/>
              <w:right w:val="single" w:color="auto" w:sz="4" w:space="0"/>
            </w:tcBorders>
            <w:noWrap w:val="0"/>
            <w:vAlign w:val="center"/>
          </w:tcPr>
          <w:p w14:paraId="3A4E5D5D">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第十七条禁止在长江支流、大渡河、峨江、赤水河、汜江、嘉陵江、乌江、汉江和51个（四川省45个、重庆市6个）水生生物保护区开展生产性捕捞。</w:t>
            </w:r>
          </w:p>
        </w:tc>
        <w:tc>
          <w:tcPr>
            <w:tcW w:w="635" w:type="pct"/>
            <w:tcBorders>
              <w:top w:val="single" w:color="auto" w:sz="4" w:space="0"/>
              <w:left w:val="nil"/>
              <w:bottom w:val="single" w:color="auto" w:sz="4" w:space="0"/>
              <w:right w:val="single" w:color="auto" w:sz="4" w:space="0"/>
            </w:tcBorders>
            <w:noWrap w:val="0"/>
            <w:vAlign w:val="center"/>
          </w:tcPr>
          <w:p w14:paraId="79D90BDD">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57E25C1F">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3DB81A7D">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228D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6D5C3BF1">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14</w:t>
            </w:r>
          </w:p>
        </w:tc>
        <w:tc>
          <w:tcPr>
            <w:tcW w:w="3492" w:type="pct"/>
            <w:tcBorders>
              <w:top w:val="single" w:color="auto" w:sz="4" w:space="0"/>
              <w:left w:val="nil"/>
              <w:bottom w:val="single" w:color="auto" w:sz="4" w:space="0"/>
              <w:right w:val="single" w:color="auto" w:sz="4" w:space="0"/>
            </w:tcBorders>
            <w:noWrap w:val="0"/>
            <w:vAlign w:val="center"/>
          </w:tcPr>
          <w:p w14:paraId="677D0DC5">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第十八条禁止在长江支流、重要湖泊岸线一公里范围内新建、扩建化工园区和化工项目。</w:t>
            </w:r>
          </w:p>
        </w:tc>
        <w:tc>
          <w:tcPr>
            <w:tcW w:w="635" w:type="pct"/>
            <w:tcBorders>
              <w:top w:val="single" w:color="auto" w:sz="4" w:space="0"/>
              <w:left w:val="nil"/>
              <w:bottom w:val="single" w:color="auto" w:sz="4" w:space="0"/>
              <w:right w:val="single" w:color="auto" w:sz="4" w:space="0"/>
            </w:tcBorders>
            <w:noWrap w:val="0"/>
            <w:vAlign w:val="center"/>
          </w:tcPr>
          <w:p w14:paraId="08053151">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3BC943C6">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3BC76AB5">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5C2E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4E562774">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15</w:t>
            </w:r>
          </w:p>
        </w:tc>
        <w:tc>
          <w:tcPr>
            <w:tcW w:w="3492" w:type="pct"/>
            <w:tcBorders>
              <w:top w:val="single" w:color="auto" w:sz="4" w:space="0"/>
              <w:left w:val="nil"/>
              <w:bottom w:val="single" w:color="auto" w:sz="4" w:space="0"/>
              <w:right w:val="single" w:color="auto" w:sz="4" w:space="0"/>
            </w:tcBorders>
            <w:noWrap w:val="0"/>
            <w:vAlign w:val="center"/>
          </w:tcPr>
          <w:p w14:paraId="2D56CE1B">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第十九条禁止在长江支流岸线三公里范围内和重要支流岸线一公里范围内新建、改建、扩建尾矿库、冶炼渣库、磷石膏库，以提升安全、生态环境保护水平为目的的改建除外。</w:t>
            </w:r>
          </w:p>
        </w:tc>
        <w:tc>
          <w:tcPr>
            <w:tcW w:w="635" w:type="pct"/>
            <w:tcBorders>
              <w:top w:val="single" w:color="auto" w:sz="4" w:space="0"/>
              <w:left w:val="nil"/>
              <w:bottom w:val="single" w:color="auto" w:sz="4" w:space="0"/>
              <w:right w:val="single" w:color="auto" w:sz="4" w:space="0"/>
            </w:tcBorders>
            <w:noWrap w:val="0"/>
            <w:vAlign w:val="center"/>
          </w:tcPr>
          <w:p w14:paraId="0C65F051">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31577B8C">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7FD2B7CA">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4415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7B56F360">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16</w:t>
            </w:r>
          </w:p>
        </w:tc>
        <w:tc>
          <w:tcPr>
            <w:tcW w:w="3492" w:type="pct"/>
            <w:tcBorders>
              <w:top w:val="single" w:color="auto" w:sz="4" w:space="0"/>
              <w:left w:val="nil"/>
              <w:bottom w:val="single" w:color="auto" w:sz="4" w:space="0"/>
              <w:right w:val="single" w:color="auto" w:sz="4" w:space="0"/>
            </w:tcBorders>
            <w:noWrap w:val="0"/>
            <w:vAlign w:val="center"/>
          </w:tcPr>
          <w:p w14:paraId="5CF87664">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第二十条禁止在生态保护红线区域、永久基本农田集中区域和其他需要特别保护的区域内选址建设尾矿库、冶炼渣库、磷石膏库。</w:t>
            </w:r>
          </w:p>
        </w:tc>
        <w:tc>
          <w:tcPr>
            <w:tcW w:w="635" w:type="pct"/>
            <w:tcBorders>
              <w:top w:val="single" w:color="auto" w:sz="4" w:space="0"/>
              <w:left w:val="nil"/>
              <w:bottom w:val="single" w:color="auto" w:sz="4" w:space="0"/>
              <w:right w:val="single" w:color="auto" w:sz="4" w:space="0"/>
            </w:tcBorders>
            <w:noWrap w:val="0"/>
            <w:vAlign w:val="center"/>
          </w:tcPr>
          <w:p w14:paraId="4C3129D2">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7BD8A9CD">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6BB9394D">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6B28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6D67BE78">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17</w:t>
            </w:r>
          </w:p>
        </w:tc>
        <w:tc>
          <w:tcPr>
            <w:tcW w:w="3492" w:type="pct"/>
            <w:tcBorders>
              <w:top w:val="single" w:color="auto" w:sz="4" w:space="0"/>
              <w:left w:val="nil"/>
              <w:bottom w:val="single" w:color="auto" w:sz="4" w:space="0"/>
              <w:right w:val="single" w:color="auto" w:sz="4" w:space="0"/>
            </w:tcBorders>
            <w:noWrap w:val="0"/>
            <w:vAlign w:val="center"/>
          </w:tcPr>
          <w:p w14:paraId="255DAC1F">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第二十一条禁止在合规园区外新建、扩建钢铁、石化、化工、焦化、建材、有色、制浆造纸等高污染项目。</w:t>
            </w:r>
          </w:p>
        </w:tc>
        <w:tc>
          <w:tcPr>
            <w:tcW w:w="635" w:type="pct"/>
            <w:tcBorders>
              <w:top w:val="single" w:color="auto" w:sz="4" w:space="0"/>
              <w:left w:val="nil"/>
              <w:bottom w:val="single" w:color="auto" w:sz="4" w:space="0"/>
              <w:right w:val="single" w:color="auto" w:sz="4" w:space="0"/>
            </w:tcBorders>
            <w:noWrap w:val="0"/>
            <w:vAlign w:val="center"/>
          </w:tcPr>
          <w:p w14:paraId="0FF510F6">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339D27BB">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7140E2F6">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79E5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3D85F8D6">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18</w:t>
            </w:r>
          </w:p>
        </w:tc>
        <w:tc>
          <w:tcPr>
            <w:tcW w:w="3492" w:type="pct"/>
            <w:tcBorders>
              <w:top w:val="single" w:color="auto" w:sz="4" w:space="0"/>
              <w:left w:val="nil"/>
              <w:bottom w:val="single" w:color="auto" w:sz="4" w:space="0"/>
              <w:right w:val="single" w:color="auto" w:sz="4" w:space="0"/>
            </w:tcBorders>
            <w:noWrap w:val="0"/>
            <w:vAlign w:val="center"/>
          </w:tcPr>
          <w:p w14:paraId="13D97617">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第二十二条禁止新建、扩建不符合国家石化、现代煤化工等产业布局规划的项目。</w:t>
            </w:r>
          </w:p>
          <w:p w14:paraId="61021BD7">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（一）严格控制新增炼油产能，未列入《石化产业规划布局方案（修订版）》的新增炼油产能一律不得建设。</w:t>
            </w:r>
          </w:p>
          <w:p w14:paraId="345F7492">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（二）新建煤制烯烃、煤制芳烃项目必须列入《现代煤化工产业创新发展布局方案》，必须符合《现代煤化工建设项目环境准入条件（试行）》要求。</w:t>
            </w:r>
          </w:p>
        </w:tc>
        <w:tc>
          <w:tcPr>
            <w:tcW w:w="635" w:type="pct"/>
            <w:tcBorders>
              <w:top w:val="single" w:color="auto" w:sz="4" w:space="0"/>
              <w:left w:val="nil"/>
              <w:bottom w:val="single" w:color="auto" w:sz="4" w:space="0"/>
              <w:right w:val="single" w:color="auto" w:sz="4" w:space="0"/>
            </w:tcBorders>
            <w:noWrap w:val="0"/>
            <w:vAlign w:val="center"/>
          </w:tcPr>
          <w:p w14:paraId="67527A21">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6F3D7917">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127A38DE">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490D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3A561632">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19</w:t>
            </w:r>
          </w:p>
        </w:tc>
        <w:tc>
          <w:tcPr>
            <w:tcW w:w="3492" w:type="pct"/>
            <w:tcBorders>
              <w:top w:val="single" w:color="auto" w:sz="4" w:space="0"/>
              <w:left w:val="nil"/>
              <w:bottom w:val="single" w:color="auto" w:sz="4" w:space="0"/>
              <w:right w:val="single" w:color="auto" w:sz="4" w:space="0"/>
            </w:tcBorders>
            <w:noWrap w:val="0"/>
            <w:vAlign w:val="center"/>
          </w:tcPr>
          <w:p w14:paraId="4F554F19">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第二十三条禁止新建、扩建法律法规和相关政策明令禁止的落后产能项目。对《产业结构调整指导目录》中淘汰类项目，禁止投资； 限制类的新建项目，禁止投资，对属于限制类的现有生产能力，允许企业在一定期限内采取措施改造升级。</w:t>
            </w:r>
          </w:p>
        </w:tc>
        <w:tc>
          <w:tcPr>
            <w:tcW w:w="635" w:type="pct"/>
            <w:tcBorders>
              <w:top w:val="single" w:color="auto" w:sz="4" w:space="0"/>
              <w:left w:val="nil"/>
              <w:bottom w:val="single" w:color="auto" w:sz="4" w:space="0"/>
              <w:right w:val="single" w:color="auto" w:sz="4" w:space="0"/>
            </w:tcBorders>
            <w:noWrap w:val="0"/>
            <w:vAlign w:val="center"/>
          </w:tcPr>
          <w:p w14:paraId="5BDB7F92">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45C7AE88">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16355C6A">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48A8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1ACE739B">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20</w:t>
            </w:r>
          </w:p>
        </w:tc>
        <w:tc>
          <w:tcPr>
            <w:tcW w:w="3492" w:type="pct"/>
            <w:tcBorders>
              <w:top w:val="single" w:color="auto" w:sz="4" w:space="0"/>
              <w:left w:val="nil"/>
              <w:bottom w:val="single" w:color="auto" w:sz="4" w:space="0"/>
              <w:right w:val="single" w:color="auto" w:sz="4" w:space="0"/>
            </w:tcBorders>
            <w:noWrap w:val="0"/>
            <w:vAlign w:val="center"/>
          </w:tcPr>
          <w:p w14:paraId="3D0C908D">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第二十四条禁止新建、扩建不符合国家产能置换要求的严重过剩产能行业的项目。对于不符合国家产能置换要求的严重过剩产能行业，不得以其他任何名义、任何方式备案新增产能项目。</w:t>
            </w:r>
          </w:p>
        </w:tc>
        <w:tc>
          <w:tcPr>
            <w:tcW w:w="635" w:type="pct"/>
            <w:tcBorders>
              <w:top w:val="single" w:color="auto" w:sz="4" w:space="0"/>
              <w:left w:val="nil"/>
              <w:bottom w:val="single" w:color="auto" w:sz="4" w:space="0"/>
              <w:right w:val="single" w:color="auto" w:sz="4" w:space="0"/>
            </w:tcBorders>
            <w:noWrap w:val="0"/>
            <w:vAlign w:val="center"/>
          </w:tcPr>
          <w:p w14:paraId="5BD2C4CB">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0AD48CB8">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5AF6F735">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47F2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027AAB28">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21</w:t>
            </w:r>
          </w:p>
        </w:tc>
        <w:tc>
          <w:tcPr>
            <w:tcW w:w="3492" w:type="pct"/>
            <w:tcBorders>
              <w:top w:val="single" w:color="auto" w:sz="4" w:space="0"/>
              <w:left w:val="nil"/>
              <w:bottom w:val="single" w:color="auto" w:sz="4" w:space="0"/>
              <w:right w:val="single" w:color="auto" w:sz="4" w:space="0"/>
            </w:tcBorders>
            <w:noWrap w:val="0"/>
            <w:vAlign w:val="center"/>
          </w:tcPr>
          <w:p w14:paraId="0A5EF258">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第二十五条禁止建设以下燃油汽车投资项目（不在中国境内销售产品的投资项目除外） ：</w:t>
            </w:r>
          </w:p>
          <w:p w14:paraId="25E5D994">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（一）新建独立燃油汽车企业；</w:t>
            </w:r>
          </w:p>
          <w:p w14:paraId="0D27AAA7">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（二）现有汽车企业跨乘用车、商用车类别建设燃油汽车生产能力；</w:t>
            </w:r>
          </w:p>
          <w:p w14:paraId="2A9DB692">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（三）外省现有燃油汽车企业整体搬迁至本省（列入国家级区域发展规划或不改变企业股权结构的项目除外）；</w:t>
            </w:r>
          </w:p>
          <w:p w14:paraId="0B4A74FB">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（四）对行业管理部门特别公示的燃油汽车企业进行投资（企业原有股东投资或将该企业转为非独立法人的投资项目除外）。</w:t>
            </w:r>
          </w:p>
        </w:tc>
        <w:tc>
          <w:tcPr>
            <w:tcW w:w="635" w:type="pct"/>
            <w:tcBorders>
              <w:top w:val="single" w:color="auto" w:sz="4" w:space="0"/>
              <w:left w:val="nil"/>
              <w:bottom w:val="single" w:color="auto" w:sz="4" w:space="0"/>
              <w:right w:val="single" w:color="auto" w:sz="4" w:space="0"/>
            </w:tcBorders>
            <w:noWrap w:val="0"/>
            <w:vAlign w:val="center"/>
          </w:tcPr>
          <w:p w14:paraId="661252D0">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43D8E993">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1F3F9605">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r w14:paraId="57CC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Borders>
              <w:top w:val="single" w:color="auto" w:sz="4" w:space="0"/>
              <w:left w:val="single" w:color="auto" w:sz="4" w:space="0"/>
              <w:bottom w:val="single" w:color="auto" w:sz="4" w:space="0"/>
              <w:right w:val="single" w:color="auto" w:sz="4" w:space="0"/>
            </w:tcBorders>
            <w:noWrap w:val="0"/>
            <w:vAlign w:val="center"/>
          </w:tcPr>
          <w:p w14:paraId="6AC1D5E8">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22</w:t>
            </w:r>
          </w:p>
        </w:tc>
        <w:tc>
          <w:tcPr>
            <w:tcW w:w="3492" w:type="pct"/>
            <w:tcBorders>
              <w:top w:val="single" w:color="auto" w:sz="4" w:space="0"/>
              <w:left w:val="nil"/>
              <w:bottom w:val="single" w:color="auto" w:sz="4" w:space="0"/>
              <w:right w:val="single" w:color="auto" w:sz="4" w:space="0"/>
            </w:tcBorders>
            <w:noWrap w:val="0"/>
            <w:vAlign w:val="center"/>
          </w:tcPr>
          <w:p w14:paraId="419E34E6">
            <w:pP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第二十六条禁止新建、扩建不符合要求的高耗能、高排放、低水平项目。</w:t>
            </w:r>
          </w:p>
        </w:tc>
        <w:tc>
          <w:tcPr>
            <w:tcW w:w="635" w:type="pct"/>
            <w:tcBorders>
              <w:top w:val="single" w:color="auto" w:sz="4" w:space="0"/>
              <w:left w:val="nil"/>
              <w:bottom w:val="single" w:color="auto" w:sz="4" w:space="0"/>
              <w:right w:val="single" w:color="auto" w:sz="4" w:space="0"/>
            </w:tcBorders>
            <w:noWrap w:val="0"/>
            <w:vAlign w:val="center"/>
          </w:tcPr>
          <w:p w14:paraId="368F2737">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本项目</w:t>
            </w:r>
          </w:p>
          <w:p w14:paraId="12B380D1">
            <w:pPr>
              <w:jc w:val="center"/>
              <w:rPr>
                <w:rFonts w:hint="default" w:ascii="Times New Roman" w:hAnsi="Times New Roman" w:eastAsia="宋体" w:cs="Times New Roman"/>
                <w:bCs/>
                <w:color w:val="auto"/>
                <w:sz w:val="22"/>
              </w:rPr>
            </w:pPr>
            <w:r>
              <w:rPr>
                <w:rFonts w:hint="default" w:ascii="Times New Roman" w:hAnsi="Times New Roman" w:eastAsia="宋体" w:cs="Times New Roman"/>
                <w:bCs/>
                <w:color w:val="auto"/>
                <w:sz w:val="22"/>
              </w:rPr>
              <w:t>不涉及</w:t>
            </w:r>
          </w:p>
        </w:tc>
        <w:tc>
          <w:tcPr>
            <w:tcW w:w="635" w:type="pct"/>
            <w:tcBorders>
              <w:top w:val="single" w:color="auto" w:sz="4" w:space="0"/>
              <w:left w:val="nil"/>
              <w:bottom w:val="single" w:color="auto" w:sz="4" w:space="0"/>
              <w:right w:val="single" w:color="auto" w:sz="4" w:space="0"/>
            </w:tcBorders>
            <w:noWrap w:val="0"/>
            <w:vAlign w:val="center"/>
          </w:tcPr>
          <w:p w14:paraId="746C3FB8">
            <w:pPr>
              <w:autoSpaceDE w:val="0"/>
              <w:autoSpaceDN w:val="0"/>
              <w:jc w:val="center"/>
              <w:rPr>
                <w:rFonts w:hint="default" w:ascii="Times New Roman" w:hAnsi="Times New Roman" w:eastAsia="宋体" w:cs="Times New Roman"/>
                <w:color w:val="auto"/>
                <w:sz w:val="22"/>
              </w:rPr>
            </w:pPr>
            <w:r>
              <w:rPr>
                <w:rFonts w:hint="default" w:ascii="Times New Roman" w:hAnsi="Times New Roman" w:eastAsia="宋体" w:cs="Times New Roman"/>
                <w:color w:val="auto"/>
                <w:sz w:val="22"/>
              </w:rPr>
              <w:t>不违背</w:t>
            </w:r>
          </w:p>
        </w:tc>
      </w:tr>
    </w:tbl>
    <w:p w14:paraId="13CD5AC3">
      <w:pPr>
        <w:ind w:firstLine="520"/>
        <w:rPr>
          <w:rFonts w:hint="default" w:ascii="Times New Roman" w:hAnsi="Times New Roman" w:eastAsia="宋体" w:cs="Times New Roman"/>
          <w:color w:val="auto"/>
          <w:szCs w:val="26"/>
        </w:rPr>
      </w:pPr>
    </w:p>
    <w:p w14:paraId="10ACB580">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通过上表可以看出，本项目不属于《四川省、重庆市长江经济带发展负面清单实施细则（试行，2022年版）》中列入负面清单的建设工程。</w:t>
      </w:r>
    </w:p>
    <w:bookmarkEnd w:id="39"/>
    <w:p w14:paraId="48A026F2">
      <w:pPr>
        <w:pStyle w:val="56"/>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lang w:val="en-US" w:eastAsia="zh-CN"/>
        </w:rPr>
        <w:t>（3）</w:t>
      </w:r>
      <w:r>
        <w:rPr>
          <w:rFonts w:hint="default" w:ascii="Times New Roman" w:hAnsi="Times New Roman" w:eastAsia="宋体" w:cs="Times New Roman"/>
          <w:b/>
          <w:bCs w:val="0"/>
          <w:color w:val="auto"/>
        </w:rPr>
        <w:t>与《“十四五”现代能源体系规划》（发改能源〔2022〕210号）符合性分析</w:t>
      </w:r>
    </w:p>
    <w:p w14:paraId="1777E571">
      <w:pPr>
        <w:pStyle w:val="93"/>
        <w:ind w:firstLine="520"/>
        <w:rPr>
          <w:rFonts w:hint="default" w:ascii="Times New Roman" w:hAnsi="Times New Roman" w:eastAsia="宋体" w:cs="Times New Roman"/>
          <w:bCs/>
          <w:color w:val="auto"/>
        </w:rPr>
      </w:pPr>
      <w:r>
        <w:rPr>
          <w:rFonts w:hint="default" w:ascii="Times New Roman" w:hAnsi="Times New Roman" w:eastAsia="宋体" w:cs="Times New Roman"/>
          <w:bCs/>
          <w:color w:val="auto"/>
        </w:rPr>
        <w:t>根据《“十四五”现代能源体系规划》（发改能源〔2022〕210号）中明确提出：“加快</w:t>
      </w:r>
      <w:r>
        <w:rPr>
          <w:rFonts w:hint="default" w:ascii="Times New Roman" w:hAnsi="Times New Roman" w:eastAsia="宋体" w:cs="Times New Roman"/>
          <w:color w:val="auto"/>
        </w:rPr>
        <w:t>天然气</w:t>
      </w:r>
      <w:r>
        <w:rPr>
          <w:rFonts w:hint="default" w:ascii="Times New Roman" w:hAnsi="Times New Roman" w:eastAsia="宋体" w:cs="Times New Roman"/>
          <w:bCs/>
          <w:color w:val="auto"/>
        </w:rPr>
        <w:t>长输管道及区域天然气管网建设，推进管网互联互通</w:t>
      </w:r>
      <w:r>
        <w:rPr>
          <w:rFonts w:hint="default" w:ascii="Times New Roman" w:hAnsi="Times New Roman" w:eastAsia="宋体" w:cs="Times New Roman"/>
          <w:bCs/>
          <w:color w:val="auto"/>
          <w:shd w:val="clear" w:fill="FFFFFF"/>
          <w:lang w:eastAsia="zh-CN"/>
        </w:rPr>
        <w:t>…</w:t>
      </w:r>
      <w:r>
        <w:rPr>
          <w:rFonts w:hint="default" w:ascii="Times New Roman" w:hAnsi="Times New Roman" w:eastAsia="宋体" w:cs="Times New Roman"/>
          <w:bCs/>
          <w:color w:val="auto"/>
        </w:rPr>
        <w:t>”</w:t>
      </w:r>
    </w:p>
    <w:p w14:paraId="3E18E44C">
      <w:pPr>
        <w:pStyle w:val="93"/>
        <w:ind w:firstLine="520"/>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本项目属于</w:t>
      </w:r>
      <w:r>
        <w:rPr>
          <w:rFonts w:hint="default" w:ascii="Times New Roman" w:hAnsi="Times New Roman" w:eastAsia="宋体" w:cs="Times New Roman"/>
          <w:bCs/>
          <w:color w:val="auto"/>
          <w:lang w:eastAsia="zh-CN"/>
        </w:rPr>
        <w:t>天然气管道改建项目</w:t>
      </w:r>
      <w:r>
        <w:rPr>
          <w:rFonts w:hint="default" w:ascii="Times New Roman" w:hAnsi="Times New Roman" w:eastAsia="宋体" w:cs="Times New Roman"/>
          <w:bCs/>
          <w:color w:val="auto"/>
        </w:rPr>
        <w:t>，符合《“十四五”现代能源体系规划》（发改能源〔2022〕210号）要求。</w:t>
      </w:r>
    </w:p>
    <w:p w14:paraId="55FFC6B8">
      <w:pPr>
        <w:pStyle w:val="56"/>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与《重庆市能源发展“十四五”规划（2021—2025年）》（渝府办发〔2022〕48号）符合性分析</w:t>
      </w:r>
    </w:p>
    <w:p w14:paraId="37FD2D7D">
      <w:pPr>
        <w:pStyle w:val="93"/>
        <w:ind w:firstLine="520"/>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rPr>
        <w:t>根据《重庆市人民政府办公厅关于印发重庆市能源发展“十四五”规划（2021—2025年）的通知》（渝府办发〔2022〕48号）中提出：</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完善天然气输气管网</w:t>
      </w:r>
      <w:r>
        <w:rPr>
          <w:rFonts w:hint="default" w:ascii="Times New Roman" w:hAnsi="Times New Roman" w:eastAsia="宋体" w:cs="Times New Roman"/>
          <w:bCs/>
          <w:color w:val="auto"/>
          <w:lang w:val="en-US" w:eastAsia="zh-CN"/>
        </w:rPr>
        <w:t>……</w:t>
      </w:r>
      <w:r>
        <w:rPr>
          <w:rFonts w:hint="default" w:ascii="Times New Roman" w:hAnsi="Times New Roman" w:eastAsia="宋体" w:cs="Times New Roman"/>
          <w:bCs/>
          <w:color w:val="auto"/>
        </w:rPr>
        <w:t>城镇燃气配网为触角的主城都市区产供储销体系</w:t>
      </w:r>
      <w:r>
        <w:rPr>
          <w:rFonts w:hint="default" w:ascii="Times New Roman" w:hAnsi="Times New Roman" w:eastAsia="宋体" w:cs="Times New Roman"/>
          <w:bCs/>
          <w:color w:val="auto"/>
          <w:lang w:val="en-US" w:eastAsia="zh-CN"/>
        </w:rPr>
        <w:t>……</w:t>
      </w:r>
      <w:r>
        <w:rPr>
          <w:rFonts w:hint="default" w:ascii="Times New Roman" w:hAnsi="Times New Roman" w:eastAsia="宋体" w:cs="Times New Roman"/>
          <w:bCs/>
          <w:color w:val="auto"/>
        </w:rPr>
        <w:t>形成国家干网、市级管网、储气调峰设施、城镇燃气配网互联互通，多方来气、气气竞争、就近利用，上中下游高效衔接的格局。</w:t>
      </w:r>
      <w:r>
        <w:rPr>
          <w:rFonts w:hint="default" w:ascii="Times New Roman" w:hAnsi="Times New Roman" w:eastAsia="宋体" w:cs="Times New Roman"/>
          <w:bCs/>
          <w:color w:val="auto"/>
          <w:lang w:eastAsia="zh-CN"/>
        </w:rPr>
        <w:t>”</w:t>
      </w:r>
    </w:p>
    <w:p w14:paraId="20324D56">
      <w:pPr>
        <w:pStyle w:val="93"/>
        <w:ind w:firstLine="520"/>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本项目属于</w:t>
      </w:r>
      <w:r>
        <w:rPr>
          <w:rFonts w:hint="default" w:ascii="Times New Roman" w:hAnsi="Times New Roman" w:eastAsia="宋体" w:cs="Times New Roman"/>
          <w:bCs/>
          <w:color w:val="auto"/>
          <w:lang w:eastAsia="zh-CN"/>
        </w:rPr>
        <w:t>天然气管道改建项目</w:t>
      </w:r>
      <w:r>
        <w:rPr>
          <w:rFonts w:hint="default" w:ascii="Times New Roman" w:hAnsi="Times New Roman" w:eastAsia="宋体" w:cs="Times New Roman"/>
          <w:bCs/>
          <w:color w:val="auto"/>
        </w:rPr>
        <w:t>，符合《重庆市能源发展“十四五”规划（2021—2025年）》（渝府办发〔2022〕48号）</w:t>
      </w:r>
      <w:r>
        <w:rPr>
          <w:rFonts w:hint="default" w:ascii="Times New Roman" w:hAnsi="Times New Roman" w:eastAsia="宋体" w:cs="Times New Roman"/>
          <w:bCs/>
          <w:color w:val="auto"/>
          <w:lang w:val="en-US" w:eastAsia="zh-CN"/>
        </w:rPr>
        <w:t>要</w:t>
      </w:r>
      <w:r>
        <w:rPr>
          <w:rFonts w:hint="default" w:ascii="Times New Roman" w:hAnsi="Times New Roman" w:eastAsia="宋体" w:cs="Times New Roman"/>
          <w:bCs/>
          <w:color w:val="auto"/>
        </w:rPr>
        <w:t>求。</w:t>
      </w:r>
    </w:p>
    <w:p w14:paraId="3EFAE377">
      <w:pPr>
        <w:pStyle w:val="56"/>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（5）与《重庆市国民经济和社会发展第十四个五年规划和二〇三五年远景目标纲要》（渝府发</w:t>
      </w:r>
      <w:r>
        <w:rPr>
          <w:rFonts w:hint="default" w:ascii="Times New Roman" w:hAnsi="Times New Roman" w:eastAsia="宋体" w:cs="Times New Roman"/>
          <w:b/>
          <w:bCs w:val="0"/>
          <w:color w:val="auto"/>
        </w:rPr>
        <w:t>〔202</w:t>
      </w:r>
      <w:r>
        <w:rPr>
          <w:rFonts w:hint="default" w:ascii="Times New Roman" w:hAnsi="Times New Roman" w:eastAsia="宋体" w:cs="Times New Roman"/>
          <w:b/>
          <w:bCs w:val="0"/>
          <w:color w:val="auto"/>
          <w:lang w:val="en-US" w:eastAsia="zh-CN"/>
        </w:rPr>
        <w:t>1</w:t>
      </w:r>
      <w:r>
        <w:rPr>
          <w:rFonts w:hint="default" w:ascii="Times New Roman" w:hAnsi="Times New Roman" w:eastAsia="宋体" w:cs="Times New Roman"/>
          <w:b/>
          <w:bCs w:val="0"/>
          <w:color w:val="auto"/>
        </w:rPr>
        <w:t>〕</w:t>
      </w:r>
      <w:r>
        <w:rPr>
          <w:rFonts w:hint="default" w:ascii="Times New Roman" w:hAnsi="Times New Roman" w:eastAsia="宋体" w:cs="Times New Roman"/>
          <w:b/>
          <w:bCs w:val="0"/>
          <w:color w:val="auto"/>
          <w:lang w:val="en-US" w:eastAsia="zh-CN"/>
        </w:rPr>
        <w:t>6号）符合性分析</w:t>
      </w:r>
    </w:p>
    <w:p w14:paraId="7DF7EA30">
      <w:pPr>
        <w:pStyle w:val="93"/>
        <w:ind w:firstLine="52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根据《重庆市国民经济和社会发展第十四个五年规划和二〇三五年远景目标纲要》中第十二章 推动基础设施高质量发展 第三节 完善能源保障体系提出：“推进国家输气干线和市域管网互联互通，配套建设天然气（页岩气）区块与输气干线</w:t>
      </w:r>
      <w:r>
        <w:rPr>
          <w:rFonts w:hint="default" w:ascii="Times New Roman" w:hAnsi="Times New Roman" w:eastAsia="宋体" w:cs="Times New Roman"/>
          <w:bCs/>
          <w:color w:val="auto"/>
          <w:shd w:val="clear" w:fill="FFFFFF"/>
          <w:lang w:val="en-US" w:eastAsia="zh-CN"/>
        </w:rPr>
        <w:t>的联接</w:t>
      </w:r>
      <w:r>
        <w:rPr>
          <w:rFonts w:hint="default" w:ascii="Times New Roman" w:hAnsi="Times New Roman" w:eastAsia="宋体" w:cs="Times New Roman"/>
          <w:bCs/>
          <w:color w:val="auto"/>
          <w:lang w:val="en-US" w:eastAsia="zh-CN"/>
        </w:rPr>
        <w:t>工程，完善市域管网规划布局，形成以跨区管网为骨干、区域支线为辐射的</w:t>
      </w:r>
      <w:r>
        <w:rPr>
          <w:rFonts w:hint="default" w:ascii="Times New Roman" w:hAnsi="Times New Roman" w:eastAsia="宋体" w:cs="Times New Roman"/>
          <w:color w:val="auto"/>
          <w:lang w:val="en-US" w:eastAsia="zh-CN"/>
        </w:rPr>
        <w:t>蛛网</w:t>
      </w:r>
      <w:r>
        <w:rPr>
          <w:rFonts w:hint="default" w:ascii="Times New Roman" w:hAnsi="Times New Roman" w:eastAsia="宋体" w:cs="Times New Roman"/>
          <w:bCs/>
          <w:color w:val="auto"/>
          <w:lang w:val="en-US" w:eastAsia="zh-CN"/>
        </w:rPr>
        <w:t>式管网格局……油气储运设施。建设川气东送二线、渝西天然气管网、渝东北天然气管道、铜锣峡、黄草峡储气库和巴南一品油库，建成中航油西南战略储运基地(长寿)，搬迁伏牛溪油化品仓储基地，规划研究沙坪场等储气库”。</w:t>
      </w:r>
    </w:p>
    <w:p w14:paraId="33A572F5">
      <w:pPr>
        <w:pStyle w:val="93"/>
        <w:ind w:firstLine="52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本项目属于</w:t>
      </w:r>
      <w:r>
        <w:rPr>
          <w:rFonts w:hint="default" w:ascii="Times New Roman" w:hAnsi="Times New Roman" w:eastAsia="宋体" w:cs="Times New Roman"/>
          <w:bCs/>
          <w:color w:val="auto"/>
          <w:lang w:eastAsia="zh-CN"/>
        </w:rPr>
        <w:t>天然气管道改建项目</w:t>
      </w:r>
      <w:r>
        <w:rPr>
          <w:rFonts w:hint="default" w:ascii="Times New Roman" w:hAnsi="Times New Roman" w:eastAsia="宋体" w:cs="Times New Roman"/>
          <w:bCs/>
          <w:color w:val="auto"/>
          <w:lang w:val="en-US" w:eastAsia="zh-CN"/>
        </w:rPr>
        <w:t>，符合《重庆市国民经济和社会发展第十四个五年规划和二〇三五年远景目标纲要》（渝府发〔2021〕6号）相关规划要求。</w:t>
      </w:r>
    </w:p>
    <w:p w14:paraId="2E7F6137">
      <w:pPr>
        <w:pStyle w:val="56"/>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（6）与《重庆市綦江区国民经济和社会发展第十四个五年规划和二〇三五年远景目标纲要》（綦江府发〔2021〕5号）符合性分析</w:t>
      </w:r>
    </w:p>
    <w:p w14:paraId="4AC7B491">
      <w:pPr>
        <w:pStyle w:val="93"/>
        <w:ind w:firstLine="52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根据《重庆市綦江区国民经济和社会发展第十四个五年规划和二〇三五年远景目标纲要》中第六章 构建现代化基础设施体系 第三节 完善能源保障体系提出：“推进天然气综合开发利用，完善输配管网，实现内联外通和城乡供应全覆盖。加强储气设施建设，布局一批CNG和LNG储备充装站”。</w:t>
      </w:r>
    </w:p>
    <w:p w14:paraId="5E69BC95">
      <w:pPr>
        <w:pStyle w:val="56"/>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本项目属于</w:t>
      </w:r>
      <w:r>
        <w:rPr>
          <w:rFonts w:hint="default" w:ascii="Times New Roman" w:hAnsi="Times New Roman" w:eastAsia="宋体" w:cs="Times New Roman"/>
          <w:bCs/>
          <w:color w:val="auto"/>
          <w:lang w:eastAsia="zh-CN"/>
        </w:rPr>
        <w:t>天然气管道改建项目</w:t>
      </w:r>
      <w:r>
        <w:rPr>
          <w:rFonts w:hint="default" w:ascii="Times New Roman" w:hAnsi="Times New Roman" w:eastAsia="宋体" w:cs="Times New Roman"/>
          <w:bCs/>
          <w:color w:val="auto"/>
          <w:lang w:val="en-US" w:eastAsia="zh-CN"/>
        </w:rPr>
        <w:t>，符合《重庆市綦江区国民经济和社会发展第十四个五年规划和二〇三五年远景目标纲要》（綦江府发〔2021〕5号）相关规划要求。</w:t>
      </w:r>
    </w:p>
    <w:p w14:paraId="3754647A">
      <w:pPr>
        <w:pStyle w:val="56"/>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lang w:val="en-US" w:eastAsia="zh-CN"/>
        </w:rPr>
        <w:t>（7）《重庆市生态环境保护“十四五”规划（2021-2025）》（渝府发〔2022〕11号）</w:t>
      </w:r>
      <w:r>
        <w:rPr>
          <w:rFonts w:hint="default" w:ascii="Times New Roman" w:hAnsi="Times New Roman" w:eastAsia="宋体" w:cs="Times New Roman"/>
          <w:b/>
          <w:bCs w:val="0"/>
          <w:color w:val="auto"/>
        </w:rPr>
        <w:t>符合性分析</w:t>
      </w:r>
    </w:p>
    <w:p w14:paraId="0FFF00E5">
      <w:pPr>
        <w:pStyle w:val="56"/>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根据《重庆市生态环境保护“十四五”规划（2021-2025）》中第三章 以碳达峰碳中和为总抓手引领绿色转型，推动高质量发展 第一节 构建清洁低碳能源体系提出：“加快发展清洁能源和新能源……持续推动涪陵区、南川区、</w:t>
      </w:r>
      <w:r>
        <w:rPr>
          <w:rFonts w:hint="default" w:ascii="Times New Roman" w:hAnsi="Times New Roman" w:eastAsia="宋体" w:cs="Times New Roman"/>
          <w:b/>
          <w:bCs w:val="0"/>
          <w:color w:val="auto"/>
          <w:lang w:val="en-US" w:eastAsia="zh-CN"/>
        </w:rPr>
        <w:t>綦江区</w:t>
      </w:r>
      <w:r>
        <w:rPr>
          <w:rFonts w:hint="default" w:ascii="Times New Roman" w:hAnsi="Times New Roman" w:eastAsia="宋体" w:cs="Times New Roman"/>
          <w:bCs/>
          <w:color w:val="auto"/>
          <w:lang w:val="en-US" w:eastAsia="zh-CN"/>
        </w:rPr>
        <w:t>、梁平区页岩气全产业链集群式发展，将重庆建成全国页岩气勘探开发、综合利用、装备制造和生态环境保护综合示范区。鼓励发展</w:t>
      </w:r>
      <w:r>
        <w:rPr>
          <w:rFonts w:hint="default" w:ascii="Times New Roman" w:hAnsi="Times New Roman" w:eastAsia="宋体" w:cs="Times New Roman"/>
          <w:b/>
          <w:bCs w:val="0"/>
          <w:color w:val="auto"/>
          <w:lang w:val="en-US" w:eastAsia="zh-CN"/>
        </w:rPr>
        <w:t>天然气分布式能源系统</w:t>
      </w:r>
      <w:r>
        <w:rPr>
          <w:rFonts w:hint="default" w:ascii="Times New Roman" w:hAnsi="Times New Roman" w:eastAsia="宋体" w:cs="Times New Roman"/>
          <w:bCs/>
          <w:color w:val="auto"/>
          <w:lang w:val="en-US" w:eastAsia="zh-CN"/>
        </w:rPr>
        <w:t>，加快液化天然气（LNG）推广应用。增加市外清洁能源输入。”</w:t>
      </w:r>
    </w:p>
    <w:p w14:paraId="63AF0B8C">
      <w:pPr>
        <w:pStyle w:val="93"/>
        <w:ind w:firstLine="52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本项目为</w:t>
      </w:r>
      <w:r>
        <w:rPr>
          <w:rFonts w:hint="default" w:ascii="Times New Roman" w:hAnsi="Times New Roman" w:eastAsia="宋体" w:cs="Times New Roman"/>
          <w:bCs/>
          <w:color w:val="auto"/>
          <w:lang w:eastAsia="zh-CN"/>
        </w:rPr>
        <w:t>天然气管道改建项目</w:t>
      </w:r>
      <w:r>
        <w:rPr>
          <w:rFonts w:hint="default" w:ascii="Times New Roman" w:hAnsi="Times New Roman" w:eastAsia="宋体" w:cs="Times New Roman"/>
          <w:bCs/>
          <w:color w:val="auto"/>
          <w:lang w:val="en-US" w:eastAsia="zh-CN"/>
        </w:rPr>
        <w:t>，仅是管道的局部迁改，不涉及工艺站场、阀室、储气库等附属设施的建设，运营期无废气产生，符合《重庆市生态环境保护“十四五”规划（2021-2025）》（渝府发〔2022〕11号）相关规划要求。</w:t>
      </w:r>
    </w:p>
    <w:p w14:paraId="651EB31B">
      <w:pPr>
        <w:pStyle w:val="56"/>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（8）《重庆市綦江区生态环境保护“十四五”规划（2021-2025）》（綦府发〔2021〕28号）</w:t>
      </w:r>
      <w:r>
        <w:rPr>
          <w:rFonts w:hint="default" w:ascii="Times New Roman" w:hAnsi="Times New Roman" w:eastAsia="宋体" w:cs="Times New Roman"/>
          <w:b/>
          <w:bCs w:val="0"/>
          <w:color w:val="auto"/>
        </w:rPr>
        <w:t>符合性分析</w:t>
      </w:r>
    </w:p>
    <w:p w14:paraId="60C6BBDA">
      <w:pPr>
        <w:pStyle w:val="56"/>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bCs/>
          <w:color w:val="auto"/>
          <w:lang w:val="en-US" w:eastAsia="zh-CN"/>
        </w:rPr>
        <w:t>根据《重庆市綦江区生态环境保护“十四五”规划（2021-2025）》中第三章 积极应对气候变化，推动经济高质量发展 第三节 构建绿色低碳循环发展经济体系中：“构建清洁能源体系。加快发展清洁能源和新能源，严控煤炭消费总量，构建以页岩气、煤电、抽水蓄能发电等为重点的现代化能源产业体系。推进页岩气勘探开发及下游产业发展，建设页岩气</w:t>
      </w:r>
      <w:r>
        <w:rPr>
          <w:rFonts w:hint="default" w:ascii="Times New Roman" w:hAnsi="Times New Roman" w:eastAsia="宋体" w:cs="Times New Roman"/>
          <w:b/>
          <w:bCs w:val="0"/>
          <w:color w:val="auto"/>
          <w:lang w:val="en-US" w:eastAsia="zh-CN"/>
        </w:rPr>
        <w:t>集输管网和外输干线，确保页岩气就地接入、应产尽产</w:t>
      </w:r>
      <w:r>
        <w:rPr>
          <w:rFonts w:hint="default" w:ascii="Times New Roman" w:hAnsi="Times New Roman" w:eastAsia="宋体" w:cs="Times New Roman"/>
          <w:bCs/>
          <w:color w:val="auto"/>
          <w:lang w:val="en-US" w:eastAsia="zh-CN"/>
        </w:rPr>
        <w:t>”。</w:t>
      </w:r>
    </w:p>
    <w:p w14:paraId="4398A0D3">
      <w:pPr>
        <w:pStyle w:val="93"/>
        <w:ind w:firstLine="52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本项目为</w:t>
      </w:r>
      <w:r>
        <w:rPr>
          <w:rFonts w:hint="default" w:ascii="Times New Roman" w:hAnsi="Times New Roman" w:eastAsia="宋体" w:cs="Times New Roman"/>
          <w:bCs/>
          <w:color w:val="auto"/>
          <w:lang w:eastAsia="zh-CN"/>
        </w:rPr>
        <w:t>天然气管道改建项目</w:t>
      </w:r>
      <w:r>
        <w:rPr>
          <w:rFonts w:hint="default" w:ascii="Times New Roman" w:hAnsi="Times New Roman" w:eastAsia="宋体" w:cs="Times New Roman"/>
          <w:bCs/>
          <w:color w:val="auto"/>
          <w:lang w:val="en-US" w:eastAsia="zh-CN"/>
        </w:rPr>
        <w:t>，仅是管道的局部迁改，不涉及工艺站场、阀室、储气库等附属设施的建设，运营期无废气产生，符合《重庆市綦江区生态环境保护“十四五”规划（2021-2025）》（綦府发〔2021〕28号）相关规划要求。</w:t>
      </w:r>
    </w:p>
    <w:p w14:paraId="6DDDD037">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（9）与重庆市国土空间规划中“三区三线”划定成果符合性分析</w:t>
      </w:r>
    </w:p>
    <w:p w14:paraId="5B6070A5">
      <w:pPr>
        <w:pStyle w:val="56"/>
        <w:keepNext w:val="0"/>
        <w:keepLines w:val="0"/>
        <w:pageBreakBefore w:val="0"/>
        <w:widowControl/>
        <w:numPr>
          <w:ilvl w:val="0"/>
          <w:numId w:val="0"/>
        </w:numPr>
        <w:kinsoku/>
        <w:wordWrap w:val="0"/>
        <w:overflowPunct/>
        <w:topLinePunct w:val="0"/>
        <w:autoSpaceDE/>
        <w:autoSpaceDN/>
        <w:bidi w:val="0"/>
        <w:adjustRightInd w:val="0"/>
        <w:snapToGrid w:val="0"/>
        <w:ind w:firstLine="520" w:firstLineChars="200"/>
        <w:textAlignment w:val="auto"/>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“三区三线”是根据城镇空间、农业空间、生态空间三种类型的空间，分别对应划定的城镇开发边界、永久基本农田保护红线、生态保护红线三条控制线。</w:t>
      </w:r>
    </w:p>
    <w:p w14:paraId="2546B391">
      <w:pPr>
        <w:pStyle w:val="56"/>
        <w:keepNext w:val="0"/>
        <w:keepLines w:val="0"/>
        <w:pageBreakBefore w:val="0"/>
        <w:widowControl/>
        <w:numPr>
          <w:ilvl w:val="0"/>
          <w:numId w:val="0"/>
        </w:numPr>
        <w:kinsoku/>
        <w:wordWrap w:val="0"/>
        <w:overflowPunct/>
        <w:topLinePunct w:val="0"/>
        <w:autoSpaceDE/>
        <w:autoSpaceDN/>
        <w:bidi w:val="0"/>
        <w:adjustRightInd w:val="0"/>
        <w:snapToGrid w:val="0"/>
        <w:ind w:firstLine="520" w:firstLineChars="200"/>
        <w:textAlignment w:val="auto"/>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根据重庆市“国土空间用途管制智检服务”查询结果（见附件3）可知，本次管线施工临时占地涉及永久基本农田，不涉及生态保护红线、城镇开发边界。项目</w:t>
      </w:r>
      <w:r>
        <w:rPr>
          <w:rFonts w:hint="default" w:ascii="Times New Roman" w:hAnsi="Times New Roman" w:eastAsia="宋体" w:cs="Times New Roman"/>
          <w:color w:val="auto"/>
          <w:sz w:val="26"/>
          <w:szCs w:val="26"/>
          <w:highlight w:val="none"/>
          <w:lang w:val="en-US" w:eastAsia="zh-CN"/>
        </w:rPr>
        <w:t>管道敷设以埋地方式通过，仅</w:t>
      </w:r>
      <w:r>
        <w:rPr>
          <w:rFonts w:hint="default" w:ascii="Times New Roman" w:hAnsi="Times New Roman" w:eastAsia="宋体" w:cs="Times New Roman"/>
          <w:bCs/>
          <w:color w:val="auto"/>
          <w:lang w:val="en-US" w:eastAsia="zh-CN"/>
        </w:rPr>
        <w:t>施工期临时占用永久基本农田，不修建永久性建（构）筑物且经复垦能恢复原种植条件。设计阶段在穿越基本农田段已尽量减小了施工作业带占地面积，随着施工结束后的复耕复垦，能确保基本农田“面积不减少、质量不降低”。项目与《基本农田保护条例》和《永久基本农田保护红线管理办法》等符合性分析详见本节</w:t>
      </w:r>
      <w:r>
        <w:rPr>
          <w:rFonts w:hint="default" w:ascii="Times New Roman" w:hAnsi="Times New Roman" w:eastAsia="宋体" w:cs="Times New Roman"/>
          <w:b/>
          <w:bCs w:val="0"/>
          <w:color w:val="auto"/>
          <w:lang w:val="en-US" w:eastAsia="zh-CN"/>
        </w:rPr>
        <w:t>“（11）与永久基本农田相关要求的符合性分析”</w:t>
      </w:r>
      <w:r>
        <w:rPr>
          <w:rFonts w:hint="default" w:ascii="Times New Roman" w:hAnsi="Times New Roman" w:eastAsia="宋体" w:cs="Times New Roman"/>
          <w:bCs/>
          <w:color w:val="auto"/>
          <w:lang w:val="en-US" w:eastAsia="zh-CN"/>
        </w:rPr>
        <w:t>。</w:t>
      </w:r>
    </w:p>
    <w:p w14:paraId="49677419">
      <w:pPr>
        <w:pStyle w:val="56"/>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综上，项目符合区域“三区三线”划定要求。</w:t>
      </w:r>
    </w:p>
    <w:p w14:paraId="46B6BD93">
      <w:pPr>
        <w:spacing w:line="500" w:lineRule="exact"/>
        <w:ind w:firstLine="522"/>
        <w:rPr>
          <w:rFonts w:hint="default" w:ascii="Times New Roman" w:hAnsi="Times New Roman" w:eastAsia="宋体" w:cs="Times New Roman"/>
          <w:b/>
          <w:bCs w:val="0"/>
          <w:color w:val="auto"/>
          <w:sz w:val="26"/>
          <w:szCs w:val="26"/>
        </w:rPr>
      </w:pPr>
      <w:r>
        <w:rPr>
          <w:rFonts w:hint="default" w:ascii="Times New Roman" w:hAnsi="Times New Roman" w:eastAsia="宋体" w:cs="Times New Roman"/>
          <w:b/>
          <w:bCs w:val="0"/>
          <w:color w:val="auto"/>
          <w:sz w:val="26"/>
          <w:szCs w:val="26"/>
          <w:lang w:val="en-US" w:eastAsia="zh-CN"/>
        </w:rPr>
        <w:t>（10）</w:t>
      </w:r>
      <w:r>
        <w:rPr>
          <w:rFonts w:hint="default" w:ascii="Times New Roman" w:hAnsi="Times New Roman" w:eastAsia="宋体" w:cs="Times New Roman"/>
          <w:b/>
          <w:bCs w:val="0"/>
          <w:color w:val="auto"/>
          <w:sz w:val="26"/>
          <w:szCs w:val="26"/>
        </w:rPr>
        <w:t>与“三线一单”符合性分析</w:t>
      </w:r>
    </w:p>
    <w:p w14:paraId="4CF2C524">
      <w:pPr>
        <w:pStyle w:val="56"/>
        <w:rPr>
          <w:rFonts w:hint="default" w:ascii="Times New Roman" w:hAnsi="Times New Roman" w:eastAsia="宋体" w:cs="Times New Roman"/>
          <w:bCs/>
          <w:color w:val="auto"/>
        </w:rPr>
      </w:pPr>
      <w:r>
        <w:rPr>
          <w:rFonts w:hint="default" w:ascii="Times New Roman" w:hAnsi="Times New Roman" w:eastAsia="宋体" w:cs="Times New Roman"/>
          <w:bCs/>
          <w:color w:val="auto"/>
        </w:rPr>
        <w:t>与《重庆市綦江区人民政府关于印发</w:t>
      </w:r>
      <w:r>
        <w:rPr>
          <w:rFonts w:hint="default" w:ascii="Times New Roman" w:hAnsi="Times New Roman" w:eastAsia="宋体" w:cs="Times New Roman"/>
          <w:bCs/>
          <w:color w:val="auto"/>
          <w:lang w:val="en-US" w:eastAsia="zh-CN"/>
        </w:rPr>
        <w:t>〈</w:t>
      </w:r>
      <w:r>
        <w:rPr>
          <w:rFonts w:hint="default" w:ascii="Times New Roman" w:hAnsi="Times New Roman" w:eastAsia="宋体" w:cs="Times New Roman"/>
          <w:bCs/>
          <w:color w:val="auto"/>
        </w:rPr>
        <w:t>重庆市綦江区“三线一单”生态环境分区管控调整方案（2023年）</w:t>
      </w:r>
      <w:r>
        <w:rPr>
          <w:rFonts w:hint="default" w:ascii="Times New Roman" w:hAnsi="Times New Roman" w:eastAsia="宋体" w:cs="Times New Roman"/>
          <w:bCs/>
          <w:color w:val="auto"/>
          <w:lang w:val="en-US" w:eastAsia="zh-CN"/>
        </w:rPr>
        <w:t>〉</w:t>
      </w:r>
      <w:r>
        <w:rPr>
          <w:rFonts w:hint="default" w:ascii="Times New Roman" w:hAnsi="Times New Roman" w:eastAsia="宋体" w:cs="Times New Roman"/>
          <w:bCs/>
          <w:color w:val="auto"/>
        </w:rPr>
        <w:t>的通知》</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綦江府发〔2024〕15号</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的符合性分析</w:t>
      </w:r>
    </w:p>
    <w:p w14:paraId="57B4D4D8">
      <w:pPr>
        <w:pStyle w:val="56"/>
        <w:jc w:val="both"/>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本项目位于</w:t>
      </w:r>
      <w:r>
        <w:rPr>
          <w:rFonts w:hint="default" w:ascii="Times New Roman" w:hAnsi="Times New Roman" w:eastAsia="宋体" w:cs="Times New Roman"/>
          <w:bCs/>
          <w:color w:val="auto"/>
          <w:lang w:val="en-US" w:eastAsia="zh-CN"/>
        </w:rPr>
        <w:t>重庆市</w:t>
      </w:r>
      <w:r>
        <w:rPr>
          <w:rFonts w:hint="default" w:ascii="Times New Roman" w:hAnsi="Times New Roman" w:eastAsia="宋体" w:cs="Times New Roman"/>
          <w:bCs/>
          <w:color w:val="auto"/>
          <w:lang w:eastAsia="zh-CN"/>
        </w:rPr>
        <w:t>綦江区</w:t>
      </w:r>
      <w:r>
        <w:rPr>
          <w:rFonts w:hint="default" w:ascii="Times New Roman" w:hAnsi="Times New Roman" w:eastAsia="宋体" w:cs="Times New Roman"/>
          <w:bCs/>
          <w:color w:val="auto"/>
        </w:rPr>
        <w:t>境内，本项目涉及的区域</w:t>
      </w:r>
      <w:r>
        <w:rPr>
          <w:rFonts w:hint="default" w:ascii="Times New Roman" w:hAnsi="Times New Roman" w:eastAsia="宋体" w:cs="Times New Roman"/>
          <w:bCs/>
          <w:color w:val="auto"/>
          <w:lang w:val="en-US" w:eastAsia="zh-CN"/>
        </w:rPr>
        <w:t>仅包括</w:t>
      </w:r>
      <w:r>
        <w:rPr>
          <w:rFonts w:hint="default" w:ascii="Times New Roman" w:hAnsi="Times New Roman" w:eastAsia="宋体" w:cs="Times New Roman"/>
          <w:bCs/>
          <w:color w:val="auto"/>
        </w:rPr>
        <w:t>1个环境管控单元</w:t>
      </w:r>
      <w:r>
        <w:rPr>
          <w:rFonts w:hint="default" w:ascii="Times New Roman" w:hAnsi="Times New Roman" w:eastAsia="宋体" w:cs="Times New Roman"/>
          <w:bCs/>
          <w:color w:val="auto"/>
          <w:lang w:val="en-US" w:eastAsia="zh-CN"/>
        </w:rPr>
        <w:t>为綦江区重点管控单元—綦江河北渡</w:t>
      </w:r>
      <w:r>
        <w:rPr>
          <w:rFonts w:hint="default" w:ascii="Times New Roman" w:hAnsi="Times New Roman" w:eastAsia="宋体" w:cs="Times New Roman"/>
          <w:bCs/>
          <w:color w:val="auto"/>
        </w:rPr>
        <w:t>（环境管控单元编号</w:t>
      </w:r>
      <w:r>
        <w:rPr>
          <w:rFonts w:hint="default" w:ascii="Times New Roman" w:hAnsi="Times New Roman" w:eastAsia="宋体" w:cs="Times New Roman"/>
          <w:bCs/>
          <w:color w:val="auto"/>
          <w:lang w:val="en-US" w:eastAsia="zh-CN"/>
        </w:rPr>
        <w:t>ZH50011020009</w:t>
      </w:r>
      <w:r>
        <w:rPr>
          <w:rFonts w:hint="default" w:ascii="Times New Roman" w:hAnsi="Times New Roman" w:eastAsia="宋体" w:cs="Times New Roman"/>
          <w:bCs/>
          <w:color w:val="auto"/>
        </w:rPr>
        <w:t>）</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本项目与生态环境准入清单对照见表</w:t>
      </w:r>
      <w:r>
        <w:rPr>
          <w:rFonts w:hint="default" w:ascii="Times New Roman" w:hAnsi="Times New Roman" w:eastAsia="宋体" w:cs="Times New Roman"/>
          <w:bCs/>
          <w:color w:val="auto"/>
          <w:lang w:val="en-US" w:eastAsia="zh-CN"/>
        </w:rPr>
        <w:t>1.3-2</w:t>
      </w:r>
      <w:r>
        <w:rPr>
          <w:rFonts w:hint="default" w:ascii="Times New Roman" w:hAnsi="Times New Roman" w:eastAsia="宋体" w:cs="Times New Roman"/>
          <w:bCs/>
          <w:color w:val="auto"/>
        </w:rPr>
        <w:t>。</w:t>
      </w:r>
    </w:p>
    <w:p w14:paraId="2AC74F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sz w:val="21"/>
          <w:szCs w:val="21"/>
          <w:highlight w:val="none"/>
        </w:rPr>
      </w:pPr>
    </w:p>
    <w:p w14:paraId="2713A078">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表</w:t>
      </w:r>
      <w:r>
        <w:rPr>
          <w:rFonts w:hint="default" w:ascii="Times New Roman" w:hAnsi="Times New Roman" w:eastAsia="宋体" w:cs="Times New Roman"/>
          <w:color w:val="auto"/>
          <w:sz w:val="26"/>
          <w:szCs w:val="26"/>
          <w:highlight w:val="none"/>
          <w:lang w:val="en-US" w:eastAsia="zh-CN"/>
        </w:rPr>
        <w:t>1.3</w:t>
      </w:r>
      <w:r>
        <w:rPr>
          <w:rFonts w:hint="default" w:ascii="Times New Roman" w:hAnsi="Times New Roman" w:eastAsia="宋体" w:cs="Times New Roman"/>
          <w:color w:val="auto"/>
          <w:sz w:val="26"/>
          <w:szCs w:val="26"/>
          <w:highlight w:val="none"/>
        </w:rPr>
        <w:t>-</w:t>
      </w:r>
      <w:r>
        <w:rPr>
          <w:rFonts w:hint="default" w:ascii="Times New Roman" w:hAnsi="Times New Roman" w:eastAsia="宋体" w:cs="Times New Roman"/>
          <w:color w:val="auto"/>
          <w:sz w:val="26"/>
          <w:szCs w:val="26"/>
          <w:highlight w:val="none"/>
          <w:lang w:val="en-US" w:eastAsia="zh-CN"/>
        </w:rPr>
        <w:t>2</w:t>
      </w:r>
      <w:r>
        <w:rPr>
          <w:rFonts w:hint="default" w:ascii="Times New Roman" w:hAnsi="Times New Roman" w:eastAsia="宋体" w:cs="Times New Roman"/>
          <w:color w:val="auto"/>
          <w:sz w:val="26"/>
          <w:szCs w:val="26"/>
          <w:highlight w:val="none"/>
        </w:rPr>
        <w:t xml:space="preserve"> 本项目所处环境管控单元统计表</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8"/>
        <w:gridCol w:w="2525"/>
        <w:gridCol w:w="1949"/>
        <w:gridCol w:w="2252"/>
      </w:tblGrid>
      <w:tr w14:paraId="546F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pct"/>
            <w:noWrap w:val="0"/>
            <w:vAlign w:val="center"/>
          </w:tcPr>
          <w:p w14:paraId="4CC8D0B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环境管控单元编码</w:t>
            </w:r>
          </w:p>
        </w:tc>
        <w:tc>
          <w:tcPr>
            <w:tcW w:w="1411" w:type="pct"/>
            <w:noWrap w:val="0"/>
            <w:vAlign w:val="center"/>
          </w:tcPr>
          <w:p w14:paraId="2FE898C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环境管控单元名称</w:t>
            </w:r>
          </w:p>
        </w:tc>
        <w:tc>
          <w:tcPr>
            <w:tcW w:w="1089" w:type="pct"/>
            <w:noWrap w:val="0"/>
            <w:vAlign w:val="center"/>
          </w:tcPr>
          <w:p w14:paraId="3AFF33D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环境管控单元类型</w:t>
            </w:r>
          </w:p>
        </w:tc>
        <w:tc>
          <w:tcPr>
            <w:tcW w:w="1258" w:type="pct"/>
            <w:noWrap w:val="0"/>
            <w:vAlign w:val="center"/>
          </w:tcPr>
          <w:p w14:paraId="0EA5467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本项目涉及</w:t>
            </w:r>
            <w:r>
              <w:rPr>
                <w:rFonts w:hint="default" w:ascii="Times New Roman" w:hAnsi="Times New Roman" w:eastAsia="宋体" w:cs="Times New Roman"/>
                <w:color w:val="auto"/>
                <w:sz w:val="21"/>
                <w:szCs w:val="21"/>
                <w:highlight w:val="none"/>
                <w:lang w:val="en-US" w:eastAsia="zh-CN"/>
              </w:rPr>
              <w:t>内容</w:t>
            </w:r>
          </w:p>
        </w:tc>
      </w:tr>
      <w:tr w14:paraId="7B62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9" w:type="pct"/>
            <w:noWrap w:val="0"/>
            <w:vAlign w:val="center"/>
          </w:tcPr>
          <w:p w14:paraId="79B9870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ZH50011020009</w:t>
            </w:r>
          </w:p>
        </w:tc>
        <w:tc>
          <w:tcPr>
            <w:tcW w:w="1411" w:type="pct"/>
            <w:noWrap w:val="0"/>
            <w:vAlign w:val="center"/>
          </w:tcPr>
          <w:p w14:paraId="7CC39D54">
            <w:pPr>
              <w:pStyle w:val="11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綦江区重点管控单元—綦江河北渡</w:t>
            </w:r>
          </w:p>
        </w:tc>
        <w:tc>
          <w:tcPr>
            <w:tcW w:w="1089" w:type="pct"/>
            <w:noWrap w:val="0"/>
            <w:vAlign w:val="center"/>
          </w:tcPr>
          <w:p w14:paraId="1FC3B611">
            <w:pPr>
              <w:pStyle w:val="11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重点管控单元 9</w:t>
            </w:r>
          </w:p>
        </w:tc>
        <w:tc>
          <w:tcPr>
            <w:tcW w:w="1258" w:type="pct"/>
            <w:noWrap w:val="0"/>
            <w:vAlign w:val="center"/>
          </w:tcPr>
          <w:p w14:paraId="11A122C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天然气管道（地埋）</w:t>
            </w:r>
          </w:p>
        </w:tc>
      </w:tr>
    </w:tbl>
    <w:p w14:paraId="566F25C5">
      <w:pPr>
        <w:pStyle w:val="62"/>
        <w:rPr>
          <w:rFonts w:hint="default" w:ascii="Times New Roman" w:hAnsi="Times New Roman" w:eastAsia="宋体" w:cs="Times New Roman"/>
          <w:bCs/>
          <w:color w:val="auto"/>
          <w:sz w:val="26"/>
          <w:szCs w:val="26"/>
          <w:highlight w:val="none"/>
        </w:rPr>
      </w:pPr>
    </w:p>
    <w:p w14:paraId="516FA3A3">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lang w:eastAsia="zh-CN"/>
        </w:rPr>
        <w:t>根据分析，项目属于</w:t>
      </w:r>
      <w:r>
        <w:rPr>
          <w:rFonts w:hint="default" w:ascii="Times New Roman" w:hAnsi="Times New Roman" w:eastAsia="宋体" w:cs="Times New Roman"/>
          <w:bCs/>
          <w:color w:val="auto"/>
          <w:lang w:eastAsia="zh-CN"/>
        </w:rPr>
        <w:t>天然气管道改建项目</w:t>
      </w:r>
      <w:r>
        <w:rPr>
          <w:rFonts w:hint="default" w:ascii="Times New Roman" w:hAnsi="Times New Roman" w:eastAsia="宋体" w:cs="Times New Roman"/>
          <w:bCs/>
          <w:color w:val="auto"/>
          <w:sz w:val="26"/>
          <w:szCs w:val="26"/>
          <w:highlight w:val="none"/>
          <w:lang w:eastAsia="zh-CN"/>
        </w:rPr>
        <w:t>，不属于工业项目，项目建设可促进</w:t>
      </w:r>
      <w:r>
        <w:rPr>
          <w:rFonts w:hint="default" w:ascii="Times New Roman" w:hAnsi="Times New Roman" w:eastAsia="宋体" w:cs="Times New Roman"/>
          <w:bCs/>
          <w:color w:val="auto"/>
          <w:sz w:val="26"/>
          <w:szCs w:val="26"/>
          <w:highlight w:val="none"/>
          <w:lang w:val="en-US" w:eastAsia="zh-CN"/>
        </w:rPr>
        <w:t>綦江</w:t>
      </w:r>
      <w:r>
        <w:rPr>
          <w:rFonts w:hint="default" w:ascii="Times New Roman" w:hAnsi="Times New Roman" w:eastAsia="宋体" w:cs="Times New Roman"/>
          <w:bCs/>
          <w:color w:val="auto"/>
          <w:sz w:val="26"/>
          <w:szCs w:val="26"/>
          <w:highlight w:val="none"/>
          <w:lang w:eastAsia="zh-CN"/>
        </w:rPr>
        <w:t>地区天然气开发，确保气田应产尽产，应销尽销，使零散气颗粒归仓，有利于减少温室气体排放及资源浪费，与</w:t>
      </w:r>
      <w:r>
        <w:rPr>
          <w:rFonts w:hint="default" w:ascii="Times New Roman" w:hAnsi="Times New Roman" w:eastAsia="宋体" w:cs="Times New Roman"/>
          <w:bCs/>
          <w:color w:val="auto"/>
          <w:sz w:val="26"/>
          <w:szCs w:val="26"/>
          <w:highlight w:val="none"/>
          <w:shd w:val="clear" w:fill="FFFFFF"/>
          <w:lang w:eastAsia="zh-CN"/>
        </w:rPr>
        <w:t>“三线一单”</w:t>
      </w:r>
      <w:r>
        <w:rPr>
          <w:rFonts w:hint="default" w:ascii="Times New Roman" w:hAnsi="Times New Roman" w:eastAsia="宋体" w:cs="Times New Roman"/>
          <w:bCs/>
          <w:color w:val="auto"/>
          <w:sz w:val="26"/>
          <w:szCs w:val="26"/>
          <w:highlight w:val="none"/>
          <w:lang w:eastAsia="zh-CN"/>
        </w:rPr>
        <w:t>生态环境分区管控方案不冲突，符合性见表</w:t>
      </w:r>
      <w:r>
        <w:rPr>
          <w:rFonts w:hint="default" w:ascii="Times New Roman" w:hAnsi="Times New Roman" w:eastAsia="宋体" w:cs="Times New Roman"/>
          <w:bCs/>
          <w:color w:val="auto"/>
          <w:sz w:val="26"/>
          <w:szCs w:val="26"/>
          <w:highlight w:val="none"/>
          <w:lang w:val="en-US" w:eastAsia="zh-CN"/>
        </w:rPr>
        <w:t>1.3-3</w:t>
      </w:r>
      <w:r>
        <w:rPr>
          <w:rFonts w:hint="default" w:ascii="Times New Roman" w:hAnsi="Times New Roman" w:eastAsia="宋体" w:cs="Times New Roman"/>
          <w:bCs/>
          <w:color w:val="auto"/>
          <w:sz w:val="26"/>
          <w:szCs w:val="26"/>
          <w:highlight w:val="none"/>
        </w:rPr>
        <w:t>。</w:t>
      </w:r>
    </w:p>
    <w:p w14:paraId="202FDF25">
      <w:pPr>
        <w:keepNext w:val="0"/>
        <w:keepLines w:val="0"/>
        <w:pageBreakBefore w:val="0"/>
        <w:widowControl w:val="0"/>
        <w:kinsoku/>
        <w:wordWrap/>
        <w:overflowPunct/>
        <w:topLinePunct w:val="0"/>
        <w:bidi w:val="0"/>
        <w:adjustRightInd w:val="0"/>
        <w:snapToGrid w:val="0"/>
        <w:spacing w:line="500" w:lineRule="exact"/>
        <w:ind w:firstLine="520" w:firstLineChars="200"/>
        <w:textAlignment w:val="auto"/>
        <w:rPr>
          <w:rFonts w:hint="default" w:ascii="Times New Roman" w:hAnsi="Times New Roman" w:eastAsia="宋体" w:cs="Times New Roman"/>
          <w:bCs/>
          <w:color w:val="auto"/>
          <w:sz w:val="26"/>
          <w:szCs w:val="26"/>
          <w:highlight w:val="none"/>
        </w:rPr>
      </w:pPr>
    </w:p>
    <w:p w14:paraId="22C11813">
      <w:pPr>
        <w:pStyle w:val="72"/>
        <w:rPr>
          <w:rFonts w:hint="default" w:ascii="Times New Roman" w:hAnsi="Times New Roman" w:eastAsia="宋体" w:cs="Times New Roman"/>
          <w:color w:val="auto"/>
        </w:rPr>
      </w:pPr>
    </w:p>
    <w:p w14:paraId="56D71721">
      <w:pPr>
        <w:pStyle w:val="72"/>
        <w:rPr>
          <w:rFonts w:hint="default" w:ascii="Times New Roman" w:hAnsi="Times New Roman" w:eastAsia="宋体" w:cs="Times New Roman"/>
          <w:color w:val="auto"/>
        </w:rPr>
      </w:pPr>
    </w:p>
    <w:p w14:paraId="24AC3B06">
      <w:pPr>
        <w:pStyle w:val="72"/>
        <w:rPr>
          <w:rFonts w:hint="default" w:ascii="Times New Roman" w:hAnsi="Times New Roman" w:eastAsia="宋体" w:cs="Times New Roman"/>
          <w:color w:val="auto"/>
        </w:rPr>
        <w:sectPr>
          <w:type w:val="continuous"/>
          <w:pgSz w:w="11906" w:h="16838"/>
          <w:pgMar w:top="1418" w:right="1588" w:bottom="1418" w:left="1588" w:header="851" w:footer="992" w:gutter="0"/>
          <w:pgBorders>
            <w:top w:val="none" w:sz="0" w:space="0"/>
            <w:left w:val="none" w:sz="0" w:space="0"/>
            <w:bottom w:val="none" w:sz="0" w:space="0"/>
            <w:right w:val="none" w:sz="0" w:space="0"/>
          </w:pgBorders>
          <w:cols w:space="720" w:num="1"/>
          <w:docGrid w:linePitch="312" w:charSpace="0"/>
        </w:sectPr>
      </w:pPr>
    </w:p>
    <w:p w14:paraId="7962B09F">
      <w:pPr>
        <w:pStyle w:val="72"/>
        <w:rPr>
          <w:rFonts w:hint="default" w:ascii="Times New Roman" w:hAnsi="Times New Roman" w:eastAsia="宋体" w:cs="Times New Roman"/>
          <w:b/>
          <w:bCs/>
          <w:color w:val="auto"/>
          <w:lang w:bidi="ar"/>
        </w:rPr>
      </w:pPr>
      <w:r>
        <w:rPr>
          <w:rFonts w:hint="default" w:ascii="Times New Roman" w:hAnsi="Times New Roman" w:eastAsia="宋体" w:cs="Times New Roman"/>
          <w:b/>
          <w:bCs/>
          <w:color w:val="auto"/>
          <w:lang w:bidi="ar"/>
        </w:rPr>
        <w:t>表</w:t>
      </w:r>
      <w:r>
        <w:rPr>
          <w:rFonts w:hint="default" w:ascii="Times New Roman" w:hAnsi="Times New Roman" w:eastAsia="宋体" w:cs="Times New Roman"/>
          <w:b/>
          <w:bCs/>
          <w:color w:val="auto"/>
          <w:lang w:val="en-US" w:eastAsia="zh-CN" w:bidi="ar"/>
        </w:rPr>
        <w:t>1.3-3</w:t>
      </w:r>
      <w:r>
        <w:rPr>
          <w:rFonts w:hint="default" w:ascii="Times New Roman" w:hAnsi="Times New Roman" w:eastAsia="宋体" w:cs="Times New Roman"/>
          <w:b/>
          <w:bCs/>
          <w:color w:val="auto"/>
          <w:lang w:bidi="ar"/>
        </w:rPr>
        <w:t xml:space="preserve"> 项目与重庆市、</w:t>
      </w:r>
      <w:r>
        <w:rPr>
          <w:rFonts w:hint="default" w:ascii="Times New Roman" w:hAnsi="Times New Roman" w:eastAsia="宋体" w:cs="Times New Roman"/>
          <w:b/>
          <w:bCs/>
          <w:color w:val="auto"/>
          <w:lang w:val="en-US" w:eastAsia="zh-CN" w:bidi="ar"/>
        </w:rPr>
        <w:t>綦江</w:t>
      </w:r>
      <w:r>
        <w:rPr>
          <w:rFonts w:hint="default" w:ascii="Times New Roman" w:hAnsi="Times New Roman" w:eastAsia="宋体" w:cs="Times New Roman"/>
          <w:b/>
          <w:bCs/>
          <w:color w:val="auto"/>
          <w:lang w:bidi="ar"/>
        </w:rPr>
        <w:t>区管控单元生态环境准入清单对照表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1" w:type="dxa"/>
          <w:left w:w="108" w:type="dxa"/>
          <w:bottom w:w="51" w:type="dxa"/>
          <w:right w:w="108" w:type="dxa"/>
        </w:tblCellMar>
      </w:tblPr>
      <w:tblGrid>
        <w:gridCol w:w="873"/>
        <w:gridCol w:w="941"/>
        <w:gridCol w:w="754"/>
        <w:gridCol w:w="2042"/>
        <w:gridCol w:w="5704"/>
        <w:gridCol w:w="2801"/>
        <w:gridCol w:w="1103"/>
      </w:tblGrid>
      <w:tr w14:paraId="2B84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1620" w:type="pct"/>
            <w:gridSpan w:val="4"/>
            <w:noWrap w:val="0"/>
            <w:vAlign w:val="center"/>
          </w:tcPr>
          <w:p w14:paraId="488607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环境管控单元编码</w:t>
            </w:r>
          </w:p>
        </w:tc>
        <w:tc>
          <w:tcPr>
            <w:tcW w:w="2006" w:type="pct"/>
            <w:noWrap w:val="0"/>
            <w:vAlign w:val="center"/>
          </w:tcPr>
          <w:p w14:paraId="13D642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环境管控单元名称</w:t>
            </w:r>
          </w:p>
        </w:tc>
        <w:tc>
          <w:tcPr>
            <w:tcW w:w="1373" w:type="pct"/>
            <w:gridSpan w:val="2"/>
            <w:noWrap w:val="0"/>
            <w:vAlign w:val="center"/>
          </w:tcPr>
          <w:p w14:paraId="55E1F5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环境管控单元类型</w:t>
            </w:r>
          </w:p>
        </w:tc>
      </w:tr>
      <w:tr w14:paraId="1B33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1620" w:type="pct"/>
            <w:gridSpan w:val="4"/>
            <w:tcBorders>
              <w:top w:val="single" w:color="auto" w:sz="4" w:space="0"/>
              <w:left w:val="single" w:color="auto" w:sz="4" w:space="0"/>
              <w:bottom w:val="single" w:color="auto" w:sz="4" w:space="0"/>
              <w:right w:val="single" w:color="auto" w:sz="4" w:space="0"/>
            </w:tcBorders>
            <w:noWrap w:val="0"/>
            <w:vAlign w:val="center"/>
          </w:tcPr>
          <w:p w14:paraId="371D59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ZH50011020009</w:t>
            </w:r>
          </w:p>
        </w:tc>
        <w:tc>
          <w:tcPr>
            <w:tcW w:w="2006" w:type="pct"/>
            <w:tcBorders>
              <w:top w:val="single" w:color="auto" w:sz="4" w:space="0"/>
              <w:left w:val="single" w:color="auto" w:sz="4" w:space="0"/>
              <w:bottom w:val="single" w:color="auto" w:sz="4" w:space="0"/>
              <w:right w:val="single" w:color="auto" w:sz="4" w:space="0"/>
            </w:tcBorders>
            <w:noWrap w:val="0"/>
            <w:vAlign w:val="center"/>
          </w:tcPr>
          <w:p w14:paraId="7242D0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綦江区重点管控单元—綦江河北渡其余区域</w:t>
            </w:r>
          </w:p>
        </w:tc>
        <w:tc>
          <w:tcPr>
            <w:tcW w:w="1373" w:type="pct"/>
            <w:gridSpan w:val="2"/>
            <w:tcBorders>
              <w:top w:val="single" w:color="auto" w:sz="4" w:space="0"/>
              <w:left w:val="single" w:color="auto" w:sz="4" w:space="0"/>
              <w:bottom w:val="single" w:color="auto" w:sz="4" w:space="0"/>
              <w:right w:val="single" w:color="auto" w:sz="4" w:space="0"/>
            </w:tcBorders>
            <w:noWrap w:val="0"/>
            <w:vAlign w:val="center"/>
          </w:tcPr>
          <w:p w14:paraId="009D7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重点管控单元 9</w:t>
            </w:r>
          </w:p>
        </w:tc>
      </w:tr>
      <w:tr w14:paraId="648E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tcBorders>
              <w:top w:val="single" w:color="auto" w:sz="4" w:space="0"/>
              <w:left w:val="single" w:color="auto" w:sz="4" w:space="0"/>
              <w:bottom w:val="single" w:color="auto" w:sz="4" w:space="0"/>
              <w:right w:val="single" w:color="auto" w:sz="4" w:space="0"/>
            </w:tcBorders>
            <w:noWrap w:val="0"/>
            <w:vAlign w:val="center"/>
          </w:tcPr>
          <w:p w14:paraId="3FF07D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管控要求层级</w:t>
            </w:r>
          </w:p>
        </w:tc>
        <w:tc>
          <w:tcPr>
            <w:tcW w:w="596" w:type="pct"/>
            <w:gridSpan w:val="2"/>
            <w:tcBorders>
              <w:top w:val="single" w:color="auto" w:sz="4" w:space="0"/>
              <w:left w:val="single" w:color="auto" w:sz="4" w:space="0"/>
              <w:bottom w:val="single" w:color="auto" w:sz="4" w:space="0"/>
              <w:right w:val="single" w:color="auto" w:sz="4" w:space="0"/>
            </w:tcBorders>
            <w:noWrap w:val="0"/>
            <w:vAlign w:val="center"/>
          </w:tcPr>
          <w:p w14:paraId="2552FC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管控类型</w:t>
            </w: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4C795B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管控要求</w:t>
            </w:r>
          </w:p>
        </w:tc>
        <w:tc>
          <w:tcPr>
            <w:tcW w:w="985" w:type="pct"/>
            <w:noWrap w:val="0"/>
            <w:vAlign w:val="center"/>
          </w:tcPr>
          <w:p w14:paraId="0F5B0B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建设项目相关情况</w:t>
            </w:r>
          </w:p>
        </w:tc>
        <w:tc>
          <w:tcPr>
            <w:tcW w:w="388" w:type="pct"/>
            <w:noWrap w:val="0"/>
            <w:vAlign w:val="center"/>
          </w:tcPr>
          <w:p w14:paraId="2E6BFA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符合性分析结论</w:t>
            </w:r>
          </w:p>
        </w:tc>
      </w:tr>
      <w:tr w14:paraId="2444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restart"/>
            <w:tcBorders>
              <w:left w:val="single" w:color="auto" w:sz="4" w:space="0"/>
              <w:right w:val="single" w:color="auto" w:sz="4" w:space="0"/>
            </w:tcBorders>
            <w:noWrap w:val="0"/>
            <w:vAlign w:val="center"/>
          </w:tcPr>
          <w:p w14:paraId="6DB816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市级总体管控要求</w:t>
            </w:r>
          </w:p>
        </w:tc>
        <w:tc>
          <w:tcPr>
            <w:tcW w:w="331" w:type="pct"/>
            <w:vMerge w:val="restart"/>
            <w:tcBorders>
              <w:left w:val="single" w:color="auto" w:sz="4" w:space="0"/>
              <w:right w:val="single" w:color="auto" w:sz="4" w:space="0"/>
            </w:tcBorders>
            <w:noWrap w:val="0"/>
            <w:vAlign w:val="center"/>
          </w:tcPr>
          <w:p w14:paraId="36AD17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重点管控单元</w:t>
            </w:r>
          </w:p>
        </w:tc>
        <w:tc>
          <w:tcPr>
            <w:tcW w:w="264" w:type="pct"/>
            <w:vMerge w:val="restart"/>
            <w:tcBorders>
              <w:left w:val="single" w:color="auto" w:sz="4" w:space="0"/>
              <w:right w:val="single" w:color="auto" w:sz="4" w:space="0"/>
            </w:tcBorders>
            <w:noWrap w:val="0"/>
            <w:vAlign w:val="center"/>
          </w:tcPr>
          <w:p w14:paraId="4EA81C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空间布局约束</w:t>
            </w:r>
          </w:p>
        </w:tc>
        <w:tc>
          <w:tcPr>
            <w:tcW w:w="2722" w:type="pct"/>
            <w:gridSpan w:val="2"/>
            <w:noWrap w:val="0"/>
            <w:vAlign w:val="center"/>
          </w:tcPr>
          <w:p w14:paraId="598ACE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第一条 深入贯彻习近平生态文明思想，筑牢长江上游重要生态屏障，推动优势区域重点发展、生态功能区重点保护、城乡融合发展，优化重点区域、流域、产业的空间布局。</w:t>
            </w:r>
          </w:p>
        </w:tc>
        <w:tc>
          <w:tcPr>
            <w:tcW w:w="985" w:type="pct"/>
            <w:noWrap w:val="0"/>
            <w:vAlign w:val="center"/>
          </w:tcPr>
          <w:p w14:paraId="7DD9A5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lang w:val="en-US" w:eastAsia="zh-CN"/>
              </w:rPr>
              <w:t>符合</w:t>
            </w:r>
            <w:r>
              <w:rPr>
                <w:rFonts w:hint="default" w:ascii="Times New Roman" w:hAnsi="Times New Roman" w:eastAsia="宋体" w:cs="Times New Roman"/>
                <w:color w:val="auto"/>
                <w:sz w:val="21"/>
                <w:szCs w:val="21"/>
                <w:highlight w:val="none"/>
                <w:lang w:eastAsia="zh-CN"/>
              </w:rPr>
              <w:t>区域、流域、产业空间布局。</w:t>
            </w:r>
          </w:p>
        </w:tc>
        <w:tc>
          <w:tcPr>
            <w:tcW w:w="388" w:type="pct"/>
            <w:tcBorders>
              <w:left w:val="single" w:color="auto" w:sz="4" w:space="0"/>
              <w:right w:val="single" w:color="auto" w:sz="4" w:space="0"/>
            </w:tcBorders>
            <w:noWrap w:val="0"/>
            <w:vAlign w:val="center"/>
          </w:tcPr>
          <w:p w14:paraId="28D02B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7933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1C5D2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562290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3AB540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4016B5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985" w:type="pct"/>
            <w:noWrap w:val="0"/>
            <w:vAlign w:val="center"/>
          </w:tcPr>
          <w:p w14:paraId="0CCB98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天然气管道改建项目，不</w:t>
            </w:r>
            <w:r>
              <w:rPr>
                <w:rFonts w:hint="default" w:ascii="Times New Roman" w:hAnsi="Times New Roman" w:eastAsia="宋体" w:cs="Times New Roman"/>
                <w:color w:val="auto"/>
                <w:sz w:val="21"/>
                <w:szCs w:val="21"/>
                <w:highlight w:val="none"/>
                <w:lang w:val="en-US" w:eastAsia="zh-CN"/>
              </w:rPr>
              <w:t>在长江干支流、重要湖泊岸线一公里范围内，不属于</w:t>
            </w:r>
            <w:r>
              <w:rPr>
                <w:rFonts w:hint="default" w:ascii="Times New Roman" w:hAnsi="Times New Roman" w:eastAsia="宋体" w:cs="Times New Roman"/>
                <w:color w:val="auto"/>
                <w:sz w:val="21"/>
                <w:szCs w:val="21"/>
                <w:highlight w:val="none"/>
                <w:lang w:eastAsia="zh-CN"/>
              </w:rPr>
              <w:t>重化工、纸浆制造、印染等</w:t>
            </w:r>
            <w:r>
              <w:rPr>
                <w:rFonts w:hint="default" w:ascii="Times New Roman" w:hAnsi="Times New Roman" w:eastAsia="宋体" w:cs="Times New Roman"/>
                <w:color w:val="auto"/>
                <w:sz w:val="21"/>
                <w:szCs w:val="21"/>
                <w:highlight w:val="none"/>
                <w:lang w:val="en-US" w:eastAsia="zh-CN"/>
              </w:rPr>
              <w:t>项目</w:t>
            </w:r>
          </w:p>
        </w:tc>
        <w:tc>
          <w:tcPr>
            <w:tcW w:w="388" w:type="pct"/>
            <w:tcBorders>
              <w:left w:val="single" w:color="auto" w:sz="4" w:space="0"/>
              <w:right w:val="single" w:color="auto" w:sz="4" w:space="0"/>
            </w:tcBorders>
            <w:noWrap w:val="0"/>
            <w:vAlign w:val="center"/>
          </w:tcPr>
          <w:p w14:paraId="1C41E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10FB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2F305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48928F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532E32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166AEF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985" w:type="pct"/>
            <w:noWrap w:val="0"/>
            <w:vAlign w:val="center"/>
          </w:tcPr>
          <w:p w14:paraId="26C9D8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天然气管道改建项目，不涉及</w:t>
            </w:r>
            <w:r>
              <w:rPr>
                <w:rFonts w:hint="default" w:ascii="Times New Roman" w:hAnsi="Times New Roman" w:eastAsia="宋体" w:cs="Times New Roman"/>
                <w:color w:val="auto"/>
                <w:sz w:val="21"/>
                <w:szCs w:val="21"/>
                <w:highlight w:val="none"/>
                <w:lang w:val="en-US" w:eastAsia="zh-CN"/>
              </w:rPr>
              <w:t>左列类项目</w:t>
            </w:r>
          </w:p>
        </w:tc>
        <w:tc>
          <w:tcPr>
            <w:tcW w:w="388" w:type="pct"/>
            <w:tcBorders>
              <w:left w:val="single" w:color="auto" w:sz="4" w:space="0"/>
              <w:right w:val="single" w:color="auto" w:sz="4" w:space="0"/>
            </w:tcBorders>
            <w:noWrap w:val="0"/>
            <w:vAlign w:val="center"/>
          </w:tcPr>
          <w:p w14:paraId="41693B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382C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2AD169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14D80B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05159E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478166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985" w:type="pct"/>
            <w:noWrap w:val="0"/>
            <w:vAlign w:val="center"/>
          </w:tcPr>
          <w:p w14:paraId="5A1EAD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天然气管道改建项目，不涉及高耗能、高排放、低水平项</w:t>
            </w:r>
            <w:r>
              <w:rPr>
                <w:rFonts w:hint="default" w:ascii="Times New Roman" w:hAnsi="Times New Roman" w:eastAsia="宋体" w:cs="Times New Roman"/>
                <w:color w:val="auto"/>
                <w:sz w:val="21"/>
                <w:szCs w:val="21"/>
                <w:highlight w:val="none"/>
                <w:lang w:val="en-US" w:eastAsia="zh-CN"/>
              </w:rPr>
              <w:t>目</w:t>
            </w:r>
          </w:p>
        </w:tc>
        <w:tc>
          <w:tcPr>
            <w:tcW w:w="388" w:type="pct"/>
            <w:tcBorders>
              <w:left w:val="single" w:color="auto" w:sz="4" w:space="0"/>
              <w:right w:val="single" w:color="auto" w:sz="4" w:space="0"/>
            </w:tcBorders>
            <w:noWrap w:val="0"/>
            <w:vAlign w:val="center"/>
          </w:tcPr>
          <w:p w14:paraId="3AFF5F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10DA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75B2D8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4CBA79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5E45CE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33F082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第五条 新建、扩建有色金属冶炼、电镀、铅蓄电池等企业应布设在依法合规设立并经过规划环评的产业园区。</w:t>
            </w:r>
          </w:p>
        </w:tc>
        <w:tc>
          <w:tcPr>
            <w:tcW w:w="985" w:type="pct"/>
            <w:noWrap w:val="0"/>
            <w:vAlign w:val="center"/>
          </w:tcPr>
          <w:p w14:paraId="0C7C18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天然气管道改建项目，不涉及</w:t>
            </w:r>
            <w:r>
              <w:rPr>
                <w:rFonts w:hint="default" w:ascii="Times New Roman" w:hAnsi="Times New Roman" w:eastAsia="宋体" w:cs="Times New Roman"/>
                <w:color w:val="auto"/>
                <w:sz w:val="21"/>
                <w:szCs w:val="21"/>
                <w:highlight w:val="none"/>
                <w:lang w:val="en-US" w:eastAsia="zh-CN"/>
              </w:rPr>
              <w:t>左列类项目</w:t>
            </w:r>
          </w:p>
        </w:tc>
        <w:tc>
          <w:tcPr>
            <w:tcW w:w="388" w:type="pct"/>
            <w:tcBorders>
              <w:left w:val="single" w:color="auto" w:sz="4" w:space="0"/>
              <w:right w:val="single" w:color="auto" w:sz="4" w:space="0"/>
            </w:tcBorders>
            <w:noWrap w:val="0"/>
            <w:vAlign w:val="center"/>
          </w:tcPr>
          <w:p w14:paraId="59B79C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4F78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216697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4FAB65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3077B7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42E503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第六条 涉及环境防护距离的工业企业或项目应通过选址或调整布局原则上将环境防护距离控制在园区边界或用地红线内，提前合理规划项目地块布置、预防环境风险。</w:t>
            </w:r>
          </w:p>
        </w:tc>
        <w:tc>
          <w:tcPr>
            <w:tcW w:w="985" w:type="pct"/>
            <w:noWrap w:val="0"/>
            <w:vAlign w:val="center"/>
          </w:tcPr>
          <w:p w14:paraId="72FC24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天然气管道改建项目，不</w:t>
            </w:r>
            <w:r>
              <w:rPr>
                <w:rFonts w:hint="default" w:ascii="Times New Roman" w:hAnsi="Times New Roman" w:eastAsia="宋体" w:cs="Times New Roman"/>
                <w:color w:val="auto"/>
                <w:sz w:val="21"/>
                <w:szCs w:val="21"/>
                <w:highlight w:val="none"/>
                <w:lang w:val="en-US" w:eastAsia="zh-CN"/>
              </w:rPr>
              <w:t>属于工业类项目，仅施工期临时占地</w:t>
            </w:r>
          </w:p>
        </w:tc>
        <w:tc>
          <w:tcPr>
            <w:tcW w:w="388" w:type="pct"/>
            <w:tcBorders>
              <w:left w:val="single" w:color="auto" w:sz="4" w:space="0"/>
              <w:right w:val="single" w:color="auto" w:sz="4" w:space="0"/>
            </w:tcBorders>
            <w:noWrap w:val="0"/>
            <w:vAlign w:val="center"/>
          </w:tcPr>
          <w:p w14:paraId="0D57AB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7EFF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0E7811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6B6085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682285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16DA99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第七条 有效规范空间开发秩序，合理控制空间开发强度，切实将各类开发活动限制在资源环境承载能力之内，为构建高效协调可持续的国土空间开发格局奠定坚实基础。</w:t>
            </w:r>
          </w:p>
        </w:tc>
        <w:tc>
          <w:tcPr>
            <w:tcW w:w="985" w:type="pct"/>
            <w:noWrap w:val="0"/>
            <w:vAlign w:val="center"/>
          </w:tcPr>
          <w:p w14:paraId="53F2DF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天然气管道改建项目，在环境承载能力</w:t>
            </w:r>
            <w:r>
              <w:rPr>
                <w:rFonts w:hint="default" w:ascii="Times New Roman" w:hAnsi="Times New Roman" w:eastAsia="宋体" w:cs="Times New Roman"/>
                <w:color w:val="auto"/>
                <w:sz w:val="21"/>
                <w:szCs w:val="21"/>
                <w:highlight w:val="none"/>
                <w:lang w:val="en-US" w:eastAsia="zh-CN"/>
              </w:rPr>
              <w:t>范围内</w:t>
            </w:r>
          </w:p>
        </w:tc>
        <w:tc>
          <w:tcPr>
            <w:tcW w:w="388" w:type="pct"/>
            <w:tcBorders>
              <w:left w:val="single" w:color="auto" w:sz="4" w:space="0"/>
              <w:right w:val="single" w:color="auto" w:sz="4" w:space="0"/>
            </w:tcBorders>
            <w:noWrap w:val="0"/>
            <w:vAlign w:val="center"/>
          </w:tcPr>
          <w:p w14:paraId="1D508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7FA6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53D9D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1D0059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restart"/>
            <w:tcBorders>
              <w:left w:val="single" w:color="auto" w:sz="4" w:space="0"/>
              <w:right w:val="single" w:color="auto" w:sz="4" w:space="0"/>
            </w:tcBorders>
            <w:noWrap w:val="0"/>
            <w:vAlign w:val="center"/>
          </w:tcPr>
          <w:p w14:paraId="32DD29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污染物排放管控</w:t>
            </w:r>
          </w:p>
        </w:tc>
        <w:tc>
          <w:tcPr>
            <w:tcW w:w="2722" w:type="pct"/>
            <w:gridSpan w:val="2"/>
            <w:noWrap w:val="0"/>
            <w:vAlign w:val="center"/>
          </w:tcPr>
          <w:p w14:paraId="70097A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985" w:type="pct"/>
            <w:noWrap w:val="0"/>
            <w:vAlign w:val="center"/>
          </w:tcPr>
          <w:p w14:paraId="5164B6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天然气管道改建项目，不涉及</w:t>
            </w:r>
            <w:r>
              <w:rPr>
                <w:rFonts w:hint="default" w:ascii="Times New Roman" w:hAnsi="Times New Roman" w:eastAsia="宋体" w:cs="Times New Roman"/>
                <w:color w:val="auto"/>
                <w:sz w:val="21"/>
                <w:szCs w:val="21"/>
                <w:highlight w:val="none"/>
                <w:lang w:val="en-US" w:eastAsia="zh-CN"/>
              </w:rPr>
              <w:t>左列类项目</w:t>
            </w:r>
          </w:p>
        </w:tc>
        <w:tc>
          <w:tcPr>
            <w:tcW w:w="388" w:type="pct"/>
            <w:tcBorders>
              <w:left w:val="single" w:color="auto" w:sz="4" w:space="0"/>
              <w:right w:val="single" w:color="auto" w:sz="4" w:space="0"/>
            </w:tcBorders>
            <w:noWrap w:val="0"/>
            <w:vAlign w:val="center"/>
          </w:tcPr>
          <w:p w14:paraId="5995B9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028D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339B00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4070D0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54D056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0C6892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第九条 严格落实国家及我市大气污染防控相关要求，对大气环境质量未达标地区</w:t>
            </w:r>
            <w:r>
              <w:rPr>
                <w:rFonts w:hint="default" w:ascii="Times New Roman" w:hAnsi="Times New Roman" w:eastAsia="宋体" w:cs="Times New Roman"/>
                <w:color w:val="auto"/>
                <w:sz w:val="21"/>
                <w:szCs w:val="21"/>
                <w:highlight w:val="none"/>
                <w:shd w:val="clear" w:fill="FFFFFF"/>
                <w:lang w:eastAsia="zh-CN"/>
              </w:rPr>
              <w:t>，</w:t>
            </w:r>
            <w:r>
              <w:rPr>
                <w:rFonts w:hint="default" w:ascii="Times New Roman" w:hAnsi="Times New Roman" w:eastAsia="宋体" w:cs="Times New Roman"/>
                <w:color w:val="auto"/>
                <w:sz w:val="21"/>
                <w:szCs w:val="21"/>
                <w:highlight w:val="none"/>
                <w:lang w:eastAsia="zh-CN"/>
              </w:rPr>
              <w:t>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985" w:type="pct"/>
            <w:noWrap w:val="0"/>
            <w:vAlign w:val="center"/>
          </w:tcPr>
          <w:p w14:paraId="74B16D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天然气管道改建项目，202</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年</w:t>
            </w:r>
            <w:r>
              <w:rPr>
                <w:rFonts w:hint="default" w:ascii="Times New Roman" w:hAnsi="Times New Roman" w:eastAsia="宋体" w:cs="Times New Roman"/>
                <w:color w:val="auto"/>
                <w:sz w:val="21"/>
                <w:szCs w:val="21"/>
                <w:highlight w:val="none"/>
                <w:lang w:val="en-US" w:eastAsia="zh-CN"/>
              </w:rPr>
              <w:t>綦江</w:t>
            </w:r>
            <w:r>
              <w:rPr>
                <w:rFonts w:hint="default" w:ascii="Times New Roman" w:hAnsi="Times New Roman" w:eastAsia="宋体" w:cs="Times New Roman"/>
                <w:color w:val="auto"/>
                <w:sz w:val="21"/>
                <w:szCs w:val="21"/>
                <w:highlight w:val="none"/>
                <w:lang w:eastAsia="zh-CN"/>
              </w:rPr>
              <w:t>区PM</w:t>
            </w:r>
            <w:r>
              <w:rPr>
                <w:rFonts w:hint="default" w:ascii="Times New Roman" w:hAnsi="Times New Roman" w:eastAsia="宋体" w:cs="Times New Roman"/>
                <w:color w:val="auto"/>
                <w:sz w:val="21"/>
                <w:szCs w:val="21"/>
                <w:highlight w:val="none"/>
                <w:vertAlign w:val="subscript"/>
                <w:lang w:eastAsia="zh-CN"/>
              </w:rPr>
              <w:t>2.5</w:t>
            </w:r>
            <w:r>
              <w:rPr>
                <w:rFonts w:hint="default" w:ascii="Times New Roman" w:hAnsi="Times New Roman" w:eastAsia="宋体" w:cs="Times New Roman"/>
                <w:color w:val="auto"/>
                <w:sz w:val="21"/>
                <w:szCs w:val="21"/>
                <w:highlight w:val="none"/>
                <w:lang w:eastAsia="zh-CN"/>
              </w:rPr>
              <w:t>不达标，</w:t>
            </w:r>
            <w:r>
              <w:rPr>
                <w:rFonts w:hint="default" w:ascii="Times New Roman" w:hAnsi="Times New Roman" w:eastAsia="宋体" w:cs="Times New Roman"/>
                <w:color w:val="auto"/>
                <w:sz w:val="21"/>
                <w:szCs w:val="21"/>
                <w:highlight w:val="none"/>
                <w:lang w:val="en-US" w:eastAsia="zh-CN"/>
              </w:rPr>
              <w:t>綦江</w:t>
            </w:r>
            <w:r>
              <w:rPr>
                <w:rFonts w:hint="default" w:ascii="Times New Roman" w:hAnsi="Times New Roman" w:eastAsia="宋体" w:cs="Times New Roman"/>
                <w:color w:val="auto"/>
                <w:sz w:val="21"/>
                <w:szCs w:val="21"/>
                <w:highlight w:val="none"/>
                <w:lang w:eastAsia="zh-CN"/>
              </w:rPr>
              <w:t>区按市级相关要求落实相关措施后区域环境空气质量可改善。本项目</w:t>
            </w:r>
            <w:r>
              <w:rPr>
                <w:rFonts w:hint="default" w:ascii="Times New Roman" w:hAnsi="Times New Roman" w:eastAsia="宋体" w:cs="Times New Roman"/>
                <w:color w:val="auto"/>
                <w:sz w:val="21"/>
                <w:szCs w:val="21"/>
                <w:highlight w:val="none"/>
                <w:lang w:val="en-US" w:eastAsia="zh-CN"/>
              </w:rPr>
              <w:t>施工期仅有施工废气，运营期</w:t>
            </w:r>
            <w:r>
              <w:rPr>
                <w:rFonts w:hint="default" w:ascii="Times New Roman" w:hAnsi="Times New Roman" w:eastAsia="宋体" w:cs="Times New Roman"/>
                <w:color w:val="auto"/>
                <w:sz w:val="21"/>
                <w:szCs w:val="21"/>
                <w:highlight w:val="none"/>
                <w:lang w:eastAsia="zh-CN"/>
              </w:rPr>
              <w:t>排放</w:t>
            </w:r>
            <w:r>
              <w:rPr>
                <w:rFonts w:hint="default" w:ascii="Times New Roman" w:hAnsi="Times New Roman" w:eastAsia="宋体" w:cs="Times New Roman"/>
                <w:color w:val="auto"/>
                <w:sz w:val="21"/>
                <w:szCs w:val="21"/>
                <w:highlight w:val="none"/>
                <w:lang w:val="en-US" w:eastAsia="zh-CN"/>
              </w:rPr>
              <w:t>的放空废气</w:t>
            </w:r>
            <w:r>
              <w:rPr>
                <w:rFonts w:hint="default" w:ascii="Times New Roman" w:hAnsi="Times New Roman" w:eastAsia="宋体" w:cs="Times New Roman"/>
                <w:color w:val="auto"/>
                <w:sz w:val="21"/>
                <w:szCs w:val="21"/>
                <w:highlight w:val="none"/>
                <w:lang w:eastAsia="zh-CN"/>
              </w:rPr>
              <w:t>产生量极少，不会对区域大气环境质量造成恶化。</w:t>
            </w:r>
          </w:p>
        </w:tc>
        <w:tc>
          <w:tcPr>
            <w:tcW w:w="388" w:type="pct"/>
            <w:tcBorders>
              <w:left w:val="single" w:color="auto" w:sz="4" w:space="0"/>
              <w:right w:val="single" w:color="auto" w:sz="4" w:space="0"/>
            </w:tcBorders>
            <w:noWrap w:val="0"/>
            <w:vAlign w:val="center"/>
          </w:tcPr>
          <w:p w14:paraId="7F91E5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5A0C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77FD1D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3C81B3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73E4C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609C88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985" w:type="pct"/>
            <w:noWrap w:val="0"/>
            <w:vAlign w:val="center"/>
          </w:tcPr>
          <w:p w14:paraId="20B39F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天然气管道改建项目，正常工况不涉及挥发性有机物排</w:t>
            </w:r>
            <w:r>
              <w:rPr>
                <w:rFonts w:hint="default" w:ascii="Times New Roman" w:hAnsi="Times New Roman" w:eastAsia="宋体" w:cs="Times New Roman"/>
                <w:color w:val="auto"/>
                <w:sz w:val="21"/>
                <w:szCs w:val="21"/>
                <w:highlight w:val="none"/>
                <w:lang w:val="en-US" w:eastAsia="zh-CN"/>
              </w:rPr>
              <w:t>放</w:t>
            </w:r>
          </w:p>
        </w:tc>
        <w:tc>
          <w:tcPr>
            <w:tcW w:w="388" w:type="pct"/>
            <w:tcBorders>
              <w:left w:val="single" w:color="auto" w:sz="4" w:space="0"/>
              <w:right w:val="single" w:color="auto" w:sz="4" w:space="0"/>
            </w:tcBorders>
            <w:noWrap w:val="0"/>
            <w:vAlign w:val="center"/>
          </w:tcPr>
          <w:p w14:paraId="65FECD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3504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4D61C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2DF1C5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2895D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44D32A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985" w:type="pct"/>
            <w:noWrap w:val="0"/>
            <w:vAlign w:val="center"/>
          </w:tcPr>
          <w:p w14:paraId="7B85A9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天然气管道改建项目，不涉及</w:t>
            </w:r>
            <w:r>
              <w:rPr>
                <w:rFonts w:hint="default" w:ascii="Times New Roman" w:hAnsi="Times New Roman" w:eastAsia="宋体" w:cs="Times New Roman"/>
                <w:color w:val="auto"/>
                <w:sz w:val="21"/>
                <w:szCs w:val="21"/>
                <w:highlight w:val="none"/>
                <w:lang w:val="en-US" w:eastAsia="zh-CN"/>
              </w:rPr>
              <w:t>工业废水排放</w:t>
            </w:r>
          </w:p>
        </w:tc>
        <w:tc>
          <w:tcPr>
            <w:tcW w:w="388" w:type="pct"/>
            <w:tcBorders>
              <w:left w:val="single" w:color="auto" w:sz="4" w:space="0"/>
              <w:right w:val="single" w:color="auto" w:sz="4" w:space="0"/>
            </w:tcBorders>
            <w:noWrap w:val="0"/>
            <w:vAlign w:val="center"/>
          </w:tcPr>
          <w:p w14:paraId="1F8EA0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7376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51199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27AD62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0F41C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0F22C6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w:t>
            </w:r>
            <w:r>
              <w:rPr>
                <w:rFonts w:hint="default" w:ascii="Times New Roman" w:hAnsi="Times New Roman" w:eastAsia="宋体" w:cs="Times New Roman"/>
                <w:color w:val="auto"/>
                <w:sz w:val="21"/>
                <w:szCs w:val="21"/>
                <w:highlight w:val="none"/>
                <w:shd w:val="clear" w:fill="FFFFFF"/>
                <w:lang w:eastAsia="zh-CN"/>
              </w:rPr>
              <w:t>针对</w:t>
            </w:r>
            <w:r>
              <w:rPr>
                <w:rFonts w:hint="default" w:ascii="Times New Roman" w:hAnsi="Times New Roman" w:eastAsia="宋体" w:cs="Times New Roman"/>
                <w:color w:val="auto"/>
                <w:sz w:val="21"/>
                <w:szCs w:val="21"/>
                <w:highlight w:val="none"/>
                <w:lang w:eastAsia="zh-CN"/>
              </w:rPr>
              <w:t>无法彻底雨污分流的老城区，尊重现实合理保留截留制区域，合理提高截留倍数；对新建的排水管网，全部按照雨污分流模式实施建设。</w:t>
            </w:r>
          </w:p>
        </w:tc>
        <w:tc>
          <w:tcPr>
            <w:tcW w:w="985" w:type="pct"/>
            <w:noWrap w:val="0"/>
            <w:vAlign w:val="center"/>
          </w:tcPr>
          <w:p w14:paraId="693581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天然气管道改建项目，不涉及</w:t>
            </w:r>
            <w:r>
              <w:rPr>
                <w:rFonts w:hint="default" w:ascii="Times New Roman" w:hAnsi="Times New Roman" w:eastAsia="宋体" w:cs="Times New Roman"/>
                <w:color w:val="auto"/>
                <w:sz w:val="21"/>
                <w:szCs w:val="21"/>
                <w:highlight w:val="none"/>
                <w:lang w:val="en-US" w:eastAsia="zh-CN"/>
              </w:rPr>
              <w:t>污水处理设施建设</w:t>
            </w:r>
          </w:p>
        </w:tc>
        <w:tc>
          <w:tcPr>
            <w:tcW w:w="388" w:type="pct"/>
            <w:tcBorders>
              <w:left w:val="single" w:color="auto" w:sz="4" w:space="0"/>
              <w:right w:val="single" w:color="auto" w:sz="4" w:space="0"/>
            </w:tcBorders>
            <w:noWrap w:val="0"/>
            <w:vAlign w:val="center"/>
          </w:tcPr>
          <w:p w14:paraId="55BD22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350B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02D4C5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112A9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42B62E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45F48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985" w:type="pct"/>
            <w:noWrap w:val="0"/>
            <w:vAlign w:val="center"/>
          </w:tcPr>
          <w:p w14:paraId="53E573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天然气管道改建项目，不涉及</w:t>
            </w:r>
            <w:r>
              <w:rPr>
                <w:rFonts w:hint="default" w:ascii="Times New Roman" w:hAnsi="Times New Roman" w:eastAsia="宋体" w:cs="Times New Roman"/>
                <w:color w:val="auto"/>
                <w:sz w:val="21"/>
                <w:szCs w:val="21"/>
                <w:highlight w:val="none"/>
                <w:lang w:val="en-US" w:eastAsia="zh-CN"/>
              </w:rPr>
              <w:t>重点行业重金属污染物排放</w:t>
            </w:r>
          </w:p>
        </w:tc>
        <w:tc>
          <w:tcPr>
            <w:tcW w:w="388" w:type="pct"/>
            <w:tcBorders>
              <w:left w:val="single" w:color="auto" w:sz="4" w:space="0"/>
              <w:right w:val="single" w:color="auto" w:sz="4" w:space="0"/>
            </w:tcBorders>
            <w:noWrap w:val="0"/>
            <w:vAlign w:val="center"/>
          </w:tcPr>
          <w:p w14:paraId="3A60FF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7C0B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016AA1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51A7D8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600BFC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2BC46A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985" w:type="pct"/>
            <w:noWrap w:val="0"/>
            <w:vAlign w:val="center"/>
          </w:tcPr>
          <w:p w14:paraId="52AC58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天然气管道改建项目，项目</w:t>
            </w:r>
            <w:r>
              <w:rPr>
                <w:rFonts w:hint="default" w:ascii="Times New Roman" w:hAnsi="Times New Roman" w:eastAsia="宋体" w:cs="Times New Roman"/>
                <w:color w:val="auto"/>
                <w:sz w:val="21"/>
                <w:szCs w:val="21"/>
                <w:highlight w:val="none"/>
                <w:lang w:val="en-US" w:eastAsia="zh-CN"/>
              </w:rPr>
              <w:t>施工期</w:t>
            </w:r>
            <w:r>
              <w:rPr>
                <w:rFonts w:hint="default" w:ascii="Times New Roman" w:hAnsi="Times New Roman" w:eastAsia="宋体" w:cs="Times New Roman"/>
                <w:color w:val="auto"/>
                <w:sz w:val="21"/>
                <w:szCs w:val="21"/>
                <w:highlight w:val="none"/>
                <w:lang w:eastAsia="zh-CN"/>
              </w:rPr>
              <w:t>固体废物产生少，</w:t>
            </w:r>
            <w:r>
              <w:rPr>
                <w:rFonts w:hint="default" w:ascii="Times New Roman" w:hAnsi="Times New Roman" w:eastAsia="宋体" w:cs="Times New Roman"/>
                <w:color w:val="auto"/>
                <w:sz w:val="21"/>
                <w:szCs w:val="21"/>
                <w:highlight w:val="none"/>
                <w:lang w:val="en-US" w:eastAsia="zh-CN"/>
              </w:rPr>
              <w:t>依托当地现有设施收集后交环卫部门处理。运营期清管废渣等</w:t>
            </w:r>
            <w:r>
              <w:rPr>
                <w:rFonts w:hint="default" w:ascii="Times New Roman" w:hAnsi="Times New Roman" w:eastAsia="宋体" w:cs="Times New Roman"/>
                <w:color w:val="auto"/>
                <w:sz w:val="22"/>
                <w:szCs w:val="22"/>
                <w:lang w:val="en-US" w:eastAsia="zh-CN"/>
              </w:rPr>
              <w:t>依托新盛站收球筒装置收集后交当地市政环卫部门处置</w:t>
            </w:r>
          </w:p>
        </w:tc>
        <w:tc>
          <w:tcPr>
            <w:tcW w:w="388" w:type="pct"/>
            <w:tcBorders>
              <w:left w:val="single" w:color="auto" w:sz="4" w:space="0"/>
              <w:right w:val="single" w:color="auto" w:sz="4" w:space="0"/>
            </w:tcBorders>
            <w:noWrap w:val="0"/>
            <w:vAlign w:val="center"/>
          </w:tcPr>
          <w:p w14:paraId="6184D8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22EF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07AF03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49A6BD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continue"/>
            <w:tcBorders>
              <w:left w:val="single" w:color="auto" w:sz="4" w:space="0"/>
              <w:right w:val="single" w:color="auto" w:sz="4" w:space="0"/>
            </w:tcBorders>
            <w:noWrap w:val="0"/>
            <w:vAlign w:val="center"/>
          </w:tcPr>
          <w:p w14:paraId="355861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noWrap w:val="0"/>
            <w:vAlign w:val="center"/>
          </w:tcPr>
          <w:p w14:paraId="46C560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985" w:type="pct"/>
            <w:noWrap w:val="0"/>
            <w:vAlign w:val="center"/>
          </w:tcPr>
          <w:p w14:paraId="258339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本项目施工期产生少量施工人员生活垃圾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依托当地现有设施收集后交环卫部门处理。</w:t>
            </w:r>
          </w:p>
        </w:tc>
        <w:tc>
          <w:tcPr>
            <w:tcW w:w="388" w:type="pct"/>
            <w:tcBorders>
              <w:left w:val="single" w:color="auto" w:sz="4" w:space="0"/>
              <w:right w:val="single" w:color="auto" w:sz="4" w:space="0"/>
            </w:tcBorders>
            <w:noWrap w:val="0"/>
            <w:vAlign w:val="center"/>
          </w:tcPr>
          <w:p w14:paraId="511027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543B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7D210F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68D49C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64" w:type="pct"/>
            <w:vMerge w:val="restart"/>
            <w:tcBorders>
              <w:left w:val="single" w:color="auto" w:sz="4" w:space="0"/>
              <w:right w:val="single" w:color="auto" w:sz="4" w:space="0"/>
            </w:tcBorders>
            <w:noWrap w:val="0"/>
            <w:vAlign w:val="center"/>
          </w:tcPr>
          <w:p w14:paraId="44A7DE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资源利用效率</w:t>
            </w:r>
          </w:p>
        </w:tc>
        <w:tc>
          <w:tcPr>
            <w:tcW w:w="2722" w:type="pct"/>
            <w:gridSpan w:val="2"/>
            <w:noWrap w:val="0"/>
            <w:vAlign w:val="top"/>
          </w:tcPr>
          <w:p w14:paraId="085450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第十六条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985" w:type="pct"/>
            <w:noWrap w:val="0"/>
            <w:vAlign w:val="center"/>
          </w:tcPr>
          <w:p w14:paraId="1A08BB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本项目已纳入区域风险评估及应急预案管理范围内，管理单位定期更新风评及应急预案</w:t>
            </w:r>
          </w:p>
        </w:tc>
        <w:tc>
          <w:tcPr>
            <w:tcW w:w="388" w:type="pct"/>
            <w:tcBorders>
              <w:left w:val="single" w:color="auto" w:sz="4" w:space="0"/>
              <w:right w:val="single" w:color="auto" w:sz="4" w:space="0"/>
            </w:tcBorders>
            <w:noWrap w:val="0"/>
            <w:vAlign w:val="center"/>
          </w:tcPr>
          <w:p w14:paraId="27D335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35E7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14526A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609D1F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eastAsia="zh-CN" w:bidi="en-US"/>
              </w:rPr>
            </w:pPr>
          </w:p>
        </w:tc>
        <w:tc>
          <w:tcPr>
            <w:tcW w:w="264" w:type="pct"/>
            <w:vMerge w:val="continue"/>
            <w:tcBorders>
              <w:left w:val="single" w:color="auto" w:sz="4" w:space="0"/>
              <w:right w:val="single" w:color="auto" w:sz="4" w:space="0"/>
            </w:tcBorders>
            <w:noWrap w:val="0"/>
            <w:vAlign w:val="center"/>
          </w:tcPr>
          <w:p w14:paraId="2C6708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bidi="en-US"/>
              </w:rPr>
            </w:pPr>
          </w:p>
        </w:tc>
        <w:tc>
          <w:tcPr>
            <w:tcW w:w="2722" w:type="pct"/>
            <w:gridSpan w:val="2"/>
            <w:noWrap w:val="0"/>
            <w:vAlign w:val="top"/>
          </w:tcPr>
          <w:p w14:paraId="23BED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第十七条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强化化工园区涉水突发环境事件四级环境风险防范体系建设。持续推进重点化工园区（化工集中区）建设有毒有害气体监测预警体系和水质生物毒性预警体系。</w:t>
            </w:r>
          </w:p>
        </w:tc>
        <w:tc>
          <w:tcPr>
            <w:tcW w:w="985" w:type="pct"/>
            <w:noWrap w:val="0"/>
            <w:vAlign w:val="center"/>
          </w:tcPr>
          <w:p w14:paraId="75F990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本项目不属于化工行业，不在工业园区内</w:t>
            </w:r>
          </w:p>
        </w:tc>
        <w:tc>
          <w:tcPr>
            <w:tcW w:w="388" w:type="pct"/>
            <w:tcBorders>
              <w:left w:val="single" w:color="auto" w:sz="4" w:space="0"/>
              <w:right w:val="single" w:color="auto" w:sz="4" w:space="0"/>
            </w:tcBorders>
            <w:noWrap w:val="0"/>
            <w:vAlign w:val="center"/>
          </w:tcPr>
          <w:p w14:paraId="165B20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1E7A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24F0BA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223608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eastAsia="zh-CN" w:bidi="en-US"/>
              </w:rPr>
            </w:pPr>
          </w:p>
        </w:tc>
        <w:tc>
          <w:tcPr>
            <w:tcW w:w="264" w:type="pct"/>
            <w:vMerge w:val="continue"/>
            <w:tcBorders>
              <w:left w:val="single" w:color="auto" w:sz="4" w:space="0"/>
              <w:right w:val="single" w:color="auto" w:sz="4" w:space="0"/>
            </w:tcBorders>
            <w:noWrap w:val="0"/>
            <w:vAlign w:val="center"/>
          </w:tcPr>
          <w:p w14:paraId="4BD856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bidi="en-US"/>
              </w:rPr>
            </w:pPr>
          </w:p>
        </w:tc>
        <w:tc>
          <w:tcPr>
            <w:tcW w:w="2722" w:type="pct"/>
            <w:gridSpan w:val="2"/>
            <w:noWrap w:val="0"/>
            <w:vAlign w:val="top"/>
          </w:tcPr>
          <w:p w14:paraId="0A0443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第十八条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985" w:type="pct"/>
            <w:noWrap w:val="0"/>
            <w:vAlign w:val="center"/>
          </w:tcPr>
          <w:p w14:paraId="4C9056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lang w:val="en-US" w:eastAsia="zh-CN"/>
              </w:rPr>
              <w:t>项目正常工况下不涉及碳排放</w:t>
            </w:r>
          </w:p>
        </w:tc>
        <w:tc>
          <w:tcPr>
            <w:tcW w:w="388" w:type="pct"/>
            <w:tcBorders>
              <w:left w:val="single" w:color="auto" w:sz="4" w:space="0"/>
              <w:right w:val="single" w:color="auto" w:sz="4" w:space="0"/>
            </w:tcBorders>
            <w:noWrap w:val="0"/>
            <w:vAlign w:val="center"/>
          </w:tcPr>
          <w:p w14:paraId="58ACC0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446F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530CF2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5BEAE8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eastAsia="zh-CN" w:bidi="en-US"/>
              </w:rPr>
            </w:pPr>
          </w:p>
        </w:tc>
        <w:tc>
          <w:tcPr>
            <w:tcW w:w="264" w:type="pct"/>
            <w:vMerge w:val="continue"/>
            <w:tcBorders>
              <w:left w:val="single" w:color="auto" w:sz="4" w:space="0"/>
              <w:right w:val="single" w:color="auto" w:sz="4" w:space="0"/>
            </w:tcBorders>
            <w:noWrap w:val="0"/>
            <w:vAlign w:val="center"/>
          </w:tcPr>
          <w:p w14:paraId="060636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bidi="en-US"/>
              </w:rPr>
            </w:pPr>
          </w:p>
        </w:tc>
        <w:tc>
          <w:tcPr>
            <w:tcW w:w="2722" w:type="pct"/>
            <w:gridSpan w:val="2"/>
            <w:noWrap w:val="0"/>
            <w:vAlign w:val="top"/>
          </w:tcPr>
          <w:p w14:paraId="489630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第十九条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985" w:type="pct"/>
            <w:noWrap w:val="0"/>
            <w:vAlign w:val="center"/>
          </w:tcPr>
          <w:p w14:paraId="10CD52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天然气管道改建项目，不涉及</w:t>
            </w:r>
            <w:r>
              <w:rPr>
                <w:rFonts w:hint="default" w:ascii="Times New Roman" w:hAnsi="Times New Roman" w:eastAsia="宋体" w:cs="Times New Roman"/>
                <w:color w:val="auto"/>
                <w:sz w:val="21"/>
                <w:szCs w:val="21"/>
                <w:highlight w:val="none"/>
                <w:shd w:val="clear" w:fill="FFFFFF"/>
                <w:lang w:val="en-US" w:eastAsia="zh-CN"/>
              </w:rPr>
              <w:t>左</w:t>
            </w:r>
            <w:r>
              <w:rPr>
                <w:rFonts w:hint="default" w:ascii="Times New Roman" w:hAnsi="Times New Roman" w:eastAsia="宋体" w:cs="Times New Roman"/>
                <w:color w:val="auto"/>
                <w:sz w:val="21"/>
                <w:szCs w:val="21"/>
                <w:highlight w:val="none"/>
                <w:lang w:val="en-US" w:eastAsia="zh-CN"/>
              </w:rPr>
              <w:t>列</w:t>
            </w:r>
            <w:r>
              <w:rPr>
                <w:rFonts w:hint="default" w:ascii="Times New Roman" w:hAnsi="Times New Roman" w:eastAsia="宋体" w:cs="Times New Roman"/>
                <w:color w:val="auto"/>
                <w:sz w:val="21"/>
                <w:szCs w:val="21"/>
                <w:highlight w:val="none"/>
                <w:lang w:eastAsia="zh-CN"/>
              </w:rPr>
              <w:t>重点用能设备</w:t>
            </w:r>
          </w:p>
        </w:tc>
        <w:tc>
          <w:tcPr>
            <w:tcW w:w="388" w:type="pct"/>
            <w:tcBorders>
              <w:left w:val="single" w:color="auto" w:sz="4" w:space="0"/>
              <w:right w:val="single" w:color="auto" w:sz="4" w:space="0"/>
            </w:tcBorders>
            <w:noWrap w:val="0"/>
            <w:vAlign w:val="center"/>
          </w:tcPr>
          <w:p w14:paraId="435D08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2176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54C220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52664F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eastAsia="zh-CN" w:bidi="en-US"/>
              </w:rPr>
            </w:pPr>
          </w:p>
        </w:tc>
        <w:tc>
          <w:tcPr>
            <w:tcW w:w="264" w:type="pct"/>
            <w:vMerge w:val="continue"/>
            <w:tcBorders>
              <w:left w:val="single" w:color="auto" w:sz="4" w:space="0"/>
              <w:right w:val="single" w:color="auto" w:sz="4" w:space="0"/>
            </w:tcBorders>
            <w:noWrap w:val="0"/>
            <w:vAlign w:val="center"/>
          </w:tcPr>
          <w:p w14:paraId="63B7D3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bidi="en-US"/>
              </w:rPr>
            </w:pPr>
          </w:p>
        </w:tc>
        <w:tc>
          <w:tcPr>
            <w:tcW w:w="2722" w:type="pct"/>
            <w:gridSpan w:val="2"/>
            <w:noWrap w:val="0"/>
            <w:vAlign w:val="top"/>
          </w:tcPr>
          <w:p w14:paraId="01D95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第二十条 新建、扩建“两高”项目应采用先进适用的工艺技术和装备，单位产品物耗、能耗、水耗等达到清洁生产先进水平。</w:t>
            </w:r>
          </w:p>
        </w:tc>
        <w:tc>
          <w:tcPr>
            <w:tcW w:w="985" w:type="pct"/>
            <w:noWrap w:val="0"/>
            <w:vAlign w:val="center"/>
          </w:tcPr>
          <w:p w14:paraId="44F07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lang w:eastAsia="zh-CN"/>
              </w:rPr>
              <w:t>“两高”项目</w:t>
            </w:r>
          </w:p>
        </w:tc>
        <w:tc>
          <w:tcPr>
            <w:tcW w:w="388" w:type="pct"/>
            <w:tcBorders>
              <w:left w:val="single" w:color="auto" w:sz="4" w:space="0"/>
              <w:right w:val="single" w:color="auto" w:sz="4" w:space="0"/>
            </w:tcBorders>
            <w:noWrap w:val="0"/>
            <w:vAlign w:val="center"/>
          </w:tcPr>
          <w:p w14:paraId="7ABD5B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168A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44E919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1C479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eastAsia="zh-CN" w:bidi="en-US"/>
              </w:rPr>
            </w:pPr>
          </w:p>
        </w:tc>
        <w:tc>
          <w:tcPr>
            <w:tcW w:w="264" w:type="pct"/>
            <w:vMerge w:val="continue"/>
            <w:tcBorders>
              <w:left w:val="single" w:color="auto" w:sz="4" w:space="0"/>
              <w:right w:val="single" w:color="auto" w:sz="4" w:space="0"/>
            </w:tcBorders>
            <w:noWrap w:val="0"/>
            <w:vAlign w:val="center"/>
          </w:tcPr>
          <w:p w14:paraId="4B8713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bidi="en-US"/>
              </w:rPr>
            </w:pPr>
          </w:p>
        </w:tc>
        <w:tc>
          <w:tcPr>
            <w:tcW w:w="2722" w:type="pct"/>
            <w:gridSpan w:val="2"/>
            <w:noWrap w:val="0"/>
            <w:vAlign w:val="top"/>
          </w:tcPr>
          <w:p w14:paraId="5B3B8B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第二十一条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985" w:type="pct"/>
            <w:noWrap w:val="0"/>
            <w:vAlign w:val="center"/>
          </w:tcPr>
          <w:p w14:paraId="787A37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天然气管道改建项目，不涉及</w:t>
            </w:r>
            <w:r>
              <w:rPr>
                <w:rFonts w:hint="default" w:ascii="Times New Roman" w:hAnsi="Times New Roman" w:eastAsia="宋体" w:cs="Times New Roman"/>
                <w:color w:val="auto"/>
                <w:sz w:val="21"/>
                <w:szCs w:val="21"/>
                <w:highlight w:val="none"/>
                <w:lang w:val="en-US" w:eastAsia="zh-CN"/>
              </w:rPr>
              <w:t>废水排放</w:t>
            </w:r>
          </w:p>
        </w:tc>
        <w:tc>
          <w:tcPr>
            <w:tcW w:w="388" w:type="pct"/>
            <w:tcBorders>
              <w:left w:val="single" w:color="auto" w:sz="4" w:space="0"/>
              <w:right w:val="single" w:color="auto" w:sz="4" w:space="0"/>
            </w:tcBorders>
            <w:noWrap w:val="0"/>
            <w:vAlign w:val="center"/>
          </w:tcPr>
          <w:p w14:paraId="45C7F5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符合</w:t>
            </w:r>
          </w:p>
        </w:tc>
      </w:tr>
      <w:tr w14:paraId="29BE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328B84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6A7D6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bidi="en-US"/>
              </w:rPr>
            </w:pPr>
          </w:p>
        </w:tc>
        <w:tc>
          <w:tcPr>
            <w:tcW w:w="264" w:type="pct"/>
            <w:vMerge w:val="continue"/>
            <w:tcBorders>
              <w:left w:val="single" w:color="auto" w:sz="4" w:space="0"/>
              <w:right w:val="single" w:color="auto" w:sz="4" w:space="0"/>
            </w:tcBorders>
            <w:noWrap w:val="0"/>
            <w:vAlign w:val="center"/>
          </w:tcPr>
          <w:p w14:paraId="672E62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bidi="en-US"/>
              </w:rPr>
            </w:pPr>
          </w:p>
        </w:tc>
        <w:tc>
          <w:tcPr>
            <w:tcW w:w="2722" w:type="pct"/>
            <w:gridSpan w:val="2"/>
            <w:noWrap w:val="0"/>
            <w:vAlign w:val="top"/>
          </w:tcPr>
          <w:p w14:paraId="62824F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第二十二条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eastAsia="zh-CN"/>
              </w:rPr>
              <w:t>加快推进节水配套设施建设，加强再生水、雨水等非常规水多元、梯级和安全利用，逐年提高非常规水利用比例。结合现有污水处理设施提标升级扩能改造，系统规划城镇污水再生利用设施。</w:t>
            </w:r>
          </w:p>
        </w:tc>
        <w:tc>
          <w:tcPr>
            <w:tcW w:w="985" w:type="pct"/>
            <w:noWrap w:val="0"/>
            <w:vAlign w:val="center"/>
          </w:tcPr>
          <w:p w14:paraId="5AF75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lang w:val="en-US" w:eastAsia="zh-CN"/>
              </w:rPr>
              <w:t>不涉及左列要求</w:t>
            </w:r>
          </w:p>
        </w:tc>
        <w:tc>
          <w:tcPr>
            <w:tcW w:w="388" w:type="pct"/>
            <w:tcBorders>
              <w:left w:val="single" w:color="auto" w:sz="4" w:space="0"/>
              <w:right w:val="single" w:color="auto" w:sz="4" w:space="0"/>
            </w:tcBorders>
            <w:noWrap w:val="0"/>
            <w:vAlign w:val="center"/>
          </w:tcPr>
          <w:p w14:paraId="43009F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47BE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restart"/>
            <w:tcBorders>
              <w:left w:val="single" w:color="auto" w:sz="4" w:space="0"/>
              <w:right w:val="single" w:color="auto" w:sz="4" w:space="0"/>
            </w:tcBorders>
            <w:noWrap w:val="0"/>
            <w:vAlign w:val="center"/>
          </w:tcPr>
          <w:p w14:paraId="4FC388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綦江</w:t>
            </w:r>
            <w:r>
              <w:rPr>
                <w:rFonts w:hint="default" w:ascii="Times New Roman" w:hAnsi="Times New Roman" w:eastAsia="宋体" w:cs="Times New Roman"/>
                <w:color w:val="auto"/>
                <w:sz w:val="21"/>
                <w:szCs w:val="21"/>
                <w:highlight w:val="none"/>
                <w:lang w:eastAsia="zh-CN"/>
              </w:rPr>
              <w:t>区</w:t>
            </w:r>
            <w:r>
              <w:rPr>
                <w:rFonts w:hint="default" w:ascii="Times New Roman" w:hAnsi="Times New Roman" w:eastAsia="宋体" w:cs="Times New Roman"/>
                <w:color w:val="auto"/>
                <w:sz w:val="21"/>
                <w:szCs w:val="21"/>
                <w:highlight w:val="none"/>
              </w:rPr>
              <w:t>总体管控要求</w:t>
            </w:r>
          </w:p>
        </w:tc>
        <w:tc>
          <w:tcPr>
            <w:tcW w:w="596" w:type="pct"/>
            <w:gridSpan w:val="2"/>
            <w:vMerge w:val="restart"/>
            <w:tcBorders>
              <w:left w:val="single" w:color="auto" w:sz="4" w:space="0"/>
              <w:right w:val="single" w:color="auto" w:sz="4" w:space="0"/>
            </w:tcBorders>
            <w:noWrap w:val="0"/>
            <w:vAlign w:val="center"/>
          </w:tcPr>
          <w:p w14:paraId="13CDB3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空间布局约束</w:t>
            </w: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3C2432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执行重点管控单元市级总体要求第一条、第二条、第五条、第六条、第七条。</w:t>
            </w:r>
          </w:p>
        </w:tc>
        <w:tc>
          <w:tcPr>
            <w:tcW w:w="985" w:type="pct"/>
            <w:tcBorders>
              <w:left w:val="single" w:color="auto" w:sz="4" w:space="0"/>
              <w:right w:val="single" w:color="auto" w:sz="4" w:space="0"/>
            </w:tcBorders>
            <w:noWrap w:val="0"/>
            <w:vAlign w:val="center"/>
          </w:tcPr>
          <w:p w14:paraId="63B6C0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本项目满足市级重点管控总体要求</w:t>
            </w:r>
          </w:p>
        </w:tc>
        <w:tc>
          <w:tcPr>
            <w:tcW w:w="388" w:type="pct"/>
            <w:tcBorders>
              <w:left w:val="single" w:color="auto" w:sz="4" w:space="0"/>
              <w:right w:val="single" w:color="auto" w:sz="4" w:space="0"/>
            </w:tcBorders>
            <w:noWrap w:val="0"/>
            <w:vAlign w:val="center"/>
          </w:tcPr>
          <w:p w14:paraId="4CC9E0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15E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3CBE05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96" w:type="pct"/>
            <w:gridSpan w:val="2"/>
            <w:vMerge w:val="continue"/>
            <w:tcBorders>
              <w:left w:val="single" w:color="auto" w:sz="4" w:space="0"/>
              <w:right w:val="single" w:color="auto" w:sz="4" w:space="0"/>
            </w:tcBorders>
            <w:noWrap w:val="0"/>
            <w:vAlign w:val="center"/>
          </w:tcPr>
          <w:p w14:paraId="7B553F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0A8325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禁止在合规园区綦江工业园区各组团外新建、扩建钢铁、石化、化工、焦化、建材、有色、制浆造纸等高污染项目（高污染项目严格按照《环境保护综合名录</w:t>
            </w:r>
            <w:r>
              <w:rPr>
                <w:rFonts w:hint="default" w:ascii="Times New Roman" w:hAnsi="Times New Roman" w:eastAsia="宋体" w:cs="Times New Roman"/>
                <w:color w:val="auto"/>
                <w:sz w:val="21"/>
                <w:szCs w:val="21"/>
                <w:highlight w:val="none"/>
                <w:shd w:val="clear" w:fill="FFFFFF"/>
                <w:lang w:eastAsia="zh-CN"/>
              </w:rPr>
              <w:t>（</w:t>
            </w:r>
            <w:r>
              <w:rPr>
                <w:rFonts w:hint="default" w:ascii="Times New Roman" w:hAnsi="Times New Roman" w:eastAsia="宋体" w:cs="Times New Roman"/>
                <w:color w:val="auto"/>
                <w:sz w:val="21"/>
                <w:szCs w:val="21"/>
                <w:highlight w:val="none"/>
                <w:lang w:eastAsia="zh-CN"/>
              </w:rPr>
              <w:t>2021 年版</w:t>
            </w:r>
            <w:r>
              <w:rPr>
                <w:rFonts w:hint="default" w:ascii="Times New Roman" w:hAnsi="Times New Roman" w:eastAsia="宋体" w:cs="Times New Roman"/>
                <w:color w:val="auto"/>
                <w:sz w:val="21"/>
                <w:szCs w:val="21"/>
                <w:highlight w:val="none"/>
                <w:shd w:val="clear" w:fill="FFFFFF"/>
                <w:lang w:eastAsia="zh-CN"/>
              </w:rPr>
              <w:t>）</w:t>
            </w:r>
            <w:r>
              <w:rPr>
                <w:rFonts w:hint="default" w:ascii="Times New Roman" w:hAnsi="Times New Roman" w:eastAsia="宋体" w:cs="Times New Roman"/>
                <w:color w:val="auto"/>
                <w:sz w:val="21"/>
                <w:szCs w:val="21"/>
                <w:highlight w:val="none"/>
                <w:lang w:eastAsia="zh-CN"/>
              </w:rPr>
              <w:t>》“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985" w:type="pct"/>
            <w:tcBorders>
              <w:left w:val="single" w:color="auto" w:sz="4" w:space="0"/>
              <w:right w:val="single" w:color="auto" w:sz="4" w:space="0"/>
            </w:tcBorders>
            <w:noWrap w:val="0"/>
            <w:vAlign w:val="center"/>
          </w:tcPr>
          <w:p w14:paraId="29D606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本项目不属于工业项目，不属于</w:t>
            </w:r>
            <w:r>
              <w:rPr>
                <w:rFonts w:hint="default" w:ascii="Times New Roman" w:hAnsi="Times New Roman" w:eastAsia="宋体" w:cs="Times New Roman"/>
                <w:color w:val="auto"/>
                <w:sz w:val="21"/>
                <w:szCs w:val="21"/>
                <w:highlight w:val="none"/>
                <w:lang w:eastAsia="zh-CN"/>
              </w:rPr>
              <w:t>钢铁、石化、化工、焦化、建材、有色、制浆造纸等高污染项目</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“两高”项目</w:t>
            </w:r>
          </w:p>
        </w:tc>
        <w:tc>
          <w:tcPr>
            <w:tcW w:w="388" w:type="pct"/>
            <w:tcBorders>
              <w:left w:val="single" w:color="auto" w:sz="4" w:space="0"/>
              <w:right w:val="single" w:color="auto" w:sz="4" w:space="0"/>
            </w:tcBorders>
            <w:noWrap w:val="0"/>
            <w:vAlign w:val="center"/>
          </w:tcPr>
          <w:p w14:paraId="1B03E0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249E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4C2BC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96" w:type="pct"/>
            <w:gridSpan w:val="2"/>
            <w:vMerge w:val="continue"/>
            <w:tcBorders>
              <w:left w:val="single" w:color="auto" w:sz="4" w:space="0"/>
              <w:right w:val="single" w:color="auto" w:sz="4" w:space="0"/>
            </w:tcBorders>
            <w:noWrap w:val="0"/>
            <w:vAlign w:val="center"/>
          </w:tcPr>
          <w:p w14:paraId="529964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24C984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严把项目准入关口，对不符合要求的高耗能、高排放、低水平项目坚决不予准入。加快布局分散的企业向园区集中，鼓励现有 工业项目搬入綦江工业园区和中小企业集聚区、化工项目按要求进入綦江工业园区扶欢组团。除在安全或者产业布局等方面有 特殊要求的项目外，新建有污染物排放的工业项目应当进入工业集聚区，新建化工项目按要求进入綦江工业园区扶欢组团。</w:t>
            </w:r>
          </w:p>
        </w:tc>
        <w:tc>
          <w:tcPr>
            <w:tcW w:w="985" w:type="pct"/>
            <w:tcBorders>
              <w:left w:val="single" w:color="auto" w:sz="4" w:space="0"/>
              <w:right w:val="single" w:color="auto" w:sz="4" w:space="0"/>
            </w:tcBorders>
            <w:noWrap w:val="0"/>
            <w:vAlign w:val="center"/>
          </w:tcPr>
          <w:p w14:paraId="70FD6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rPr>
              <w:t>不</w:t>
            </w:r>
            <w:r>
              <w:rPr>
                <w:rFonts w:hint="default" w:ascii="Times New Roman" w:hAnsi="Times New Roman" w:eastAsia="宋体" w:cs="Times New Roman"/>
                <w:color w:val="auto"/>
                <w:sz w:val="21"/>
                <w:szCs w:val="21"/>
                <w:highlight w:val="none"/>
                <w:lang w:val="en-US" w:eastAsia="zh-CN"/>
              </w:rPr>
              <w:t>属于工业项目，不属于</w:t>
            </w:r>
            <w:r>
              <w:rPr>
                <w:rFonts w:hint="default" w:ascii="Times New Roman" w:hAnsi="Times New Roman" w:eastAsia="宋体" w:cs="Times New Roman"/>
                <w:color w:val="auto"/>
                <w:sz w:val="21"/>
                <w:szCs w:val="21"/>
                <w:highlight w:val="none"/>
                <w:lang w:eastAsia="zh-CN"/>
              </w:rPr>
              <w:t>高耗能、高排放、低水平项目</w:t>
            </w:r>
          </w:p>
        </w:tc>
        <w:tc>
          <w:tcPr>
            <w:tcW w:w="388" w:type="pct"/>
            <w:tcBorders>
              <w:left w:val="single" w:color="auto" w:sz="4" w:space="0"/>
              <w:right w:val="single" w:color="auto" w:sz="4" w:space="0"/>
            </w:tcBorders>
            <w:noWrap w:val="0"/>
            <w:vAlign w:val="center"/>
          </w:tcPr>
          <w:p w14:paraId="2E65EE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1F6F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40A3AF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96" w:type="pct"/>
            <w:gridSpan w:val="2"/>
            <w:vMerge w:val="continue"/>
            <w:tcBorders>
              <w:left w:val="single" w:color="auto" w:sz="4" w:space="0"/>
              <w:right w:val="single" w:color="auto" w:sz="4" w:space="0"/>
            </w:tcBorders>
            <w:noWrap w:val="0"/>
            <w:vAlign w:val="center"/>
          </w:tcPr>
          <w:p w14:paraId="5E82A1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25D977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持续推进历史遗留及关闭矿山生态修复工程，对还未采取生态保护和恢复措施的，严格按照规定和标准开展生态恢复与治理。</w:t>
            </w:r>
          </w:p>
        </w:tc>
        <w:tc>
          <w:tcPr>
            <w:tcW w:w="985" w:type="pct"/>
            <w:tcBorders>
              <w:left w:val="single" w:color="auto" w:sz="4" w:space="0"/>
              <w:right w:val="single" w:color="auto" w:sz="4" w:space="0"/>
            </w:tcBorders>
            <w:noWrap w:val="0"/>
            <w:vAlign w:val="center"/>
          </w:tcPr>
          <w:p w14:paraId="0E7CBB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lang w:val="en-US" w:eastAsia="zh-CN"/>
              </w:rPr>
              <w:t>施工结束后进行生态恢复</w:t>
            </w:r>
          </w:p>
        </w:tc>
        <w:tc>
          <w:tcPr>
            <w:tcW w:w="388" w:type="pct"/>
            <w:tcBorders>
              <w:left w:val="single" w:color="auto" w:sz="4" w:space="0"/>
              <w:right w:val="single" w:color="auto" w:sz="4" w:space="0"/>
            </w:tcBorders>
            <w:noWrap w:val="0"/>
            <w:vAlign w:val="center"/>
          </w:tcPr>
          <w:p w14:paraId="68912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5AF0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772F94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58D39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7EB6B6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以赶水、打通、安稳、石壕四镇为重点区域，加强采煤沉陷区生态环境修复治理，加快接续替代产业培育，开展矿井水治理， 实施煤炭渣场及矸石山治理和生态恢复，严格落实生态恢复要求。</w:t>
            </w:r>
          </w:p>
        </w:tc>
        <w:tc>
          <w:tcPr>
            <w:tcW w:w="985" w:type="pct"/>
            <w:tcBorders>
              <w:left w:val="single" w:color="auto" w:sz="4" w:space="0"/>
              <w:right w:val="single" w:color="auto" w:sz="4" w:space="0"/>
            </w:tcBorders>
            <w:noWrap w:val="0"/>
            <w:vAlign w:val="center"/>
          </w:tcPr>
          <w:p w14:paraId="5FF748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rPr>
              <w:t>不</w:t>
            </w:r>
            <w:r>
              <w:rPr>
                <w:rFonts w:hint="default" w:ascii="Times New Roman" w:hAnsi="Times New Roman" w:eastAsia="宋体" w:cs="Times New Roman"/>
                <w:color w:val="auto"/>
                <w:sz w:val="21"/>
                <w:szCs w:val="21"/>
                <w:highlight w:val="none"/>
                <w:lang w:val="en-US" w:eastAsia="zh-CN"/>
              </w:rPr>
              <w:t>属于采煤项目</w:t>
            </w:r>
          </w:p>
        </w:tc>
        <w:tc>
          <w:tcPr>
            <w:tcW w:w="388" w:type="pct"/>
            <w:tcBorders>
              <w:left w:val="single" w:color="auto" w:sz="4" w:space="0"/>
              <w:right w:val="single" w:color="auto" w:sz="4" w:space="0"/>
            </w:tcBorders>
            <w:noWrap w:val="0"/>
            <w:vAlign w:val="center"/>
          </w:tcPr>
          <w:p w14:paraId="36BB5B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4DA8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3E894B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050F2E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76AF2D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加快大中型和骨干矿山企业的建设和发展，促进小型矿山企业的重组改造。新建矿山按照绿色矿山建设标准进行规划、设计、 建设和运营管理，生产矿山加快升级改造、逐步达标，因地制宜建设“工厂式”矿山、“花园式”矿山，促进矿区矿容矿貌大 改观、大提升。</w:t>
            </w:r>
          </w:p>
        </w:tc>
        <w:tc>
          <w:tcPr>
            <w:tcW w:w="985" w:type="pct"/>
            <w:tcBorders>
              <w:left w:val="single" w:color="auto" w:sz="4" w:space="0"/>
              <w:right w:val="single" w:color="auto" w:sz="4" w:space="0"/>
            </w:tcBorders>
            <w:noWrap w:val="0"/>
            <w:vAlign w:val="center"/>
          </w:tcPr>
          <w:p w14:paraId="015BB0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rPr>
              <w:t>不</w:t>
            </w:r>
            <w:r>
              <w:rPr>
                <w:rFonts w:hint="default" w:ascii="Times New Roman" w:hAnsi="Times New Roman" w:eastAsia="宋体" w:cs="Times New Roman"/>
                <w:color w:val="auto"/>
                <w:sz w:val="21"/>
                <w:szCs w:val="21"/>
                <w:highlight w:val="none"/>
                <w:lang w:val="en-US" w:eastAsia="zh-CN"/>
              </w:rPr>
              <w:t>属于矿山开采项目</w:t>
            </w:r>
          </w:p>
        </w:tc>
        <w:tc>
          <w:tcPr>
            <w:tcW w:w="388" w:type="pct"/>
            <w:tcBorders>
              <w:left w:val="single" w:color="auto" w:sz="4" w:space="0"/>
              <w:right w:val="single" w:color="auto" w:sz="4" w:space="0"/>
            </w:tcBorders>
            <w:noWrap w:val="0"/>
            <w:vAlign w:val="center"/>
          </w:tcPr>
          <w:p w14:paraId="70B9D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4ACA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57D1A5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7C1EFF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6F3065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页岩气开发布井时，应尽量避开地下暗河。</w:t>
            </w:r>
          </w:p>
        </w:tc>
        <w:tc>
          <w:tcPr>
            <w:tcW w:w="985" w:type="pct"/>
            <w:tcBorders>
              <w:left w:val="single" w:color="auto" w:sz="4" w:space="0"/>
              <w:right w:val="single" w:color="auto" w:sz="4" w:space="0"/>
            </w:tcBorders>
            <w:noWrap w:val="0"/>
            <w:vAlign w:val="center"/>
          </w:tcPr>
          <w:p w14:paraId="5EA64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eastAsia="zh-CN"/>
              </w:rPr>
              <w:t>项目属于</w:t>
            </w:r>
            <w:r>
              <w:rPr>
                <w:rFonts w:hint="default" w:ascii="Times New Roman" w:hAnsi="Times New Roman" w:eastAsia="宋体" w:cs="Times New Roman"/>
                <w:color w:val="auto"/>
                <w:sz w:val="21"/>
                <w:szCs w:val="21"/>
                <w:highlight w:val="none"/>
                <w:lang w:val="en-US" w:eastAsia="zh-CN"/>
              </w:rPr>
              <w:t>天然气管道改建项目</w:t>
            </w:r>
            <w:r>
              <w:rPr>
                <w:rFonts w:hint="default" w:ascii="Times New Roman" w:hAnsi="Times New Roman" w:eastAsia="宋体" w:cs="Times New Roman"/>
                <w:color w:val="auto"/>
                <w:sz w:val="21"/>
                <w:szCs w:val="21"/>
                <w:highlight w:val="none"/>
                <w:lang w:eastAsia="zh-CN"/>
              </w:rPr>
              <w:t>，不属于页岩气开发布井项目</w:t>
            </w:r>
          </w:p>
        </w:tc>
        <w:tc>
          <w:tcPr>
            <w:tcW w:w="388" w:type="pct"/>
            <w:tcBorders>
              <w:left w:val="single" w:color="auto" w:sz="4" w:space="0"/>
              <w:right w:val="single" w:color="auto" w:sz="4" w:space="0"/>
            </w:tcBorders>
            <w:noWrap w:val="0"/>
            <w:vAlign w:val="center"/>
          </w:tcPr>
          <w:p w14:paraId="0F07D2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75EC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233E5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025ACA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4FF285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严格排放重金属（铅、汞、镉、铬、砷、铊和锑）相关的重点行业企业准入</w:t>
            </w:r>
          </w:p>
        </w:tc>
        <w:tc>
          <w:tcPr>
            <w:tcW w:w="985" w:type="pct"/>
            <w:tcBorders>
              <w:left w:val="single" w:color="auto" w:sz="4" w:space="0"/>
              <w:right w:val="single" w:color="auto" w:sz="4" w:space="0"/>
            </w:tcBorders>
            <w:noWrap w:val="0"/>
            <w:vAlign w:val="center"/>
          </w:tcPr>
          <w:p w14:paraId="5EF83E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eastAsia="zh-CN"/>
              </w:rPr>
              <w:t>重金属</w:t>
            </w:r>
            <w:r>
              <w:rPr>
                <w:rFonts w:hint="default" w:ascii="Times New Roman" w:hAnsi="Times New Roman" w:eastAsia="宋体" w:cs="Times New Roman"/>
                <w:color w:val="auto"/>
                <w:sz w:val="21"/>
                <w:szCs w:val="21"/>
                <w:highlight w:val="none"/>
                <w:lang w:val="en-US" w:eastAsia="zh-CN"/>
              </w:rPr>
              <w:t>排放</w:t>
            </w:r>
          </w:p>
        </w:tc>
        <w:tc>
          <w:tcPr>
            <w:tcW w:w="388" w:type="pct"/>
            <w:tcBorders>
              <w:left w:val="single" w:color="auto" w:sz="4" w:space="0"/>
              <w:right w:val="single" w:color="auto" w:sz="4" w:space="0"/>
            </w:tcBorders>
            <w:noWrap w:val="0"/>
            <w:vAlign w:val="center"/>
          </w:tcPr>
          <w:p w14:paraId="6D20C3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2D24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1D9581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7D5DA9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69B338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紧邻居住、医疗等环境敏感用地的工业地块严格限制排放恶臭异味物质、《有毒有害大气污染物名录》所列大气环境污染物以 及《危险化学品目录》所列剧毒物质的项目建设。</w:t>
            </w:r>
          </w:p>
        </w:tc>
        <w:tc>
          <w:tcPr>
            <w:tcW w:w="985" w:type="pct"/>
            <w:tcBorders>
              <w:left w:val="single" w:color="auto" w:sz="4" w:space="0"/>
              <w:right w:val="single" w:color="auto" w:sz="4" w:space="0"/>
            </w:tcBorders>
            <w:noWrap w:val="0"/>
            <w:vAlign w:val="center"/>
          </w:tcPr>
          <w:p w14:paraId="2DCFF5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eastAsia="zh-CN"/>
              </w:rPr>
              <w:t>项目属于</w:t>
            </w:r>
            <w:r>
              <w:rPr>
                <w:rFonts w:hint="default" w:ascii="Times New Roman" w:hAnsi="Times New Roman" w:eastAsia="宋体" w:cs="Times New Roman"/>
                <w:color w:val="auto"/>
                <w:sz w:val="21"/>
                <w:szCs w:val="21"/>
                <w:highlight w:val="none"/>
                <w:lang w:val="en-US" w:eastAsia="zh-CN"/>
              </w:rPr>
              <w:t>天然气管道改建项目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左列类大气污染物排放</w:t>
            </w:r>
          </w:p>
        </w:tc>
        <w:tc>
          <w:tcPr>
            <w:tcW w:w="388" w:type="pct"/>
            <w:tcBorders>
              <w:left w:val="single" w:color="auto" w:sz="4" w:space="0"/>
              <w:right w:val="single" w:color="auto" w:sz="4" w:space="0"/>
            </w:tcBorders>
            <w:noWrap w:val="0"/>
            <w:vAlign w:val="center"/>
          </w:tcPr>
          <w:p w14:paraId="1F8AFD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3697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7C959F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6D22D0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79D061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严格执行钢铁、电解铝、水泥、平板玻璃等行业产能置换实施办法。</w:t>
            </w:r>
          </w:p>
        </w:tc>
        <w:tc>
          <w:tcPr>
            <w:tcW w:w="985" w:type="pct"/>
            <w:tcBorders>
              <w:left w:val="single" w:color="auto" w:sz="4" w:space="0"/>
              <w:right w:val="single" w:color="auto" w:sz="4" w:space="0"/>
            </w:tcBorders>
            <w:noWrap w:val="0"/>
            <w:vAlign w:val="center"/>
          </w:tcPr>
          <w:p w14:paraId="3E0DAD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左列行业</w:t>
            </w:r>
          </w:p>
        </w:tc>
        <w:tc>
          <w:tcPr>
            <w:tcW w:w="388" w:type="pct"/>
            <w:tcBorders>
              <w:left w:val="single" w:color="auto" w:sz="4" w:space="0"/>
              <w:right w:val="single" w:color="auto" w:sz="4" w:space="0"/>
            </w:tcBorders>
            <w:noWrap w:val="0"/>
            <w:vAlign w:val="center"/>
          </w:tcPr>
          <w:p w14:paraId="3DD745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5ABB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63A86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restart"/>
            <w:tcBorders>
              <w:left w:val="single" w:color="auto" w:sz="4" w:space="0"/>
              <w:right w:val="single" w:color="auto" w:sz="4" w:space="0"/>
            </w:tcBorders>
            <w:noWrap w:val="0"/>
            <w:vAlign w:val="center"/>
          </w:tcPr>
          <w:p w14:paraId="154F26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污染物排放</w:t>
            </w:r>
            <w:r>
              <w:rPr>
                <w:rFonts w:hint="default" w:ascii="Times New Roman" w:hAnsi="Times New Roman" w:eastAsia="宋体" w:cs="Times New Roman"/>
                <w:color w:val="auto"/>
                <w:sz w:val="21"/>
                <w:szCs w:val="21"/>
                <w:highlight w:val="none"/>
                <w:lang w:val="en-US" w:eastAsia="zh-CN"/>
              </w:rPr>
              <w:t>控制</w:t>
            </w: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1CE9C0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执行重点管控单元市级总体要求第八条、第九条、第十一条、第十三条、第十五条。</w:t>
            </w:r>
          </w:p>
        </w:tc>
        <w:tc>
          <w:tcPr>
            <w:tcW w:w="985" w:type="pct"/>
            <w:tcBorders>
              <w:left w:val="single" w:color="auto" w:sz="4" w:space="0"/>
              <w:right w:val="single" w:color="auto" w:sz="4" w:space="0"/>
            </w:tcBorders>
            <w:noWrap w:val="0"/>
            <w:vAlign w:val="center"/>
          </w:tcPr>
          <w:p w14:paraId="2A942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本项目满足市级重点管控总体要求</w:t>
            </w:r>
          </w:p>
        </w:tc>
        <w:tc>
          <w:tcPr>
            <w:tcW w:w="388" w:type="pct"/>
            <w:tcBorders>
              <w:left w:val="single" w:color="auto" w:sz="4" w:space="0"/>
              <w:right w:val="single" w:color="auto" w:sz="4" w:space="0"/>
            </w:tcBorders>
            <w:noWrap w:val="0"/>
            <w:vAlign w:val="center"/>
          </w:tcPr>
          <w:p w14:paraId="775BBC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57DB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307" w:type="pct"/>
            <w:vMerge w:val="continue"/>
            <w:tcBorders>
              <w:left w:val="single" w:color="auto" w:sz="4" w:space="0"/>
              <w:right w:val="single" w:color="auto" w:sz="4" w:space="0"/>
            </w:tcBorders>
            <w:noWrap w:val="0"/>
            <w:vAlign w:val="center"/>
          </w:tcPr>
          <w:p w14:paraId="5FCEE3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6FAA74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11A54A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在重点行业（工业涂装、化工、电子、包装印刷、家具制造、油品储运销等）推进挥发性有机物综合治理，推动低（无）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985" w:type="pct"/>
            <w:tcBorders>
              <w:left w:val="single" w:color="auto" w:sz="4" w:space="0"/>
              <w:right w:val="single" w:color="auto" w:sz="4" w:space="0"/>
            </w:tcBorders>
            <w:noWrap w:val="0"/>
            <w:vAlign w:val="center"/>
          </w:tcPr>
          <w:p w14:paraId="129E6E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本项目正常工况</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eastAsia="zh-CN"/>
              </w:rPr>
              <w:t>挥发性有机物</w:t>
            </w:r>
            <w:r>
              <w:rPr>
                <w:rFonts w:hint="default" w:ascii="Times New Roman" w:hAnsi="Times New Roman" w:eastAsia="宋体" w:cs="Times New Roman"/>
                <w:color w:val="auto"/>
                <w:sz w:val="21"/>
                <w:szCs w:val="21"/>
                <w:highlight w:val="none"/>
                <w:lang w:val="en-US" w:eastAsia="zh-CN"/>
              </w:rPr>
              <w:t>排放</w:t>
            </w:r>
          </w:p>
        </w:tc>
        <w:tc>
          <w:tcPr>
            <w:tcW w:w="388" w:type="pct"/>
            <w:tcBorders>
              <w:left w:val="single" w:color="auto" w:sz="4" w:space="0"/>
              <w:right w:val="single" w:color="auto" w:sz="4" w:space="0"/>
            </w:tcBorders>
            <w:noWrap w:val="0"/>
            <w:vAlign w:val="center"/>
          </w:tcPr>
          <w:p w14:paraId="5823BB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63E0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4EE243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550FE6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52909E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推进乡镇生活污水处理设施达标改造。新建城市生活污水处理厂转关口污水处理厂、共同片区、松同片区等污水处理厂全部按 照《城镇污水处理厂污染物排放标准》（GB18918-2002）一级 A 标及以上排放设备标准设计、施工、验收，建制石角干坝、 东溪竹林堂、三角吉安、打通大罗、郭扶高庙、三角乐兴等乡镇生活污水处理设施出水水质不得低于《城镇污水处理厂污染物 排放标准》（GB18918-2002）一级 B 标排放标准；对现有截留制排水管网实施雨污分流改造，针对无法彻底雨污分流的老城 区，尊重现实合理保留</w:t>
            </w:r>
            <w:r>
              <w:rPr>
                <w:rFonts w:hint="default" w:ascii="Times New Roman" w:hAnsi="Times New Roman" w:eastAsia="宋体" w:cs="Times New Roman"/>
                <w:color w:val="auto"/>
                <w:sz w:val="21"/>
                <w:szCs w:val="21"/>
                <w:highlight w:val="none"/>
                <w:shd w:val="clear" w:fill="FFFFFF"/>
                <w:lang w:eastAsia="zh-CN"/>
              </w:rPr>
              <w:t>截留制</w:t>
            </w:r>
            <w:r>
              <w:rPr>
                <w:rFonts w:hint="default" w:ascii="Times New Roman" w:hAnsi="Times New Roman" w:eastAsia="宋体" w:cs="Times New Roman"/>
                <w:color w:val="auto"/>
                <w:sz w:val="21"/>
                <w:szCs w:val="21"/>
                <w:highlight w:val="none"/>
                <w:lang w:eastAsia="zh-CN"/>
              </w:rPr>
              <w:t>区域，提高截留倍数；对新建的排水管网，全部按照雨污分流模式实施建设。</w:t>
            </w:r>
          </w:p>
        </w:tc>
        <w:tc>
          <w:tcPr>
            <w:tcW w:w="985" w:type="pct"/>
            <w:tcBorders>
              <w:left w:val="single" w:color="auto" w:sz="4" w:space="0"/>
              <w:right w:val="single" w:color="auto" w:sz="4" w:space="0"/>
            </w:tcBorders>
            <w:noWrap w:val="0"/>
            <w:vAlign w:val="center"/>
          </w:tcPr>
          <w:p w14:paraId="08EF3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生活污水处理设施建设、改造等</w:t>
            </w:r>
          </w:p>
        </w:tc>
        <w:tc>
          <w:tcPr>
            <w:tcW w:w="388" w:type="pct"/>
            <w:tcBorders>
              <w:left w:val="single" w:color="auto" w:sz="4" w:space="0"/>
              <w:right w:val="single" w:color="auto" w:sz="4" w:space="0"/>
            </w:tcBorders>
            <w:noWrap w:val="0"/>
            <w:vAlign w:val="center"/>
          </w:tcPr>
          <w:p w14:paraId="696CFB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62F2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47F0C2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147F54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2BF67D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固体废物污染环境防治坚持减量化、资源化和无害化的原则。推动磷石膏、冶炼废渣、煤矸石、粉煤灰、尾矿等大宗工业固体 废物资源化利用，逐步减少一般工业固体废物堆存量；产生工业固体废物的单位应当建立健全工业固体废物产生、收集、贮存、 运输、利用、处置全过程的污染环境防治责任制度，建立工业固体废物管理台账。</w:t>
            </w:r>
          </w:p>
        </w:tc>
        <w:tc>
          <w:tcPr>
            <w:tcW w:w="985" w:type="pct"/>
            <w:tcBorders>
              <w:left w:val="single" w:color="auto" w:sz="4" w:space="0"/>
              <w:right w:val="single" w:color="auto" w:sz="4" w:space="0"/>
            </w:tcBorders>
            <w:noWrap w:val="0"/>
            <w:vAlign w:val="center"/>
          </w:tcPr>
          <w:p w14:paraId="2C4039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lang w:val="en-US" w:eastAsia="zh-CN"/>
              </w:rPr>
              <w:t>施工期</w:t>
            </w:r>
            <w:r>
              <w:rPr>
                <w:rFonts w:hint="default" w:ascii="Times New Roman" w:hAnsi="Times New Roman" w:eastAsia="宋体" w:cs="Times New Roman"/>
                <w:color w:val="auto"/>
                <w:sz w:val="21"/>
                <w:szCs w:val="21"/>
                <w:highlight w:val="none"/>
                <w:lang w:eastAsia="zh-CN"/>
              </w:rPr>
              <w:t>坚持减量化、资源化和无害化的原则，</w:t>
            </w:r>
            <w:r>
              <w:rPr>
                <w:rFonts w:hint="default" w:ascii="Times New Roman" w:hAnsi="Times New Roman" w:eastAsia="宋体" w:cs="Times New Roman"/>
                <w:color w:val="auto"/>
                <w:sz w:val="21"/>
                <w:szCs w:val="21"/>
                <w:highlight w:val="none"/>
                <w:lang w:val="en-US" w:eastAsia="zh-CN"/>
              </w:rPr>
              <w:t>合理合法合规处置，清管废渣</w:t>
            </w:r>
            <w:r>
              <w:rPr>
                <w:rFonts w:hint="default" w:ascii="Times New Roman" w:hAnsi="Times New Roman" w:eastAsia="宋体" w:cs="Times New Roman"/>
                <w:color w:val="auto"/>
                <w:sz w:val="21"/>
                <w:szCs w:val="21"/>
                <w:highlight w:val="none"/>
                <w:lang w:eastAsia="zh-CN"/>
              </w:rPr>
              <w:t>产生少，依托新盛站收球筒装置收集后交当地市政环卫部门处置</w:t>
            </w:r>
          </w:p>
        </w:tc>
        <w:tc>
          <w:tcPr>
            <w:tcW w:w="388" w:type="pct"/>
            <w:tcBorders>
              <w:left w:val="single" w:color="auto" w:sz="4" w:space="0"/>
              <w:right w:val="single" w:color="auto" w:sz="4" w:space="0"/>
            </w:tcBorders>
            <w:noWrap w:val="0"/>
            <w:vAlign w:val="center"/>
          </w:tcPr>
          <w:p w14:paraId="336212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2F14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4D49B2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5C8FB4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6FE35C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全面推进水泥熟料行业超低排放改造，有序推进现有火电、热电行业超低排放改造，新建燃煤机组实施超低排放；火电、水泥 工业企业以及燃煤锅炉使用单位应当按照规定配套建设脱硫、脱硝、除尘等污染防治设施，采用先进的大气污染物协同控制技 术和装备。全面实施分散燃气锅炉低氮排放改造；重点推进挥发性有机物和氮氧化物协同减排，加强细颗粒物和臭氧协同控制。</w:t>
            </w:r>
          </w:p>
        </w:tc>
        <w:tc>
          <w:tcPr>
            <w:tcW w:w="985" w:type="pct"/>
            <w:tcBorders>
              <w:left w:val="single" w:color="auto" w:sz="4" w:space="0"/>
              <w:right w:val="single" w:color="auto" w:sz="4" w:space="0"/>
            </w:tcBorders>
            <w:noWrap w:val="0"/>
            <w:vAlign w:val="center"/>
          </w:tcPr>
          <w:p w14:paraId="329A13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本项目不属于左列行业，运营期</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所列的大气污染物排放</w:t>
            </w:r>
          </w:p>
        </w:tc>
        <w:tc>
          <w:tcPr>
            <w:tcW w:w="388" w:type="pct"/>
            <w:tcBorders>
              <w:left w:val="single" w:color="auto" w:sz="4" w:space="0"/>
              <w:right w:val="single" w:color="auto" w:sz="4" w:space="0"/>
            </w:tcBorders>
            <w:noWrap w:val="0"/>
            <w:vAlign w:val="center"/>
          </w:tcPr>
          <w:p w14:paraId="29AA63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365A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436624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7A45F6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22141C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矿产资源开采过程中，应当在矿山开采现场以及堆场配套建设、使用控制扬尘和粉尘等污染治理设施，确保达标排放，并按规 定进行生态修复</w:t>
            </w:r>
          </w:p>
        </w:tc>
        <w:tc>
          <w:tcPr>
            <w:tcW w:w="985" w:type="pct"/>
            <w:tcBorders>
              <w:left w:val="single" w:color="auto" w:sz="4" w:space="0"/>
              <w:right w:val="single" w:color="auto" w:sz="4" w:space="0"/>
            </w:tcBorders>
            <w:noWrap w:val="0"/>
            <w:vAlign w:val="center"/>
          </w:tcPr>
          <w:p w14:paraId="709846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矿山资源开采</w:t>
            </w:r>
          </w:p>
        </w:tc>
        <w:tc>
          <w:tcPr>
            <w:tcW w:w="388" w:type="pct"/>
            <w:tcBorders>
              <w:left w:val="single" w:color="auto" w:sz="4" w:space="0"/>
              <w:right w:val="single" w:color="auto" w:sz="4" w:space="0"/>
            </w:tcBorders>
            <w:noWrap w:val="0"/>
            <w:vAlign w:val="center"/>
          </w:tcPr>
          <w:p w14:paraId="632714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7308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4955C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6091B5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6CCDC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加快大宗货物和中长途货物运输“公转铁”“公转水”，大力发展铁水、公铁、公水等多式联运，大宗物料优先采用铁路、管道 或水路运输，短途接驳优先使用新能源车辆运输；提高燃油车船能效标准，健全交通运输装备能效标识制度，加快淘汰高耗能 高排放老旧车船。全面实施汽车国六排放标准和非道路移动柴油机械国四排放标准。深入实施清洁柴油机行动，鼓励重型柴油 货车更新替代。</w:t>
            </w:r>
          </w:p>
        </w:tc>
        <w:tc>
          <w:tcPr>
            <w:tcW w:w="985" w:type="pct"/>
            <w:tcBorders>
              <w:left w:val="single" w:color="auto" w:sz="4" w:space="0"/>
              <w:right w:val="single" w:color="auto" w:sz="4" w:space="0"/>
            </w:tcBorders>
            <w:noWrap w:val="0"/>
            <w:vAlign w:val="center"/>
          </w:tcPr>
          <w:p w14:paraId="14B447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eastAsia="zh-CN"/>
              </w:rPr>
              <w:t>大宗货物和中长途货物运输</w:t>
            </w:r>
            <w:r>
              <w:rPr>
                <w:rFonts w:hint="default" w:ascii="Times New Roman" w:hAnsi="Times New Roman" w:eastAsia="宋体" w:cs="Times New Roman"/>
                <w:color w:val="auto"/>
                <w:sz w:val="21"/>
                <w:szCs w:val="21"/>
                <w:highlight w:val="none"/>
                <w:lang w:val="en-US" w:eastAsia="zh-CN"/>
              </w:rPr>
              <w:t>等</w:t>
            </w:r>
          </w:p>
        </w:tc>
        <w:tc>
          <w:tcPr>
            <w:tcW w:w="388" w:type="pct"/>
            <w:tcBorders>
              <w:left w:val="single" w:color="auto" w:sz="4" w:space="0"/>
              <w:right w:val="single" w:color="auto" w:sz="4" w:space="0"/>
            </w:tcBorders>
            <w:noWrap w:val="0"/>
            <w:vAlign w:val="center"/>
          </w:tcPr>
          <w:p w14:paraId="41539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0EE8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1E1F8B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2668DB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003E7E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第十八条 加强农业面源污染治理。引导、鼓励农村“化肥农药减量化生产”行动，推进农药化肥减量增效、秸秆综合利用， 强化农膜和农药包装废弃物回收处理。并加强畜禽养殖废弃物污染治理和综合利用，完善畜禽养殖场污染治理配套设施设备， 推广、指导畜禽养殖废弃物综合利用，推进畜禽粪污资源化利用，强化污水、垃圾等集中处置设施环境管理。</w:t>
            </w:r>
          </w:p>
        </w:tc>
        <w:tc>
          <w:tcPr>
            <w:tcW w:w="985" w:type="pct"/>
            <w:tcBorders>
              <w:left w:val="single" w:color="auto" w:sz="4" w:space="0"/>
              <w:right w:val="single" w:color="auto" w:sz="4" w:space="0"/>
            </w:tcBorders>
            <w:noWrap w:val="0"/>
            <w:vAlign w:val="center"/>
          </w:tcPr>
          <w:p w14:paraId="53DE48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w:t>
            </w:r>
            <w:r>
              <w:rPr>
                <w:rFonts w:hint="default" w:ascii="Times New Roman" w:hAnsi="Times New Roman" w:eastAsia="宋体" w:cs="Times New Roman"/>
                <w:color w:val="auto"/>
                <w:sz w:val="21"/>
                <w:szCs w:val="21"/>
                <w:highlight w:val="none"/>
                <w:lang w:val="en-US" w:eastAsia="zh-CN"/>
              </w:rPr>
              <w:t>属于农药、化肥、畜牧养殖类</w:t>
            </w:r>
          </w:p>
        </w:tc>
        <w:tc>
          <w:tcPr>
            <w:tcW w:w="388" w:type="pct"/>
            <w:tcBorders>
              <w:left w:val="single" w:color="auto" w:sz="4" w:space="0"/>
              <w:right w:val="single" w:color="auto" w:sz="4" w:space="0"/>
            </w:tcBorders>
            <w:noWrap w:val="0"/>
            <w:vAlign w:val="center"/>
          </w:tcPr>
          <w:p w14:paraId="11303C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135C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68AB4A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restart"/>
            <w:tcBorders>
              <w:left w:val="single" w:color="auto" w:sz="4" w:space="0"/>
              <w:right w:val="single" w:color="auto" w:sz="4" w:space="0"/>
            </w:tcBorders>
            <w:noWrap w:val="0"/>
            <w:vAlign w:val="center"/>
          </w:tcPr>
          <w:p w14:paraId="08AF6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环境风险防控</w:t>
            </w: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3D9647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执行重点管控单元市级总体要求第十六条。</w:t>
            </w:r>
          </w:p>
        </w:tc>
        <w:tc>
          <w:tcPr>
            <w:tcW w:w="985" w:type="pct"/>
            <w:tcBorders>
              <w:left w:val="single" w:color="auto" w:sz="4" w:space="0"/>
              <w:right w:val="single" w:color="auto" w:sz="4" w:space="0"/>
            </w:tcBorders>
            <w:noWrap w:val="0"/>
            <w:vAlign w:val="center"/>
          </w:tcPr>
          <w:p w14:paraId="7CBBA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本项目满足市级重点管控总体要求</w:t>
            </w:r>
          </w:p>
        </w:tc>
        <w:tc>
          <w:tcPr>
            <w:tcW w:w="388" w:type="pct"/>
            <w:tcBorders>
              <w:left w:val="single" w:color="auto" w:sz="4" w:space="0"/>
              <w:right w:val="single" w:color="auto" w:sz="4" w:space="0"/>
            </w:tcBorders>
            <w:noWrap w:val="0"/>
            <w:vAlign w:val="center"/>
          </w:tcPr>
          <w:p w14:paraId="0CF88F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0A17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39E0D9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6E8C3A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4B1052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綦江工业园区扶欢组团严格构建不低于“单元—企业—片区级—流域”四级事故废水风险防范体系和“政府—园区—企业”的 三级环境风险应急体系。</w:t>
            </w:r>
          </w:p>
        </w:tc>
        <w:tc>
          <w:tcPr>
            <w:tcW w:w="985" w:type="pct"/>
            <w:tcBorders>
              <w:left w:val="single" w:color="auto" w:sz="4" w:space="0"/>
              <w:right w:val="single" w:color="auto" w:sz="4" w:space="0"/>
            </w:tcBorders>
            <w:noWrap w:val="0"/>
            <w:vAlign w:val="center"/>
          </w:tcPr>
          <w:p w14:paraId="611A9E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lang w:eastAsia="zh-CN"/>
              </w:rPr>
              <w:t>綦江工业园区扶欢组团</w:t>
            </w:r>
          </w:p>
        </w:tc>
        <w:tc>
          <w:tcPr>
            <w:tcW w:w="388" w:type="pct"/>
            <w:tcBorders>
              <w:left w:val="single" w:color="auto" w:sz="4" w:space="0"/>
              <w:right w:val="single" w:color="auto" w:sz="4" w:space="0"/>
            </w:tcBorders>
            <w:noWrap w:val="0"/>
            <w:vAlign w:val="center"/>
          </w:tcPr>
          <w:p w14:paraId="479199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7FA6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6C583E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3A9C6F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3CF337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磷石膏渣场实现雨污分流、渗滤液有效收集处理，地下水定期监测；加强磷石膏综合利用。</w:t>
            </w:r>
          </w:p>
        </w:tc>
        <w:tc>
          <w:tcPr>
            <w:tcW w:w="985" w:type="pct"/>
            <w:tcBorders>
              <w:left w:val="single" w:color="auto" w:sz="4" w:space="0"/>
              <w:right w:val="single" w:color="auto" w:sz="4" w:space="0"/>
            </w:tcBorders>
            <w:noWrap w:val="0"/>
            <w:vAlign w:val="center"/>
          </w:tcPr>
          <w:p w14:paraId="602577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eastAsia="zh-CN"/>
              </w:rPr>
              <w:t>磷石膏渣场</w:t>
            </w:r>
          </w:p>
        </w:tc>
        <w:tc>
          <w:tcPr>
            <w:tcW w:w="388" w:type="pct"/>
            <w:tcBorders>
              <w:left w:val="single" w:color="auto" w:sz="4" w:space="0"/>
              <w:right w:val="single" w:color="auto" w:sz="4" w:space="0"/>
            </w:tcBorders>
            <w:noWrap w:val="0"/>
            <w:vAlign w:val="center"/>
          </w:tcPr>
          <w:p w14:paraId="3AA7E8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730D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1E1D58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6F6C7B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0BA165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制定页岩气开采地表水、地下水环境监测方案，采用先进环保的钻采工艺。</w:t>
            </w:r>
          </w:p>
        </w:tc>
        <w:tc>
          <w:tcPr>
            <w:tcW w:w="985" w:type="pct"/>
            <w:tcBorders>
              <w:left w:val="single" w:color="auto" w:sz="4" w:space="0"/>
              <w:right w:val="single" w:color="auto" w:sz="4" w:space="0"/>
            </w:tcBorders>
            <w:noWrap w:val="0"/>
            <w:vAlign w:val="center"/>
          </w:tcPr>
          <w:p w14:paraId="4DF5CF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eastAsia="zh-CN"/>
              </w:rPr>
              <w:t>页岩气开采</w:t>
            </w:r>
          </w:p>
        </w:tc>
        <w:tc>
          <w:tcPr>
            <w:tcW w:w="388" w:type="pct"/>
            <w:tcBorders>
              <w:left w:val="single" w:color="auto" w:sz="4" w:space="0"/>
              <w:right w:val="single" w:color="auto" w:sz="4" w:space="0"/>
            </w:tcBorders>
            <w:noWrap w:val="0"/>
            <w:vAlign w:val="center"/>
          </w:tcPr>
          <w:p w14:paraId="007F8F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3694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30069B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6017D6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5DFE09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定期开展环境安全排查整治专项行动，落实企业突发环境事件风险评估制度，严格监管重大突发环境事件风险企业。建立环境 风险隐患排查档案，实行销号制度。</w:t>
            </w:r>
          </w:p>
        </w:tc>
        <w:tc>
          <w:tcPr>
            <w:tcW w:w="985" w:type="pct"/>
            <w:tcBorders>
              <w:left w:val="single" w:color="auto" w:sz="4" w:space="0"/>
              <w:right w:val="single" w:color="auto" w:sz="4" w:space="0"/>
            </w:tcBorders>
            <w:noWrap w:val="0"/>
            <w:vAlign w:val="center"/>
          </w:tcPr>
          <w:p w14:paraId="6FA9A9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本项目已纳入区域风险评估及应急预案管理范围内，管理单位定期更新风评及应急预案</w:t>
            </w:r>
          </w:p>
        </w:tc>
        <w:tc>
          <w:tcPr>
            <w:tcW w:w="388" w:type="pct"/>
            <w:tcBorders>
              <w:left w:val="single" w:color="auto" w:sz="4" w:space="0"/>
              <w:right w:val="single" w:color="auto" w:sz="4" w:space="0"/>
            </w:tcBorders>
            <w:noWrap w:val="0"/>
            <w:vAlign w:val="center"/>
          </w:tcPr>
          <w:p w14:paraId="605F5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14BF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0F16F2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restart"/>
            <w:tcBorders>
              <w:left w:val="single" w:color="auto" w:sz="4" w:space="0"/>
              <w:right w:val="single" w:color="auto" w:sz="4" w:space="0"/>
            </w:tcBorders>
            <w:noWrap w:val="0"/>
            <w:vAlign w:val="center"/>
          </w:tcPr>
          <w:p w14:paraId="53A88C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资源利用效率</w:t>
            </w: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0F699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执行重点管控单元市级总体要求第二十一条、第二十二条</w:t>
            </w:r>
          </w:p>
        </w:tc>
        <w:tc>
          <w:tcPr>
            <w:tcW w:w="985" w:type="pct"/>
            <w:tcBorders>
              <w:left w:val="single" w:color="auto" w:sz="4" w:space="0"/>
              <w:right w:val="single" w:color="auto" w:sz="4" w:space="0"/>
            </w:tcBorders>
            <w:noWrap w:val="0"/>
            <w:vAlign w:val="center"/>
          </w:tcPr>
          <w:p w14:paraId="4E8FC0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本项目满足市级重点管控总体要求</w:t>
            </w:r>
          </w:p>
        </w:tc>
        <w:tc>
          <w:tcPr>
            <w:tcW w:w="388" w:type="pct"/>
            <w:tcBorders>
              <w:left w:val="single" w:color="auto" w:sz="4" w:space="0"/>
              <w:right w:val="single" w:color="auto" w:sz="4" w:space="0"/>
            </w:tcBorders>
            <w:noWrap w:val="0"/>
            <w:vAlign w:val="center"/>
          </w:tcPr>
          <w:p w14:paraId="74BB52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13E4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328BC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63F679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6B6FCC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实施能源领域碳达峰碳中和行动，发展壮大清洁能源产业，坚持因地制宜、分布式与集中式并举，充分利用水能、光伏、风能等可再生能源资源，加速对化石能源的替代；因地制宜开发水能资源，推进水电绿色化智能化发展，加快蟠龙抽水蓄能电站等项目建设，推动能源清洁低碳安全高效开发利用，促进重点用能领域能效提升。</w:t>
            </w:r>
          </w:p>
        </w:tc>
        <w:tc>
          <w:tcPr>
            <w:tcW w:w="985" w:type="pct"/>
            <w:tcBorders>
              <w:left w:val="single" w:color="auto" w:sz="4" w:space="0"/>
              <w:right w:val="single" w:color="auto" w:sz="4" w:space="0"/>
            </w:tcBorders>
            <w:noWrap w:val="0"/>
            <w:vAlign w:val="center"/>
          </w:tcPr>
          <w:p w14:paraId="5C1665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项目正常工况下不涉及碳排放</w:t>
            </w:r>
          </w:p>
        </w:tc>
        <w:tc>
          <w:tcPr>
            <w:tcW w:w="388" w:type="pct"/>
            <w:tcBorders>
              <w:left w:val="single" w:color="auto" w:sz="4" w:space="0"/>
              <w:right w:val="single" w:color="auto" w:sz="4" w:space="0"/>
            </w:tcBorders>
            <w:noWrap w:val="0"/>
            <w:vAlign w:val="center"/>
          </w:tcPr>
          <w:p w14:paraId="1689E4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0744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41AC5D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4A2F3D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439BE7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鼓励高耗能行业生产企业实施技术升级改造，全区工业重点行业建成产能全部达到能效基准水平；鼓励企业对标能耗限额标准先进值或国际先进水平，钢铁、火电、水泥、电解铝、平板玻璃等主要产品单位能耗应当优于国家能耗限额标准；水泥熟料能效不低于《高耗能行业重点领域能效标杆水平和基准水平（2021年版）》中基准水平117千克标准煤/吨；燃煤发电机组不低于《煤炭清洁高效利用重点领域标杆水平和基准水平（2022年版）》（发改运行〔2022〕559号）中基准水平。加快主要产品工艺升级与绿色化改造，推动工业窑炉、锅炉、电机、压缩机、泵、变压器等重点用能设备系统节能改造。</w:t>
            </w:r>
          </w:p>
        </w:tc>
        <w:tc>
          <w:tcPr>
            <w:tcW w:w="985" w:type="pct"/>
            <w:tcBorders>
              <w:left w:val="single" w:color="auto" w:sz="4" w:space="0"/>
              <w:right w:val="single" w:color="auto" w:sz="4" w:space="0"/>
            </w:tcBorders>
            <w:noWrap w:val="0"/>
            <w:vAlign w:val="center"/>
          </w:tcPr>
          <w:p w14:paraId="4AE83C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lang w:eastAsia="zh-CN"/>
              </w:rPr>
              <w:t>高耗能行业</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工业重点行业，</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eastAsia="zh-CN"/>
              </w:rPr>
              <w:t>钢铁、火电、水泥、电解铝、平板玻璃等主要产品</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工业窑炉、锅炉、电机、压缩机、泵、变压器等重点用能设备</w:t>
            </w:r>
            <w:r>
              <w:rPr>
                <w:rFonts w:hint="default" w:ascii="Times New Roman" w:hAnsi="Times New Roman" w:eastAsia="宋体" w:cs="Times New Roman"/>
                <w:color w:val="auto"/>
                <w:sz w:val="21"/>
                <w:szCs w:val="21"/>
                <w:highlight w:val="none"/>
                <w:lang w:val="en-US" w:eastAsia="zh-CN"/>
              </w:rPr>
              <w:t>使用</w:t>
            </w:r>
          </w:p>
        </w:tc>
        <w:tc>
          <w:tcPr>
            <w:tcW w:w="388" w:type="pct"/>
            <w:tcBorders>
              <w:left w:val="single" w:color="auto" w:sz="4" w:space="0"/>
              <w:right w:val="single" w:color="auto" w:sz="4" w:space="0"/>
            </w:tcBorders>
            <w:noWrap w:val="0"/>
            <w:vAlign w:val="center"/>
          </w:tcPr>
          <w:p w14:paraId="15DF5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063D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132F41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0CB1C0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3C4D0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扩建“两高”项目应采用先进适用的工艺技术和装备，单位产品物耗、能耗、水耗等达到清洁生产先进水平，鼓励实施先进的节能降碳以及废水循环利用技术，深挖水泥熟料、火电机组等余热余压利用，提升能源资源利用效率；建材等行业重点工业产品能效达到国际先进水平。</w:t>
            </w:r>
          </w:p>
        </w:tc>
        <w:tc>
          <w:tcPr>
            <w:tcW w:w="985" w:type="pct"/>
            <w:tcBorders>
              <w:left w:val="single" w:color="auto" w:sz="4" w:space="0"/>
              <w:right w:val="single" w:color="auto" w:sz="4" w:space="0"/>
            </w:tcBorders>
            <w:noWrap w:val="0"/>
            <w:vAlign w:val="center"/>
          </w:tcPr>
          <w:p w14:paraId="3BEC85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rPr>
              <w:t>不</w:t>
            </w:r>
            <w:r>
              <w:rPr>
                <w:rFonts w:hint="default" w:ascii="Times New Roman" w:hAnsi="Times New Roman" w:eastAsia="宋体" w:cs="Times New Roman"/>
                <w:color w:val="auto"/>
                <w:sz w:val="21"/>
                <w:szCs w:val="21"/>
                <w:highlight w:val="none"/>
                <w:lang w:val="en-US" w:eastAsia="zh-CN"/>
              </w:rPr>
              <w:t>属于</w:t>
            </w:r>
            <w:r>
              <w:rPr>
                <w:rFonts w:hint="default" w:ascii="Times New Roman" w:hAnsi="Times New Roman" w:eastAsia="宋体" w:cs="Times New Roman"/>
                <w:color w:val="auto"/>
                <w:sz w:val="21"/>
                <w:szCs w:val="21"/>
                <w:highlight w:val="none"/>
                <w:lang w:eastAsia="zh-CN"/>
              </w:rPr>
              <w:t>“两高”项目</w:t>
            </w:r>
          </w:p>
        </w:tc>
        <w:tc>
          <w:tcPr>
            <w:tcW w:w="388" w:type="pct"/>
            <w:tcBorders>
              <w:left w:val="single" w:color="auto" w:sz="4" w:space="0"/>
              <w:right w:val="single" w:color="auto" w:sz="4" w:space="0"/>
            </w:tcBorders>
            <w:noWrap w:val="0"/>
            <w:vAlign w:val="center"/>
          </w:tcPr>
          <w:p w14:paraId="03B078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6FCE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3B826D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74C6D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003EFB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在高污染燃料禁燃区内，禁止销售、燃用高污染燃料；现有使用高污染燃料的设施应当限期淘汰或者改用天然气、页岩气、电力、风能等其他清洁能源。加强页岩气勘探开发利用，鼓励页岩气制氢产业发展，推进扶欢循环经济产业园建设，推动延伸页岩气下游精深加工链条。</w:t>
            </w:r>
          </w:p>
        </w:tc>
        <w:tc>
          <w:tcPr>
            <w:tcW w:w="985" w:type="pct"/>
            <w:tcBorders>
              <w:left w:val="single" w:color="auto" w:sz="4" w:space="0"/>
              <w:right w:val="single" w:color="auto" w:sz="4" w:space="0"/>
            </w:tcBorders>
            <w:noWrap w:val="0"/>
            <w:vAlign w:val="center"/>
          </w:tcPr>
          <w:p w14:paraId="08CF9D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天然气管道改建项目，项目建设有利于加强页岩气勘探开发利用</w:t>
            </w:r>
          </w:p>
        </w:tc>
        <w:tc>
          <w:tcPr>
            <w:tcW w:w="388" w:type="pct"/>
            <w:tcBorders>
              <w:left w:val="single" w:color="auto" w:sz="4" w:space="0"/>
              <w:right w:val="single" w:color="auto" w:sz="4" w:space="0"/>
            </w:tcBorders>
            <w:noWrap w:val="0"/>
            <w:vAlign w:val="center"/>
          </w:tcPr>
          <w:p w14:paraId="7DB4F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1C26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09F22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96" w:type="pct"/>
            <w:gridSpan w:val="2"/>
            <w:vMerge w:val="continue"/>
            <w:tcBorders>
              <w:left w:val="single" w:color="auto" w:sz="4" w:space="0"/>
              <w:right w:val="single" w:color="auto" w:sz="4" w:space="0"/>
            </w:tcBorders>
            <w:noWrap w:val="0"/>
            <w:vAlign w:val="center"/>
          </w:tcPr>
          <w:p w14:paraId="7CCFA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4BC17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控制煤炭消费总量，电解铝、火电、水泥等重点用煤行业实施煤炭清洁利用，有序推进“煤改电”“煤改气”工程。持续优化现役煤电机组运行管理，推进旗能电铝自备煤电机组等现役煤电机组三改联动，推动具备条件的机组开展热电联产改造，鼓励松藻电力开展锅炉和汽轮机冷端余热深度利用改造、煤电机组能量梯级利用改造</w:t>
            </w:r>
          </w:p>
        </w:tc>
        <w:tc>
          <w:tcPr>
            <w:tcW w:w="985" w:type="pct"/>
            <w:tcBorders>
              <w:left w:val="single" w:color="auto" w:sz="4" w:space="0"/>
              <w:right w:val="single" w:color="auto" w:sz="4" w:space="0"/>
            </w:tcBorders>
            <w:noWrap w:val="0"/>
            <w:vAlign w:val="center"/>
          </w:tcPr>
          <w:p w14:paraId="220B41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rPr>
              <w:t>不</w:t>
            </w:r>
            <w:r>
              <w:rPr>
                <w:rFonts w:hint="default" w:ascii="Times New Roman" w:hAnsi="Times New Roman" w:eastAsia="宋体" w:cs="Times New Roman"/>
                <w:color w:val="auto"/>
                <w:sz w:val="21"/>
                <w:szCs w:val="21"/>
                <w:highlight w:val="none"/>
                <w:lang w:val="en-US" w:eastAsia="zh-CN"/>
              </w:rPr>
              <w:t>属于</w:t>
            </w:r>
            <w:r>
              <w:rPr>
                <w:rFonts w:hint="default" w:ascii="Times New Roman" w:hAnsi="Times New Roman" w:eastAsia="宋体" w:cs="Times New Roman"/>
                <w:color w:val="auto"/>
                <w:sz w:val="21"/>
                <w:szCs w:val="21"/>
                <w:highlight w:val="none"/>
                <w:lang w:eastAsia="zh-CN"/>
              </w:rPr>
              <w:t>重点用煤行业</w:t>
            </w:r>
          </w:p>
        </w:tc>
        <w:tc>
          <w:tcPr>
            <w:tcW w:w="388" w:type="pct"/>
            <w:tcBorders>
              <w:left w:val="single" w:color="auto" w:sz="4" w:space="0"/>
              <w:right w:val="single" w:color="auto" w:sz="4" w:space="0"/>
            </w:tcBorders>
            <w:noWrap w:val="0"/>
            <w:vAlign w:val="center"/>
          </w:tcPr>
          <w:p w14:paraId="6568C9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符合</w:t>
            </w:r>
          </w:p>
        </w:tc>
      </w:tr>
      <w:tr w14:paraId="071D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restart"/>
            <w:tcBorders>
              <w:left w:val="single" w:color="auto" w:sz="4" w:space="0"/>
              <w:right w:val="single" w:color="auto" w:sz="4" w:space="0"/>
            </w:tcBorders>
            <w:noWrap w:val="0"/>
            <w:vAlign w:val="center"/>
          </w:tcPr>
          <w:p w14:paraId="4CF4BBF7">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单元管控要求</w:t>
            </w:r>
          </w:p>
        </w:tc>
        <w:tc>
          <w:tcPr>
            <w:tcW w:w="331" w:type="pct"/>
            <w:vMerge w:val="restart"/>
            <w:tcBorders>
              <w:left w:val="single" w:color="auto" w:sz="4" w:space="0"/>
              <w:right w:val="single" w:color="auto" w:sz="4" w:space="0"/>
            </w:tcBorders>
            <w:noWrap w:val="0"/>
            <w:vAlign w:val="center"/>
          </w:tcPr>
          <w:p w14:paraId="35883E8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綦江区重点管控单元—綦江河北渡（</w:t>
            </w:r>
            <w:r>
              <w:rPr>
                <w:rFonts w:hint="default" w:ascii="Times New Roman" w:hAnsi="Times New Roman" w:eastAsia="宋体" w:cs="Times New Roman"/>
                <w:color w:val="auto"/>
                <w:sz w:val="21"/>
                <w:szCs w:val="21"/>
                <w:highlight w:val="none"/>
              </w:rPr>
              <w:t>ZH50011020009重点管控单元 9</w:t>
            </w:r>
            <w:r>
              <w:rPr>
                <w:rFonts w:hint="default" w:ascii="Times New Roman" w:hAnsi="Times New Roman" w:eastAsia="宋体" w:cs="Times New Roman"/>
                <w:color w:val="auto"/>
                <w:sz w:val="21"/>
                <w:szCs w:val="21"/>
                <w:highlight w:val="none"/>
                <w:lang w:val="en-US" w:eastAsia="zh-CN"/>
              </w:rPr>
              <w:t>）</w:t>
            </w:r>
          </w:p>
        </w:tc>
        <w:tc>
          <w:tcPr>
            <w:tcW w:w="264" w:type="pct"/>
            <w:tcBorders>
              <w:left w:val="single" w:color="auto" w:sz="4" w:space="0"/>
              <w:right w:val="single" w:color="auto" w:sz="4" w:space="0"/>
            </w:tcBorders>
            <w:noWrap w:val="0"/>
            <w:vAlign w:val="center"/>
          </w:tcPr>
          <w:p w14:paraId="261B662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kern w:val="0"/>
                <w:sz w:val="21"/>
                <w:szCs w:val="21"/>
                <w:lang w:val="en-US" w:eastAsia="zh-CN" w:bidi="ar"/>
              </w:rPr>
              <w:t>空间布局约束</w:t>
            </w: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75BACC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现有园区外的工业企业（除在安全生产或者产业布局等方面有特殊要求外）不得实施单纯增加产能的技改（扩建）项目；新建有污染物排放的工业项目原则上进入工业园区或工业聚集区；引导现有工业用地上零星工业企业向园区搬迁。</w:t>
            </w:r>
          </w:p>
        </w:tc>
        <w:tc>
          <w:tcPr>
            <w:tcW w:w="985" w:type="pct"/>
            <w:tcBorders>
              <w:left w:val="single" w:color="auto" w:sz="4" w:space="0"/>
              <w:right w:val="single" w:color="auto" w:sz="4" w:space="0"/>
            </w:tcBorders>
            <w:noWrap w:val="0"/>
            <w:vAlign w:val="center"/>
          </w:tcPr>
          <w:p w14:paraId="057FC4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rPr>
              <w:t>不</w:t>
            </w:r>
            <w:r>
              <w:rPr>
                <w:rFonts w:hint="default" w:ascii="Times New Roman" w:hAnsi="Times New Roman" w:eastAsia="宋体" w:cs="Times New Roman"/>
                <w:color w:val="auto"/>
                <w:sz w:val="21"/>
                <w:szCs w:val="21"/>
                <w:highlight w:val="none"/>
                <w:lang w:val="en-US" w:eastAsia="zh-CN"/>
              </w:rPr>
              <w:t>属于工业类项目</w:t>
            </w:r>
          </w:p>
        </w:tc>
        <w:tc>
          <w:tcPr>
            <w:tcW w:w="388" w:type="pct"/>
            <w:tcBorders>
              <w:left w:val="single" w:color="auto" w:sz="4" w:space="0"/>
              <w:right w:val="single" w:color="auto" w:sz="4" w:space="0"/>
            </w:tcBorders>
            <w:noWrap w:val="0"/>
            <w:vAlign w:val="center"/>
          </w:tcPr>
          <w:p w14:paraId="5FD00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4B9C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138C7E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786BBE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64" w:type="pct"/>
            <w:vMerge w:val="restart"/>
            <w:tcBorders>
              <w:left w:val="single" w:color="auto" w:sz="4" w:space="0"/>
              <w:right w:val="single" w:color="auto" w:sz="4" w:space="0"/>
            </w:tcBorders>
            <w:noWrap w:val="0"/>
            <w:vAlign w:val="center"/>
          </w:tcPr>
          <w:p w14:paraId="3EAD97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污染物排放管控</w:t>
            </w: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69A14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以设施建设和运行保障为重点，强化城市污水治理，优先实施入河口排水管和沿河截污系统整治，分步实现清污分流、雨污分流，实施城市污水处理设施建设与改造，完善污水收集管网，推进雨污合流改造。结合新城开发和城市道路建设同步新建污水管网。强化老旧城区和</w:t>
            </w:r>
            <w:r>
              <w:rPr>
                <w:rFonts w:hint="default" w:ascii="Times New Roman" w:hAnsi="Times New Roman" w:eastAsia="宋体" w:cs="Times New Roman"/>
                <w:color w:val="auto"/>
                <w:sz w:val="21"/>
                <w:szCs w:val="21"/>
                <w:highlight w:val="none"/>
                <w:shd w:val="clear" w:fill="FFFFFF"/>
                <w:lang w:val="en-US" w:eastAsia="zh-CN"/>
              </w:rPr>
              <w:t>城乡结合部</w:t>
            </w:r>
            <w:r>
              <w:rPr>
                <w:rFonts w:hint="default" w:ascii="Times New Roman" w:hAnsi="Times New Roman" w:eastAsia="宋体" w:cs="Times New Roman"/>
                <w:color w:val="auto"/>
                <w:sz w:val="21"/>
                <w:szCs w:val="21"/>
                <w:highlight w:val="none"/>
                <w:lang w:val="en-US" w:eastAsia="zh-CN"/>
              </w:rPr>
              <w:t>污水截流和收集，针对建成区污水收集系统不完善的区域进行改造，完善污水管网体系。</w:t>
            </w:r>
          </w:p>
        </w:tc>
        <w:tc>
          <w:tcPr>
            <w:tcW w:w="985" w:type="pct"/>
            <w:tcBorders>
              <w:left w:val="single" w:color="auto" w:sz="4" w:space="0"/>
              <w:right w:val="single" w:color="auto" w:sz="4" w:space="0"/>
            </w:tcBorders>
            <w:noWrap w:val="0"/>
            <w:vAlign w:val="center"/>
          </w:tcPr>
          <w:p w14:paraId="1C3C1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default" w:ascii="Times New Roman" w:hAnsi="Times New Roman" w:eastAsia="宋体" w:cs="Times New Roman"/>
                <w:color w:val="auto"/>
                <w:sz w:val="21"/>
                <w:szCs w:val="21"/>
                <w:highlight w:val="none"/>
                <w:lang w:eastAsia="zh-CN"/>
              </w:rPr>
              <w:t>天然气管道改建项目，</w:t>
            </w:r>
            <w:r>
              <w:rPr>
                <w:rFonts w:hint="default" w:ascii="Times New Roman" w:hAnsi="Times New Roman" w:eastAsia="宋体" w:cs="Times New Roman"/>
                <w:color w:val="auto"/>
                <w:sz w:val="21"/>
                <w:szCs w:val="21"/>
                <w:highlight w:val="none"/>
              </w:rPr>
              <w:t>不</w:t>
            </w:r>
            <w:r>
              <w:rPr>
                <w:rFonts w:hint="default" w:ascii="Times New Roman" w:hAnsi="Times New Roman" w:eastAsia="宋体" w:cs="Times New Roman"/>
                <w:color w:val="auto"/>
                <w:sz w:val="21"/>
                <w:szCs w:val="21"/>
                <w:highlight w:val="none"/>
                <w:lang w:val="en-US" w:eastAsia="zh-CN"/>
              </w:rPr>
              <w:t>涉及污水收集处理设施新建、修复改造</w:t>
            </w:r>
          </w:p>
        </w:tc>
        <w:tc>
          <w:tcPr>
            <w:tcW w:w="388" w:type="pct"/>
            <w:tcBorders>
              <w:left w:val="single" w:color="auto" w:sz="4" w:space="0"/>
              <w:right w:val="single" w:color="auto" w:sz="4" w:space="0"/>
            </w:tcBorders>
            <w:noWrap w:val="0"/>
            <w:vAlign w:val="center"/>
          </w:tcPr>
          <w:p w14:paraId="62E5F8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358D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361E18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046039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64" w:type="pct"/>
            <w:vMerge w:val="continue"/>
            <w:tcBorders>
              <w:left w:val="single" w:color="auto" w:sz="4" w:space="0"/>
              <w:right w:val="single" w:color="auto" w:sz="4" w:space="0"/>
            </w:tcBorders>
            <w:noWrap w:val="0"/>
            <w:vAlign w:val="center"/>
          </w:tcPr>
          <w:p w14:paraId="7E6DD2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607951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2.制定实施相配套的车辆提前淘汰鼓励政策，按照国家要求淘汰国三及以下排放标准的汽车，鼓励引导国四柴油货车提前淘汰更新。按照有关规定停止办理国三及以下排放标准汽车转入手续。</w:t>
            </w:r>
          </w:p>
        </w:tc>
        <w:tc>
          <w:tcPr>
            <w:tcW w:w="985" w:type="pct"/>
            <w:tcBorders>
              <w:left w:val="single" w:color="auto" w:sz="4" w:space="0"/>
              <w:right w:val="single" w:color="auto" w:sz="4" w:space="0"/>
            </w:tcBorders>
            <w:noWrap w:val="0"/>
            <w:vAlign w:val="center"/>
          </w:tcPr>
          <w:p w14:paraId="043A6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本项目不涉及车辆排放</w:t>
            </w:r>
          </w:p>
        </w:tc>
        <w:tc>
          <w:tcPr>
            <w:tcW w:w="388" w:type="pct"/>
            <w:tcBorders>
              <w:left w:val="single" w:color="auto" w:sz="4" w:space="0"/>
              <w:right w:val="single" w:color="auto" w:sz="4" w:space="0"/>
            </w:tcBorders>
            <w:noWrap w:val="0"/>
            <w:vAlign w:val="center"/>
          </w:tcPr>
          <w:p w14:paraId="2EA0EF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54EF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55A322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33A3A8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64" w:type="pct"/>
            <w:tcBorders>
              <w:left w:val="single" w:color="auto" w:sz="4" w:space="0"/>
              <w:right w:val="single" w:color="auto" w:sz="4" w:space="0"/>
            </w:tcBorders>
            <w:noWrap w:val="0"/>
            <w:vAlign w:val="center"/>
          </w:tcPr>
          <w:p w14:paraId="7FEE12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环境风险管控</w:t>
            </w: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1ED595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85" w:type="pct"/>
            <w:tcBorders>
              <w:left w:val="single" w:color="auto" w:sz="4" w:space="0"/>
              <w:right w:val="single" w:color="auto" w:sz="4" w:space="0"/>
            </w:tcBorders>
            <w:noWrap w:val="0"/>
            <w:vAlign w:val="center"/>
          </w:tcPr>
          <w:p w14:paraId="566054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8" w:type="pct"/>
            <w:tcBorders>
              <w:left w:val="single" w:color="auto" w:sz="4" w:space="0"/>
              <w:right w:val="single" w:color="auto" w:sz="4" w:space="0"/>
            </w:tcBorders>
            <w:noWrap w:val="0"/>
            <w:vAlign w:val="center"/>
          </w:tcPr>
          <w:p w14:paraId="5C3BD4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10CE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08" w:type="dxa"/>
            <w:bottom w:w="51" w:type="dxa"/>
            <w:right w:w="108" w:type="dxa"/>
          </w:tblCellMar>
        </w:tblPrEx>
        <w:trPr>
          <w:trHeight w:val="283" w:hRule="atLeast"/>
          <w:jc w:val="center"/>
        </w:trPr>
        <w:tc>
          <w:tcPr>
            <w:tcW w:w="307" w:type="pct"/>
            <w:vMerge w:val="continue"/>
            <w:tcBorders>
              <w:left w:val="single" w:color="auto" w:sz="4" w:space="0"/>
              <w:right w:val="single" w:color="auto" w:sz="4" w:space="0"/>
            </w:tcBorders>
            <w:noWrap w:val="0"/>
            <w:vAlign w:val="center"/>
          </w:tcPr>
          <w:p w14:paraId="26C90A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tcBorders>
              <w:left w:val="single" w:color="auto" w:sz="4" w:space="0"/>
              <w:right w:val="single" w:color="auto" w:sz="4" w:space="0"/>
            </w:tcBorders>
            <w:noWrap w:val="0"/>
            <w:vAlign w:val="center"/>
          </w:tcPr>
          <w:p w14:paraId="0834E6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64" w:type="pct"/>
            <w:tcBorders>
              <w:left w:val="single" w:color="auto" w:sz="4" w:space="0"/>
              <w:right w:val="single" w:color="auto" w:sz="4" w:space="0"/>
            </w:tcBorders>
            <w:noWrap w:val="0"/>
            <w:vAlign w:val="center"/>
          </w:tcPr>
          <w:p w14:paraId="5345C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资源开发效率要求</w:t>
            </w:r>
          </w:p>
        </w:tc>
        <w:tc>
          <w:tcPr>
            <w:tcW w:w="2722" w:type="pct"/>
            <w:gridSpan w:val="2"/>
            <w:tcBorders>
              <w:top w:val="single" w:color="auto" w:sz="4" w:space="0"/>
              <w:left w:val="single" w:color="auto" w:sz="4" w:space="0"/>
              <w:bottom w:val="single" w:color="auto" w:sz="4" w:space="0"/>
              <w:right w:val="single" w:color="auto" w:sz="4" w:space="0"/>
            </w:tcBorders>
            <w:noWrap w:val="0"/>
            <w:vAlign w:val="center"/>
          </w:tcPr>
          <w:p w14:paraId="5A7157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1.全面推进城镇绿色规划、绿色建设、绿色运行管理，推动低碳城市、韧性城市、海绵城市、“无废城市”建设；提高建筑节能标准，大力发展水能、风能，推广可再生能源等在城镇供热中的试点应用。</w:t>
            </w:r>
          </w:p>
        </w:tc>
        <w:tc>
          <w:tcPr>
            <w:tcW w:w="985" w:type="pct"/>
            <w:tcBorders>
              <w:left w:val="single" w:color="auto" w:sz="4" w:space="0"/>
              <w:right w:val="single" w:color="auto" w:sz="4" w:space="0"/>
            </w:tcBorders>
            <w:noWrap w:val="0"/>
            <w:vAlign w:val="center"/>
          </w:tcPr>
          <w:p w14:paraId="622012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388" w:type="pct"/>
            <w:tcBorders>
              <w:left w:val="single" w:color="auto" w:sz="4" w:space="0"/>
              <w:right w:val="single" w:color="auto" w:sz="4" w:space="0"/>
            </w:tcBorders>
            <w:noWrap w:val="0"/>
            <w:vAlign w:val="center"/>
          </w:tcPr>
          <w:p w14:paraId="2A4CE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bl>
    <w:p w14:paraId="752E3A1D">
      <w:pPr>
        <w:pStyle w:val="72"/>
        <w:rPr>
          <w:rFonts w:hint="default" w:ascii="Times New Roman" w:hAnsi="Times New Roman" w:eastAsia="宋体" w:cs="Times New Roman"/>
          <w:color w:val="auto"/>
        </w:rPr>
      </w:pPr>
    </w:p>
    <w:p w14:paraId="42DFD4D8">
      <w:pPr>
        <w:pStyle w:val="56"/>
        <w:ind w:firstLine="0" w:firstLineChars="0"/>
        <w:rPr>
          <w:rFonts w:hint="default" w:ascii="Times New Roman" w:hAnsi="Times New Roman" w:eastAsia="宋体" w:cs="Times New Roman"/>
          <w:color w:val="auto"/>
        </w:rPr>
        <w:sectPr>
          <w:pgSz w:w="16838" w:h="11906" w:orient="landscape"/>
          <w:pgMar w:top="1588" w:right="1418" w:bottom="1588" w:left="1418" w:header="851" w:footer="992" w:gutter="0"/>
          <w:pgBorders>
            <w:top w:val="none" w:sz="0" w:space="0"/>
            <w:left w:val="none" w:sz="0" w:space="0"/>
            <w:bottom w:val="none" w:sz="0" w:space="0"/>
            <w:right w:val="none" w:sz="0" w:space="0"/>
          </w:pgBorders>
          <w:cols w:space="720" w:num="1"/>
          <w:docGrid w:linePitch="312" w:charSpace="0"/>
        </w:sectPr>
      </w:pPr>
    </w:p>
    <w:p w14:paraId="2E777D7D">
      <w:pPr>
        <w:pStyle w:val="56"/>
        <w:rPr>
          <w:rFonts w:hint="default" w:ascii="Times New Roman" w:hAnsi="Times New Roman" w:eastAsia="宋体" w:cs="Times New Roman"/>
          <w:color w:val="auto"/>
        </w:rPr>
      </w:pPr>
      <w:r>
        <w:rPr>
          <w:rFonts w:hint="default" w:ascii="Times New Roman" w:hAnsi="Times New Roman" w:eastAsia="宋体" w:cs="Times New Roman"/>
          <w:b/>
          <w:bCs w:val="0"/>
          <w:color w:val="auto"/>
          <w:lang w:val="en-US" w:eastAsia="zh-CN"/>
        </w:rPr>
        <w:t>（11）</w:t>
      </w:r>
      <w:r>
        <w:rPr>
          <w:rFonts w:hint="default" w:ascii="Times New Roman" w:hAnsi="Times New Roman" w:eastAsia="宋体" w:cs="Times New Roman"/>
          <w:b/>
          <w:bCs w:val="0"/>
          <w:color w:val="auto"/>
        </w:rPr>
        <w:t>与永久基本农田相关要求的符合性分析</w:t>
      </w:r>
    </w:p>
    <w:p w14:paraId="00F39078">
      <w:pPr>
        <w:pStyle w:val="93"/>
        <w:ind w:firstLine="520"/>
        <w:rPr>
          <w:rFonts w:hint="default" w:ascii="Times New Roman" w:hAnsi="Times New Roman" w:eastAsia="宋体" w:cs="Times New Roman"/>
          <w:bCs/>
          <w:color w:val="auto"/>
        </w:rPr>
      </w:pPr>
      <w:r>
        <w:rPr>
          <w:rFonts w:hint="default" w:ascii="Times New Roman" w:hAnsi="Times New Roman" w:eastAsia="宋体" w:cs="Times New Roman"/>
          <w:color w:val="auto"/>
        </w:rPr>
        <w:t>本项目施工过程中将临时占用部分永久基本农田，临时用地到期后，应按照相关规定和复垦方案及时复垦恢复原种植条件，做好</w:t>
      </w:r>
      <w:r>
        <w:rPr>
          <w:rFonts w:hint="default" w:ascii="Times New Roman" w:hAnsi="Times New Roman" w:eastAsia="宋体" w:cs="Times New Roman"/>
          <w:color w:val="auto"/>
          <w:shd w:val="clear" w:fill="FFFFFF"/>
        </w:rPr>
        <w:t>复土</w:t>
      </w:r>
      <w:r>
        <w:rPr>
          <w:rFonts w:hint="default" w:ascii="Times New Roman" w:hAnsi="Times New Roman" w:eastAsia="宋体" w:cs="Times New Roman"/>
          <w:color w:val="auto"/>
        </w:rPr>
        <w:t>复耕。本项目与</w:t>
      </w:r>
      <w:r>
        <w:rPr>
          <w:rFonts w:hint="default" w:ascii="Times New Roman" w:hAnsi="Times New Roman" w:eastAsia="宋体" w:cs="Times New Roman"/>
          <w:bCs/>
          <w:color w:val="auto"/>
        </w:rPr>
        <w:t>永久基本农田的保护要求及相关规定的符合性分析如下：</w:t>
      </w:r>
    </w:p>
    <w:p w14:paraId="57B05ACB">
      <w:pPr>
        <w:pStyle w:val="88"/>
        <w:rPr>
          <w:rFonts w:hint="default" w:ascii="Times New Roman" w:hAnsi="Times New Roman" w:eastAsia="宋体" w:cs="Times New Roman"/>
          <w:color w:val="auto"/>
        </w:rPr>
      </w:pPr>
    </w:p>
    <w:p w14:paraId="39F68A91">
      <w:pPr>
        <w:pStyle w:val="85"/>
        <w:rPr>
          <w:rFonts w:hint="default" w:ascii="Times New Roman" w:hAnsi="Times New Roman" w:eastAsia="宋体" w:cs="Times New Roman"/>
          <w:color w:val="auto"/>
        </w:rPr>
      </w:pPr>
      <w:r>
        <w:rPr>
          <w:rFonts w:hint="default" w:ascii="Times New Roman" w:hAnsi="Times New Roman" w:eastAsia="宋体" w:cs="Times New Roman"/>
          <w:color w:val="auto"/>
        </w:rPr>
        <w:t>表1.3-</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本项目与永久基本农田要求的符合性分析</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4291"/>
        <w:gridCol w:w="2220"/>
        <w:gridCol w:w="896"/>
      </w:tblGrid>
      <w:tr w14:paraId="5602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blHeader/>
          <w:jc w:val="center"/>
        </w:trPr>
        <w:tc>
          <w:tcPr>
            <w:tcW w:w="858" w:type="pct"/>
            <w:noWrap w:val="0"/>
            <w:vAlign w:val="center"/>
          </w:tcPr>
          <w:p w14:paraId="7F3B8F29">
            <w:pPr>
              <w:pStyle w:val="10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文件</w:t>
            </w:r>
            <w:r>
              <w:rPr>
                <w:rFonts w:hint="default" w:ascii="Times New Roman" w:hAnsi="Times New Roman" w:eastAsia="宋体" w:cs="Times New Roman"/>
                <w:color w:val="auto"/>
                <w:sz w:val="22"/>
                <w:szCs w:val="22"/>
                <w:lang w:val="en-US" w:eastAsia="zh-CN"/>
              </w:rPr>
              <w:t>名称</w:t>
            </w:r>
          </w:p>
        </w:tc>
        <w:tc>
          <w:tcPr>
            <w:tcW w:w="2399" w:type="pct"/>
            <w:noWrap w:val="0"/>
            <w:vAlign w:val="center"/>
          </w:tcPr>
          <w:p w14:paraId="57E1E2AB">
            <w:pPr>
              <w:pStyle w:val="100"/>
              <w:spacing w:line="240" w:lineRule="auto"/>
              <w:ind w:firstLine="0" w:firstLineChars="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保护要求</w:t>
            </w:r>
          </w:p>
        </w:tc>
        <w:tc>
          <w:tcPr>
            <w:tcW w:w="1241" w:type="pct"/>
            <w:noWrap w:val="0"/>
            <w:vAlign w:val="center"/>
          </w:tcPr>
          <w:p w14:paraId="72AEFE0D">
            <w:pPr>
              <w:pStyle w:val="100"/>
              <w:spacing w:line="240" w:lineRule="auto"/>
              <w:ind w:firstLine="0" w:firstLineChars="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本项目的执行情况</w:t>
            </w:r>
          </w:p>
        </w:tc>
        <w:tc>
          <w:tcPr>
            <w:tcW w:w="501" w:type="pct"/>
            <w:noWrap w:val="0"/>
            <w:vAlign w:val="center"/>
          </w:tcPr>
          <w:p w14:paraId="7253794B">
            <w:pPr>
              <w:pStyle w:val="10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符合性</w:t>
            </w:r>
          </w:p>
        </w:tc>
      </w:tr>
      <w:tr w14:paraId="7078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8" w:type="pct"/>
            <w:vMerge w:val="restart"/>
            <w:noWrap w:val="0"/>
            <w:vAlign w:val="center"/>
          </w:tcPr>
          <w:p w14:paraId="6C096E6F">
            <w:pPr>
              <w:pStyle w:val="100"/>
              <w:spacing w:line="240" w:lineRule="auto"/>
              <w:ind w:firstLine="0" w:firstLineChars="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《基本农田保护条例》（2011.1.8修订）</w:t>
            </w:r>
          </w:p>
        </w:tc>
        <w:tc>
          <w:tcPr>
            <w:tcW w:w="2399" w:type="pct"/>
            <w:noWrap w:val="0"/>
            <w:vAlign w:val="center"/>
          </w:tcPr>
          <w:p w14:paraId="005C228C">
            <w:pPr>
              <w:pStyle w:val="100"/>
              <w:spacing w:line="240" w:lineRule="auto"/>
              <w:ind w:firstLine="0" w:firstLineChars="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第十五条</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tc>
        <w:tc>
          <w:tcPr>
            <w:tcW w:w="1241" w:type="pct"/>
            <w:noWrap w:val="0"/>
            <w:vAlign w:val="center"/>
          </w:tcPr>
          <w:p w14:paraId="5F41FE21">
            <w:pPr>
              <w:pStyle w:val="100"/>
              <w:spacing w:line="240" w:lineRule="auto"/>
              <w:ind w:firstLine="0" w:firstLineChars="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本项目无永久占地。</w:t>
            </w:r>
          </w:p>
        </w:tc>
        <w:tc>
          <w:tcPr>
            <w:tcW w:w="501" w:type="pct"/>
            <w:noWrap w:val="0"/>
            <w:vAlign w:val="center"/>
          </w:tcPr>
          <w:p w14:paraId="6816C821">
            <w:pPr>
              <w:spacing w:line="240" w:lineRule="auto"/>
              <w:ind w:firstLine="0" w:firstLineChars="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符合</w:t>
            </w:r>
          </w:p>
        </w:tc>
      </w:tr>
      <w:tr w14:paraId="0AC4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8" w:type="pct"/>
            <w:vMerge w:val="continue"/>
            <w:noWrap w:val="0"/>
            <w:vAlign w:val="center"/>
          </w:tcPr>
          <w:p w14:paraId="5C217080">
            <w:pPr>
              <w:pStyle w:val="100"/>
              <w:spacing w:line="240" w:lineRule="auto"/>
              <w:ind w:firstLine="0" w:firstLineChars="0"/>
              <w:jc w:val="center"/>
              <w:rPr>
                <w:rFonts w:hint="default" w:ascii="Times New Roman" w:hAnsi="Times New Roman" w:eastAsia="宋体" w:cs="Times New Roman"/>
                <w:color w:val="auto"/>
                <w:sz w:val="22"/>
                <w:szCs w:val="22"/>
              </w:rPr>
            </w:pPr>
          </w:p>
        </w:tc>
        <w:tc>
          <w:tcPr>
            <w:tcW w:w="2399" w:type="pct"/>
            <w:noWrap w:val="0"/>
            <w:vAlign w:val="center"/>
          </w:tcPr>
          <w:p w14:paraId="55CE29B6">
            <w:pPr>
              <w:pStyle w:val="100"/>
              <w:spacing w:line="240" w:lineRule="auto"/>
              <w:ind w:firstLine="0" w:firstLineChars="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第十七条</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禁止任何单位和个人在基本农田保护区内建窑、建房、建坟、挖砂、采石、采矿、取土、堆放固体废弃物或者进行其他破坏基本农田的活动。禁止任何单位和个人占用基本农田发展林果业和挖塘养鱼。</w:t>
            </w:r>
          </w:p>
        </w:tc>
        <w:tc>
          <w:tcPr>
            <w:tcW w:w="1241" w:type="pct"/>
            <w:noWrap w:val="0"/>
            <w:vAlign w:val="center"/>
          </w:tcPr>
          <w:p w14:paraId="41D8EF55">
            <w:pPr>
              <w:pStyle w:val="100"/>
              <w:spacing w:line="240" w:lineRule="auto"/>
              <w:ind w:firstLine="0" w:firstLineChars="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本项目属于</w:t>
            </w:r>
            <w:r>
              <w:rPr>
                <w:rFonts w:hint="default" w:ascii="Times New Roman" w:hAnsi="Times New Roman" w:eastAsia="宋体" w:cs="Times New Roman"/>
                <w:color w:val="auto"/>
                <w:sz w:val="22"/>
                <w:szCs w:val="22"/>
                <w:lang w:val="en-US" w:eastAsia="zh-CN"/>
              </w:rPr>
              <w:t>天然气管道改建项目</w:t>
            </w:r>
            <w:r>
              <w:rPr>
                <w:rFonts w:hint="default" w:ascii="Times New Roman" w:hAnsi="Times New Roman" w:eastAsia="宋体" w:cs="Times New Roman"/>
                <w:color w:val="auto"/>
                <w:sz w:val="22"/>
                <w:szCs w:val="22"/>
              </w:rPr>
              <w:t>，不属于保护条例中禁止建设的项目</w:t>
            </w:r>
          </w:p>
        </w:tc>
        <w:tc>
          <w:tcPr>
            <w:tcW w:w="501" w:type="pct"/>
            <w:noWrap w:val="0"/>
            <w:vAlign w:val="center"/>
          </w:tcPr>
          <w:p w14:paraId="0616C363">
            <w:pPr>
              <w:spacing w:line="240" w:lineRule="auto"/>
              <w:ind w:firstLine="0" w:firstLineChars="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符合</w:t>
            </w:r>
          </w:p>
        </w:tc>
      </w:tr>
      <w:tr w14:paraId="5A4B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8" w:type="pct"/>
            <w:noWrap w:val="0"/>
            <w:vAlign w:val="center"/>
          </w:tcPr>
          <w:p w14:paraId="635DD2B1">
            <w:pPr>
              <w:pStyle w:val="100"/>
              <w:spacing w:line="240" w:lineRule="auto"/>
              <w:ind w:firstLine="0" w:firstLineChars="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《中华人民共和国土地管理法实施条例》（2021年7月2日中华人民共和国国务院令第743号第三次修订）</w:t>
            </w:r>
          </w:p>
        </w:tc>
        <w:tc>
          <w:tcPr>
            <w:tcW w:w="2399" w:type="pct"/>
            <w:noWrap w:val="0"/>
            <w:vAlign w:val="center"/>
          </w:tcPr>
          <w:p w14:paraId="3C225F0C">
            <w:pPr>
              <w:pStyle w:val="100"/>
              <w:spacing w:line="240" w:lineRule="auto"/>
              <w:ind w:firstLine="0" w:firstLineChars="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建设项目施工、地质勘查需要临时使用土地的，应当尽量不占或者少占耕地。临时用地由县级以上人民政府自然资源主管部门批准，期限一般不超过二年；建设周期较长的能源、交通、水利等基础设施建设使用的临时用地，期限不超过四年；法律、行政法规另有规定的除外。土地使用者应当自临时用地期满之日起一年内完成土地复垦，使其达到可供利用状态，其中占用耕地的应当恢复种植条件。</w:t>
            </w:r>
          </w:p>
        </w:tc>
        <w:tc>
          <w:tcPr>
            <w:tcW w:w="1241" w:type="pct"/>
            <w:noWrap w:val="0"/>
            <w:vAlign w:val="center"/>
          </w:tcPr>
          <w:p w14:paraId="5041A3D0">
            <w:pPr>
              <w:pStyle w:val="100"/>
              <w:spacing w:line="240" w:lineRule="auto"/>
              <w:ind w:firstLine="0" w:firstLineChars="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项目为天然气管线工程，选线无法避让耕地（永久基本农田），且为临时用地，项目施工结束后对土地进行复垦，恢复至原有耕地水平。</w:t>
            </w:r>
          </w:p>
        </w:tc>
        <w:tc>
          <w:tcPr>
            <w:tcW w:w="501" w:type="pct"/>
            <w:noWrap w:val="0"/>
            <w:vAlign w:val="center"/>
          </w:tcPr>
          <w:p w14:paraId="1F3F34D9">
            <w:pPr>
              <w:spacing w:line="240" w:lineRule="auto"/>
              <w:ind w:firstLine="0" w:firstLineChars="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符合</w:t>
            </w:r>
          </w:p>
        </w:tc>
      </w:tr>
      <w:tr w14:paraId="5F80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8" w:type="pct"/>
            <w:noWrap w:val="0"/>
            <w:vAlign w:val="center"/>
          </w:tcPr>
          <w:p w14:paraId="0BE10530">
            <w:pPr>
              <w:pStyle w:val="100"/>
              <w:spacing w:line="240" w:lineRule="auto"/>
              <w:ind w:firstLine="0" w:firstLineChars="0"/>
              <w:jc w:val="center"/>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color w:val="auto"/>
                <w:sz w:val="22"/>
                <w:szCs w:val="22"/>
              </w:rPr>
              <w:t>《永久基本农田保护红线管理办法》（自2025年10月1日起施行）</w:t>
            </w:r>
          </w:p>
        </w:tc>
        <w:tc>
          <w:tcPr>
            <w:tcW w:w="2399" w:type="pct"/>
            <w:noWrap w:val="0"/>
            <w:vAlign w:val="center"/>
          </w:tcPr>
          <w:p w14:paraId="2A103758">
            <w:pPr>
              <w:pStyle w:val="100"/>
              <w:spacing w:line="240" w:lineRule="auto"/>
              <w:ind w:firstLine="0" w:firstLineChars="0"/>
              <w:jc w:val="both"/>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color w:val="auto"/>
                <w:sz w:val="22"/>
                <w:szCs w:val="22"/>
              </w:rPr>
              <w:t>第四条 永久基本农田划定落实到具体地块，并向社会公告。永久基本农田划定后，任何单位和个人不得擅自调整、占用或者改变用途。禁止在生态保护红线、城镇开发边界调整过程中，擅自调整永久基本农田保护红线。</w:t>
            </w:r>
          </w:p>
        </w:tc>
        <w:tc>
          <w:tcPr>
            <w:tcW w:w="1241" w:type="pct"/>
            <w:noWrap w:val="0"/>
            <w:vAlign w:val="center"/>
          </w:tcPr>
          <w:p w14:paraId="58C7C341">
            <w:pPr>
              <w:pStyle w:val="100"/>
              <w:spacing w:line="240" w:lineRule="auto"/>
              <w:ind w:firstLine="0" w:firstLineChars="0"/>
              <w:jc w:val="both"/>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color w:val="auto"/>
                <w:kern w:val="44"/>
                <w:sz w:val="22"/>
                <w:szCs w:val="22"/>
                <w:lang w:val="en-US" w:eastAsia="zh-CN" w:bidi="ar-SA"/>
              </w:rPr>
              <w:t>项目不涉及永久占地，不涉及农用地转为建设用地。</w:t>
            </w:r>
          </w:p>
        </w:tc>
        <w:tc>
          <w:tcPr>
            <w:tcW w:w="501" w:type="pct"/>
            <w:noWrap w:val="0"/>
            <w:vAlign w:val="center"/>
          </w:tcPr>
          <w:p w14:paraId="7D9BC02A">
            <w:pPr>
              <w:spacing w:line="240" w:lineRule="auto"/>
              <w:ind w:firstLine="0" w:firstLineChars="0"/>
              <w:jc w:val="center"/>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color w:val="auto"/>
                <w:sz w:val="22"/>
                <w:szCs w:val="22"/>
                <w:lang w:val="en-US" w:eastAsia="zh-CN"/>
              </w:rPr>
              <w:t>符合</w:t>
            </w:r>
          </w:p>
        </w:tc>
      </w:tr>
      <w:tr w14:paraId="707A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8" w:type="pct"/>
            <w:noWrap w:val="0"/>
            <w:vAlign w:val="center"/>
          </w:tcPr>
          <w:p w14:paraId="58B2370A">
            <w:pPr>
              <w:pStyle w:val="100"/>
              <w:spacing w:line="240" w:lineRule="auto"/>
              <w:ind w:firstLine="0" w:firstLineChars="0"/>
              <w:jc w:val="center"/>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color w:val="auto"/>
                <w:kern w:val="44"/>
                <w:sz w:val="22"/>
                <w:szCs w:val="22"/>
                <w:lang w:val="en-US" w:eastAsia="zh-CN" w:bidi="ar-SA"/>
              </w:rPr>
              <w:t>《重庆市土地管理条例》（</w:t>
            </w:r>
            <w:r>
              <w:rPr>
                <w:rFonts w:hint="default" w:ascii="Times New Roman" w:hAnsi="Times New Roman" w:eastAsia="宋体" w:cs="Times New Roman"/>
                <w:color w:val="auto"/>
                <w:sz w:val="22"/>
                <w:szCs w:val="22"/>
              </w:rPr>
              <w:t>自2025年1月1日起施行</w:t>
            </w:r>
            <w:r>
              <w:rPr>
                <w:rFonts w:hint="default" w:ascii="Times New Roman" w:hAnsi="Times New Roman" w:eastAsia="宋体" w:cs="Times New Roman"/>
                <w:color w:val="auto"/>
                <w:kern w:val="44"/>
                <w:sz w:val="22"/>
                <w:szCs w:val="22"/>
                <w:lang w:val="en-US" w:eastAsia="zh-CN" w:bidi="ar-SA"/>
              </w:rPr>
              <w:t>）</w:t>
            </w:r>
          </w:p>
        </w:tc>
        <w:tc>
          <w:tcPr>
            <w:tcW w:w="2399" w:type="pct"/>
            <w:noWrap w:val="0"/>
            <w:vAlign w:val="center"/>
          </w:tcPr>
          <w:p w14:paraId="523E173B">
            <w:pPr>
              <w:pStyle w:val="100"/>
              <w:spacing w:line="240" w:lineRule="auto"/>
              <w:ind w:firstLine="0" w:firstLineChars="0"/>
              <w:jc w:val="both"/>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color w:val="auto"/>
                <w:kern w:val="44"/>
                <w:sz w:val="22"/>
                <w:szCs w:val="22"/>
                <w:lang w:val="en-US" w:eastAsia="zh-CN" w:bidi="ar-SA"/>
              </w:rPr>
              <w:t>织密耕地保护“制度网”。一是建立健全耕地保护责任目标考核制度。市区两级政府应当将耕地保护责任目标落实情况纳入对本级人民政府有关部门负责人、下级人民政府及其负责人的考核评价内容。二是严格落实耕地用途管制制度。按照国家规定加强耕地种植用途管控，落实耕地利用优先序。三是加强对永久基本农田的保护。明确划定永久基本农田的程序，禁止擅自调整永久基本农田。四是切实推动土地复垦。明确依法承担复垦义务的情形、主体和流程，并要求复垦后耕地数量不减少、质量不降低。</w:t>
            </w:r>
          </w:p>
        </w:tc>
        <w:tc>
          <w:tcPr>
            <w:tcW w:w="1241" w:type="pct"/>
            <w:noWrap w:val="0"/>
            <w:vAlign w:val="center"/>
          </w:tcPr>
          <w:p w14:paraId="3CB9CF0C">
            <w:pPr>
              <w:pStyle w:val="100"/>
              <w:spacing w:line="240" w:lineRule="auto"/>
              <w:ind w:firstLine="0" w:firstLineChars="0"/>
              <w:jc w:val="both"/>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color w:val="auto"/>
                <w:sz w:val="22"/>
                <w:szCs w:val="22"/>
              </w:rPr>
              <w:t>项目为天然气管线工程，选线无法避让耕地（永久基本农田），且为临时用地，项目施工结束后对土地进行复垦，恢复至原有耕地水平。</w:t>
            </w:r>
          </w:p>
        </w:tc>
        <w:tc>
          <w:tcPr>
            <w:tcW w:w="501" w:type="pct"/>
            <w:noWrap w:val="0"/>
            <w:vAlign w:val="center"/>
          </w:tcPr>
          <w:p w14:paraId="292B97EC">
            <w:pPr>
              <w:spacing w:line="240" w:lineRule="auto"/>
              <w:ind w:firstLine="0" w:firstLineChars="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符合</w:t>
            </w:r>
          </w:p>
        </w:tc>
      </w:tr>
    </w:tbl>
    <w:p w14:paraId="57E2097A">
      <w:pPr>
        <w:pStyle w:val="88"/>
        <w:rPr>
          <w:rFonts w:hint="default" w:ascii="Times New Roman" w:hAnsi="Times New Roman" w:eastAsia="宋体" w:cs="Times New Roman"/>
          <w:color w:val="auto"/>
        </w:rPr>
      </w:pPr>
    </w:p>
    <w:p w14:paraId="774D7E16">
      <w:pPr>
        <w:pStyle w:val="56"/>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本项目为</w:t>
      </w:r>
      <w:r>
        <w:rPr>
          <w:rFonts w:hint="default" w:ascii="Times New Roman" w:hAnsi="Times New Roman" w:eastAsia="宋体" w:cs="Times New Roman"/>
          <w:color w:val="auto"/>
          <w:lang w:eastAsia="zh-CN"/>
        </w:rPr>
        <w:t>天然气管道改建项目</w:t>
      </w:r>
      <w:r>
        <w:rPr>
          <w:rFonts w:hint="default" w:ascii="Times New Roman" w:hAnsi="Times New Roman" w:eastAsia="宋体" w:cs="Times New Roman"/>
          <w:bCs/>
          <w:color w:val="auto"/>
        </w:rPr>
        <w:t>，全线位于农村区域，周边土地多为耕地（永久基本农田），无法完全避让永久基本农田，项目占地均为临时占地，不涉及永久占地，不涉及农用地转为建设用地，项目已通过优化临时材料堆场尽量少占耕地（永久基本农田）。施工过程中将临时占地范围内的耕作层土壤剥离后用于复垦，减少对耕作层的破坏。项目施工结束后立即对土地进行复垦，恢复耕地种植条件，保证恢复至原有耕地水平，项目不属于破坏基本农田的活动。项目施工周期较短，临时占地范围内不修建永久性建筑物。</w:t>
      </w:r>
    </w:p>
    <w:p w14:paraId="6CEFD060">
      <w:pPr>
        <w:pStyle w:val="56"/>
        <w:rPr>
          <w:rFonts w:hint="default" w:ascii="Times New Roman" w:hAnsi="Times New Roman" w:eastAsia="宋体" w:cs="Times New Roman"/>
          <w:bCs/>
          <w:color w:val="auto"/>
        </w:rPr>
      </w:pPr>
      <w:r>
        <w:rPr>
          <w:rFonts w:hint="default" w:ascii="Times New Roman" w:hAnsi="Times New Roman" w:eastAsia="宋体" w:cs="Times New Roman"/>
          <w:bCs/>
          <w:color w:val="auto"/>
        </w:rPr>
        <w:t>项目土地复垦方案、临时用地审批手续正在办理过程中。本次环评提出要求，建设单位需在开工前取得临时用地审批手续，并按照临时使用土地合同、土地复垦方案进行施工和复垦，确保耕地面积不减少、质量不降低。</w:t>
      </w:r>
    </w:p>
    <w:p w14:paraId="4EC92237">
      <w:pPr>
        <w:pStyle w:val="56"/>
        <w:rPr>
          <w:rFonts w:hint="default" w:ascii="Times New Roman" w:hAnsi="Times New Roman" w:eastAsia="宋体" w:cs="Times New Roman"/>
          <w:bCs/>
          <w:color w:val="auto"/>
        </w:rPr>
      </w:pPr>
      <w:r>
        <w:rPr>
          <w:rFonts w:hint="default" w:ascii="Times New Roman" w:hAnsi="Times New Roman" w:eastAsia="宋体" w:cs="Times New Roman"/>
          <w:bCs/>
          <w:color w:val="auto"/>
        </w:rPr>
        <w:t>因此，项目建设与《中华人民共和国土地管理法》《基本农田保护条例》《永久基本农田保护红线管理办法》（自2025年10月1日起施行）以及《重庆市土地管理条例》（自2025年1月1日起施行）中相关要求不冲突。</w:t>
      </w:r>
    </w:p>
    <w:p w14:paraId="2DA9F8F3">
      <w:pPr>
        <w:spacing w:line="500" w:lineRule="exact"/>
        <w:ind w:firstLine="522"/>
        <w:rPr>
          <w:rFonts w:hint="default" w:ascii="Times New Roman" w:hAnsi="Times New Roman" w:eastAsia="宋体" w:cs="Times New Roman"/>
          <w:b/>
          <w:bCs w:val="0"/>
          <w:color w:val="auto"/>
          <w:sz w:val="26"/>
          <w:szCs w:val="26"/>
          <w:lang w:val="en-US" w:eastAsia="zh-CN"/>
        </w:rPr>
      </w:pPr>
      <w:r>
        <w:rPr>
          <w:rFonts w:hint="default" w:ascii="Times New Roman" w:hAnsi="Times New Roman" w:eastAsia="宋体" w:cs="Times New Roman"/>
          <w:b/>
          <w:bCs w:val="0"/>
          <w:color w:val="auto"/>
          <w:sz w:val="26"/>
          <w:szCs w:val="26"/>
          <w:lang w:val="en-US" w:eastAsia="zh-CN"/>
        </w:rPr>
        <w:t>（12）项目穿越天然林的符合性分析</w:t>
      </w:r>
    </w:p>
    <w:p w14:paraId="485FA630">
      <w:pPr>
        <w:pStyle w:val="56"/>
        <w:rPr>
          <w:rFonts w:hint="default" w:ascii="Times New Roman" w:hAnsi="Times New Roman" w:eastAsia="宋体" w:cs="Times New Roman"/>
          <w:bCs/>
          <w:color w:val="auto"/>
        </w:rPr>
      </w:pPr>
      <w:r>
        <w:rPr>
          <w:rFonts w:hint="default" w:ascii="Times New Roman" w:hAnsi="Times New Roman" w:eastAsia="宋体" w:cs="Times New Roman"/>
          <w:color w:val="auto"/>
          <w:kern w:val="2"/>
          <w:sz w:val="26"/>
          <w:szCs w:val="26"/>
          <w:lang w:val="en-US" w:eastAsia="zh-CN" w:bidi="ar-SA"/>
        </w:rPr>
        <w:t>本项目约622.35m管线经过天然林，临时占地所涉面积约0.38hm</w:t>
      </w:r>
      <w:r>
        <w:rPr>
          <w:rFonts w:hint="default" w:ascii="Times New Roman" w:hAnsi="Times New Roman" w:eastAsia="宋体" w:cs="Times New Roman"/>
          <w:color w:val="auto"/>
          <w:kern w:val="2"/>
          <w:sz w:val="26"/>
          <w:szCs w:val="26"/>
          <w:vertAlign w:val="superscript"/>
          <w:lang w:val="en-US" w:eastAsia="zh-CN" w:bidi="ar-SA"/>
        </w:rPr>
        <w:t>2</w:t>
      </w:r>
      <w:r>
        <w:rPr>
          <w:rFonts w:hint="default" w:ascii="Times New Roman" w:hAnsi="Times New Roman" w:eastAsia="宋体" w:cs="Times New Roman"/>
          <w:color w:val="auto"/>
          <w:kern w:val="2"/>
          <w:sz w:val="26"/>
          <w:szCs w:val="26"/>
          <w:vertAlign w:val="baseline"/>
          <w:lang w:val="en-US" w:eastAsia="zh-CN" w:bidi="ar-SA"/>
        </w:rPr>
        <w:t>。项目穿越天然林政策符合性分析见下表。</w:t>
      </w:r>
    </w:p>
    <w:p w14:paraId="14F01E11">
      <w:pPr>
        <w:pStyle w:val="85"/>
        <w:rPr>
          <w:rFonts w:hint="default" w:ascii="Times New Roman" w:hAnsi="Times New Roman" w:eastAsia="宋体" w:cs="Times New Roman"/>
          <w:color w:val="auto"/>
        </w:rPr>
      </w:pPr>
      <w:r>
        <w:rPr>
          <w:rFonts w:hint="default" w:ascii="Times New Roman" w:hAnsi="Times New Roman" w:eastAsia="宋体" w:cs="Times New Roman"/>
          <w:color w:val="auto"/>
        </w:rPr>
        <w:t>表1.3-</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 xml:space="preserve">  项目</w:t>
      </w:r>
      <w:r>
        <w:rPr>
          <w:rFonts w:hint="default" w:ascii="Times New Roman" w:hAnsi="Times New Roman" w:eastAsia="宋体" w:cs="Times New Roman"/>
          <w:color w:val="auto"/>
          <w:lang w:val="en-US" w:eastAsia="zh-CN"/>
        </w:rPr>
        <w:t>穿越天然林</w:t>
      </w:r>
      <w:r>
        <w:rPr>
          <w:rFonts w:hint="default" w:ascii="Times New Roman" w:hAnsi="Times New Roman" w:eastAsia="宋体" w:cs="Times New Roman"/>
          <w:color w:val="auto"/>
        </w:rPr>
        <w:t>符合性分析</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3769"/>
        <w:gridCol w:w="2746"/>
        <w:gridCol w:w="896"/>
      </w:tblGrid>
      <w:tr w14:paraId="4295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blHeader/>
          <w:jc w:val="center"/>
        </w:trPr>
        <w:tc>
          <w:tcPr>
            <w:tcW w:w="855" w:type="pct"/>
            <w:noWrap w:val="0"/>
            <w:vAlign w:val="center"/>
          </w:tcPr>
          <w:p w14:paraId="4C00C312">
            <w:pPr>
              <w:pStyle w:val="100"/>
              <w:spacing w:line="240" w:lineRule="auto"/>
              <w:ind w:firstLine="0" w:firstLineChars="0"/>
              <w:jc w:val="center"/>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rPr>
              <w:t>文件</w:t>
            </w:r>
            <w:r>
              <w:rPr>
                <w:rFonts w:hint="default" w:ascii="Times New Roman" w:hAnsi="Times New Roman" w:eastAsia="宋体" w:cs="Times New Roman"/>
                <w:b/>
                <w:bCs/>
                <w:color w:val="auto"/>
                <w:sz w:val="22"/>
                <w:szCs w:val="22"/>
                <w:lang w:val="en-US" w:eastAsia="zh-CN"/>
              </w:rPr>
              <w:t>名称</w:t>
            </w:r>
          </w:p>
        </w:tc>
        <w:tc>
          <w:tcPr>
            <w:tcW w:w="2107" w:type="pct"/>
            <w:noWrap w:val="0"/>
            <w:vAlign w:val="center"/>
          </w:tcPr>
          <w:p w14:paraId="3E836728">
            <w:pPr>
              <w:pStyle w:val="100"/>
              <w:spacing w:line="240" w:lineRule="auto"/>
              <w:ind w:firstLine="0" w:firstLineChars="0"/>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保护要求</w:t>
            </w:r>
          </w:p>
        </w:tc>
        <w:tc>
          <w:tcPr>
            <w:tcW w:w="1535" w:type="pct"/>
            <w:noWrap w:val="0"/>
            <w:vAlign w:val="center"/>
          </w:tcPr>
          <w:p w14:paraId="28AF8FC2">
            <w:pPr>
              <w:pStyle w:val="100"/>
              <w:spacing w:line="240" w:lineRule="auto"/>
              <w:ind w:firstLine="0" w:firstLineChars="0"/>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本项目的执行情况</w:t>
            </w:r>
          </w:p>
        </w:tc>
        <w:tc>
          <w:tcPr>
            <w:tcW w:w="501" w:type="pct"/>
            <w:noWrap w:val="0"/>
            <w:vAlign w:val="center"/>
          </w:tcPr>
          <w:p w14:paraId="6C47338F">
            <w:pPr>
              <w:pStyle w:val="100"/>
              <w:spacing w:line="240" w:lineRule="auto"/>
              <w:ind w:firstLine="0" w:firstLineChars="0"/>
              <w:jc w:val="center"/>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符合性</w:t>
            </w:r>
          </w:p>
        </w:tc>
      </w:tr>
      <w:tr w14:paraId="0D72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5" w:type="pct"/>
            <w:noWrap w:val="0"/>
            <w:vAlign w:val="center"/>
          </w:tcPr>
          <w:p w14:paraId="6E68DD6A">
            <w:pPr>
              <w:autoSpaceDE w:val="0"/>
              <w:autoSpaceDN w:val="0"/>
              <w:snapToGrid w:val="0"/>
              <w:spacing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《中华人民共和国森林法》</w:t>
            </w:r>
          </w:p>
        </w:tc>
        <w:tc>
          <w:tcPr>
            <w:tcW w:w="2107" w:type="pct"/>
            <w:noWrap w:val="0"/>
            <w:vAlign w:val="center"/>
          </w:tcPr>
          <w:p w14:paraId="42ECB3EC">
            <w:pPr>
              <w:snapToGrid w:val="0"/>
              <w:spacing w:line="240" w:lineRule="auto"/>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第三十二条：国家实行天然林全面保护制度，严格限制天然林采伐，加强天然林管护能力建设，保护和修复天然林资源，逐步提高天然林生态功能。具体办法由国务院规定。</w:t>
            </w:r>
          </w:p>
          <w:p w14:paraId="345BDA24">
            <w:pPr>
              <w:snapToGrid w:val="0"/>
              <w:spacing w:line="240" w:lineRule="auto"/>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第三十八条</w:t>
            </w:r>
            <w:r>
              <w:rPr>
                <w:rFonts w:hint="default"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需要临时使用林地的，应当经县级以上人民政府林业主管部门批准；临时使用林地的期限一般不超过二年，并不得在临时使用的林地上修建永久性建筑物。临时使用林地期满后一年内，用地单位或者个人应当恢复植被和林业生产条件。</w:t>
            </w:r>
          </w:p>
        </w:tc>
        <w:tc>
          <w:tcPr>
            <w:tcW w:w="1535" w:type="pct"/>
            <w:noWrap w:val="0"/>
            <w:vAlign w:val="center"/>
          </w:tcPr>
          <w:p w14:paraId="79A6C8A3">
            <w:pPr>
              <w:snapToGrid w:val="0"/>
              <w:spacing w:line="240" w:lineRule="auto"/>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本项目管道选线无法避免临时占用天然林项目施工期短，临时占地范围内不修建永久性建筑物，项目管线临时占地不会超过两年，施工结束后及时恢复植被和林业生产条件，</w:t>
            </w:r>
            <w:r>
              <w:rPr>
                <w:rFonts w:hint="default" w:ascii="Times New Roman" w:hAnsi="Times New Roman" w:eastAsia="宋体" w:cs="Times New Roman"/>
                <w:b w:val="0"/>
                <w:color w:val="auto"/>
                <w:sz w:val="22"/>
                <w:szCs w:val="22"/>
                <w:highlight w:val="none"/>
                <w:lang w:val="en-US" w:eastAsia="zh-CN"/>
              </w:rPr>
              <w:t>建设单位正在</w:t>
            </w:r>
            <w:r>
              <w:rPr>
                <w:rFonts w:hint="default" w:ascii="Times New Roman" w:hAnsi="Times New Roman" w:eastAsia="宋体" w:cs="Times New Roman"/>
                <w:color w:val="auto"/>
                <w:sz w:val="22"/>
                <w:szCs w:val="22"/>
              </w:rPr>
              <w:t>办理</w:t>
            </w:r>
            <w:r>
              <w:rPr>
                <w:rFonts w:hint="default" w:ascii="Times New Roman" w:hAnsi="Times New Roman" w:eastAsia="宋体" w:cs="Times New Roman"/>
                <w:bCs/>
                <w:color w:val="auto"/>
                <w:kern w:val="2"/>
                <w:sz w:val="22"/>
                <w:szCs w:val="22"/>
                <w:lang w:val="en-US" w:eastAsia="zh-CN" w:bidi="ar-SA"/>
              </w:rPr>
              <w:t>临时占用林地准予行政许可文件。</w:t>
            </w:r>
          </w:p>
        </w:tc>
        <w:tc>
          <w:tcPr>
            <w:tcW w:w="501" w:type="pct"/>
            <w:noWrap w:val="0"/>
            <w:vAlign w:val="center"/>
          </w:tcPr>
          <w:p w14:paraId="1734E869">
            <w:pPr>
              <w:spacing w:line="240" w:lineRule="auto"/>
              <w:ind w:firstLine="0" w:firstLineChars="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符合</w:t>
            </w:r>
          </w:p>
        </w:tc>
      </w:tr>
      <w:tr w14:paraId="4DB7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5" w:type="pct"/>
            <w:vMerge w:val="restart"/>
            <w:noWrap w:val="0"/>
            <w:vAlign w:val="center"/>
          </w:tcPr>
          <w:p w14:paraId="1352F6AD">
            <w:pPr>
              <w:pStyle w:val="117"/>
              <w:adjustRightInd w:val="0"/>
              <w:snapToGrid w:val="0"/>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color w:val="auto"/>
                <w:kern w:val="0"/>
                <w:sz w:val="22"/>
                <w:szCs w:val="22"/>
                <w:lang w:val="zh-CN" w:eastAsia="zh-CN" w:bidi="ar-SA"/>
              </w:rPr>
              <w:t>《</w:t>
            </w:r>
            <w:r>
              <w:rPr>
                <w:rFonts w:hint="default" w:ascii="Times New Roman" w:hAnsi="Times New Roman" w:eastAsia="宋体" w:cs="Times New Roman"/>
                <w:color w:val="auto"/>
                <w:kern w:val="0"/>
                <w:sz w:val="22"/>
                <w:szCs w:val="22"/>
                <w:shd w:val="clear" w:fill="FFFFFF"/>
                <w:lang w:val="zh-CN" w:eastAsia="zh-CN" w:bidi="ar-SA"/>
              </w:rPr>
              <w:t>国家林业局</w:t>
            </w:r>
            <w:r>
              <w:rPr>
                <w:rFonts w:hint="default" w:ascii="Times New Roman" w:hAnsi="Times New Roman" w:eastAsia="宋体" w:cs="Times New Roman"/>
                <w:color w:val="auto"/>
                <w:kern w:val="0"/>
                <w:sz w:val="22"/>
                <w:szCs w:val="22"/>
                <w:lang w:val="zh-CN" w:eastAsia="zh-CN" w:bidi="ar-SA"/>
              </w:rPr>
              <w:t>关于严格保护天然林的通知》林资发〔2015〕181号</w:t>
            </w:r>
          </w:p>
        </w:tc>
        <w:tc>
          <w:tcPr>
            <w:tcW w:w="2107" w:type="pct"/>
            <w:noWrap w:val="0"/>
            <w:vAlign w:val="center"/>
          </w:tcPr>
          <w:p w14:paraId="7DADC8F2">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Cs/>
                <w:color w:val="auto"/>
                <w:kern w:val="2"/>
                <w:sz w:val="22"/>
                <w:szCs w:val="22"/>
                <w:lang w:val="en-US" w:eastAsia="zh-CN" w:bidi="ar-SA"/>
              </w:rPr>
            </w:pPr>
            <w:r>
              <w:rPr>
                <w:rFonts w:hint="default" w:ascii="Times New Roman" w:hAnsi="Times New Roman" w:eastAsia="宋体" w:cs="Times New Roman"/>
                <w:bCs/>
                <w:color w:val="auto"/>
                <w:kern w:val="2"/>
                <w:sz w:val="22"/>
                <w:szCs w:val="22"/>
                <w:lang w:val="en-US" w:eastAsia="zh-CN" w:bidi="ar-SA"/>
              </w:rPr>
              <w:t>一、严格控制低产低效天然林改造</w:t>
            </w:r>
          </w:p>
          <w:p w14:paraId="333A434D">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bCs/>
                <w:color w:val="auto"/>
                <w:kern w:val="2"/>
                <w:sz w:val="22"/>
                <w:szCs w:val="22"/>
                <w:lang w:val="en-US" w:eastAsia="zh-CN" w:bidi="ar-SA"/>
              </w:rPr>
              <w:t>各地要严格遵循天然林形成规律，坚持“保护优先、自然修复为主”的原则，加大封山育林力度，尽量减少人工干扰。对低产低效天然林实施改造，要以提升天然林生态功能为目的，严格确定改造对象，从严控制规模和范围，科学设计改造方式和强度，严格执行相关技术规程和政策要求。国家一级公益林要严格保护，原则上不可实施任何方式的改造。</w:t>
            </w:r>
          </w:p>
        </w:tc>
        <w:tc>
          <w:tcPr>
            <w:tcW w:w="1535" w:type="pct"/>
            <w:noWrap w:val="0"/>
            <w:vAlign w:val="center"/>
          </w:tcPr>
          <w:p w14:paraId="319F78D8">
            <w:pPr>
              <w:pStyle w:val="117"/>
              <w:adjustRightInd w:val="0"/>
              <w:snapToGrid w:val="0"/>
              <w:jc w:val="both"/>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color w:val="auto"/>
                <w:spacing w:val="-4"/>
                <w:kern w:val="0"/>
                <w:sz w:val="22"/>
                <w:szCs w:val="22"/>
                <w:lang w:val="en-US" w:eastAsia="zh-CN" w:bidi="ar-SA"/>
              </w:rPr>
              <w:t>本项目不</w:t>
            </w:r>
            <w:r>
              <w:rPr>
                <w:rFonts w:hint="eastAsia" w:ascii="Times New Roman" w:hAnsi="Times New Roman" w:cs="Times New Roman"/>
                <w:color w:val="auto"/>
                <w:spacing w:val="-4"/>
                <w:kern w:val="0"/>
                <w:sz w:val="22"/>
                <w:szCs w:val="22"/>
                <w:lang w:val="en-US" w:eastAsia="zh-CN" w:bidi="ar-SA"/>
              </w:rPr>
              <w:t>涉及</w:t>
            </w:r>
            <w:r>
              <w:rPr>
                <w:rFonts w:hint="default" w:ascii="Times New Roman" w:hAnsi="Times New Roman" w:eastAsia="宋体" w:cs="Times New Roman"/>
                <w:color w:val="auto"/>
                <w:spacing w:val="-4"/>
                <w:kern w:val="0"/>
                <w:sz w:val="22"/>
                <w:szCs w:val="22"/>
                <w:lang w:val="en-US" w:eastAsia="zh-CN" w:bidi="ar-SA"/>
              </w:rPr>
              <w:t>国家一级公益林。</w:t>
            </w:r>
          </w:p>
        </w:tc>
        <w:tc>
          <w:tcPr>
            <w:tcW w:w="501" w:type="pct"/>
            <w:noWrap w:val="0"/>
            <w:vAlign w:val="center"/>
          </w:tcPr>
          <w:p w14:paraId="53189EBD">
            <w:pPr>
              <w:spacing w:line="240" w:lineRule="auto"/>
              <w:ind w:firstLine="0" w:firstLineChars="0"/>
              <w:jc w:val="center"/>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color w:val="auto"/>
                <w:sz w:val="22"/>
                <w:szCs w:val="22"/>
                <w:lang w:val="en-US" w:eastAsia="zh-CN"/>
              </w:rPr>
              <w:t>符合</w:t>
            </w:r>
          </w:p>
        </w:tc>
      </w:tr>
      <w:tr w14:paraId="0B2C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5" w:type="pct"/>
            <w:vMerge w:val="continue"/>
            <w:noWrap w:val="0"/>
            <w:vAlign w:val="center"/>
          </w:tcPr>
          <w:p w14:paraId="627E0B84">
            <w:pPr>
              <w:pStyle w:val="117"/>
              <w:adjustRightInd w:val="0"/>
              <w:snapToGrid w:val="0"/>
              <w:rPr>
                <w:rFonts w:hint="default" w:ascii="Times New Roman" w:hAnsi="Times New Roman" w:eastAsia="宋体" w:cs="Times New Roman"/>
                <w:color w:val="auto"/>
                <w:kern w:val="44"/>
                <w:sz w:val="22"/>
                <w:szCs w:val="22"/>
                <w:lang w:val="en-US" w:eastAsia="zh-CN" w:bidi="ar-SA"/>
              </w:rPr>
            </w:pPr>
          </w:p>
        </w:tc>
        <w:tc>
          <w:tcPr>
            <w:tcW w:w="2107" w:type="pct"/>
            <w:noWrap w:val="0"/>
            <w:vAlign w:val="center"/>
          </w:tcPr>
          <w:p w14:paraId="22AA3F21">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Cs/>
                <w:color w:val="auto"/>
                <w:kern w:val="2"/>
                <w:sz w:val="22"/>
                <w:szCs w:val="22"/>
                <w:lang w:val="en-US" w:eastAsia="zh-CN" w:bidi="ar-SA"/>
              </w:rPr>
            </w:pPr>
            <w:r>
              <w:rPr>
                <w:rFonts w:hint="default" w:ascii="Times New Roman" w:hAnsi="Times New Roman" w:eastAsia="宋体" w:cs="Times New Roman"/>
                <w:bCs/>
                <w:color w:val="auto"/>
                <w:kern w:val="2"/>
                <w:sz w:val="22"/>
                <w:szCs w:val="22"/>
                <w:lang w:val="en-US" w:eastAsia="zh-CN" w:bidi="ar-SA"/>
              </w:rPr>
              <w:t>二、严格控制天然林树木采挖移植</w:t>
            </w:r>
          </w:p>
          <w:p w14:paraId="1F511BF3">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bCs/>
                <w:color w:val="auto"/>
                <w:kern w:val="2"/>
                <w:sz w:val="22"/>
                <w:szCs w:val="22"/>
                <w:lang w:val="en-US" w:eastAsia="zh-CN" w:bidi="ar-SA"/>
              </w:rPr>
              <w:t>各地要切实贯彻落实《</w:t>
            </w:r>
            <w:r>
              <w:rPr>
                <w:rFonts w:hint="default" w:ascii="Times New Roman" w:hAnsi="Times New Roman" w:eastAsia="宋体" w:cs="Times New Roman"/>
                <w:bCs/>
                <w:color w:val="auto"/>
                <w:kern w:val="2"/>
                <w:sz w:val="22"/>
                <w:szCs w:val="22"/>
                <w:shd w:val="clear" w:fill="FFFFFF"/>
                <w:lang w:val="en-US" w:eastAsia="zh-CN" w:bidi="ar-SA"/>
              </w:rPr>
              <w:t>国家林业局</w:t>
            </w:r>
            <w:r>
              <w:rPr>
                <w:rFonts w:hint="default" w:ascii="Times New Roman" w:hAnsi="Times New Roman" w:eastAsia="宋体" w:cs="Times New Roman"/>
                <w:bCs/>
                <w:color w:val="auto"/>
                <w:kern w:val="2"/>
                <w:sz w:val="22"/>
                <w:szCs w:val="22"/>
                <w:lang w:val="en-US" w:eastAsia="zh-CN" w:bidi="ar-SA"/>
              </w:rPr>
              <w:t>关于切实加强和严格规范树木采挖移植管理的通知》（林资发〔2013〕186号）等文件精神，严格控制天然林树木采挖移植，依法禁止采挖原生地天然濒危、珍稀树木，国家一级保护野生植物，古树名木，以及名胜古迹、革命纪念地、国家公益林、自然保护区、省级以上森林公园、国家级林木种质资源库、国家重点林木良种基地、生态脆弱地区和生态区位重要地区的树木。</w:t>
            </w:r>
          </w:p>
        </w:tc>
        <w:tc>
          <w:tcPr>
            <w:tcW w:w="1535" w:type="pct"/>
            <w:noWrap w:val="0"/>
            <w:vAlign w:val="center"/>
          </w:tcPr>
          <w:p w14:paraId="54E94D99">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Cs/>
                <w:color w:val="auto"/>
                <w:kern w:val="2"/>
                <w:sz w:val="22"/>
                <w:szCs w:val="22"/>
                <w:lang w:val="en-US" w:eastAsia="zh-CN" w:bidi="ar-SA"/>
              </w:rPr>
            </w:pPr>
            <w:r>
              <w:rPr>
                <w:rFonts w:hint="default" w:ascii="Times New Roman" w:hAnsi="Times New Roman" w:eastAsia="宋体" w:cs="Times New Roman"/>
                <w:bCs/>
                <w:color w:val="auto"/>
                <w:kern w:val="2"/>
                <w:sz w:val="22"/>
                <w:szCs w:val="22"/>
                <w:lang w:val="en-US" w:eastAsia="zh-CN" w:bidi="ar-SA"/>
              </w:rPr>
              <w:t>本项目不涉及采挖左列的如原生地天然濒危、珍稀树木，国家一级保护野生植物，古树名木，以及名胜古迹、革命纪念地、国家公益林、自然保护区、省级以上森林公园，国家级林木种质资源库、国家重点林木良种基地、生态脆弱地区和生态区位重要地区的树木，项目施工期短，临时占地范围内不修建永久性建筑物，项目管线临时占用天然林时间短，施工结束后应及时恢复植被和林业生产条件。项目正在办理临时占用林地准予行政许可文件。</w:t>
            </w:r>
          </w:p>
        </w:tc>
        <w:tc>
          <w:tcPr>
            <w:tcW w:w="501" w:type="pct"/>
            <w:noWrap w:val="0"/>
            <w:vAlign w:val="center"/>
          </w:tcPr>
          <w:p w14:paraId="60CC6C6E">
            <w:pPr>
              <w:spacing w:line="240" w:lineRule="auto"/>
              <w:ind w:firstLine="0" w:firstLineChars="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符合</w:t>
            </w:r>
          </w:p>
        </w:tc>
      </w:tr>
      <w:tr w14:paraId="6F0F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5" w:type="pct"/>
            <w:noWrap w:val="0"/>
            <w:vAlign w:val="center"/>
          </w:tcPr>
          <w:p w14:paraId="52277B75">
            <w:pPr>
              <w:pStyle w:val="117"/>
              <w:adjustRightInd w:val="0"/>
              <w:snapToGrid w:val="0"/>
              <w:rPr>
                <w:rFonts w:hint="default" w:ascii="Times New Roman" w:hAnsi="Times New Roman" w:eastAsia="宋体" w:cs="Times New Roman"/>
                <w:color w:val="auto"/>
                <w:kern w:val="44"/>
                <w:sz w:val="22"/>
                <w:szCs w:val="22"/>
                <w:lang w:val="en-US" w:eastAsia="zh-CN" w:bidi="ar-SA"/>
              </w:rPr>
            </w:pPr>
            <w:r>
              <w:rPr>
                <w:rFonts w:hint="default" w:ascii="Times New Roman" w:hAnsi="Times New Roman" w:eastAsia="宋体" w:cs="Times New Roman"/>
                <w:color w:val="auto"/>
                <w:kern w:val="44"/>
                <w:sz w:val="22"/>
                <w:szCs w:val="22"/>
                <w:lang w:val="en-US" w:eastAsia="zh-CN" w:bidi="ar-SA"/>
              </w:rPr>
              <w:t>《关于印发重庆市天然林保护修复制度实施方案的通知》渝府办发〔2020〕103号</w:t>
            </w:r>
          </w:p>
        </w:tc>
        <w:tc>
          <w:tcPr>
            <w:tcW w:w="2107" w:type="pct"/>
            <w:noWrap w:val="0"/>
            <w:vAlign w:val="center"/>
          </w:tcPr>
          <w:p w14:paraId="3AE467FB">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bCs/>
                <w:color w:val="auto"/>
                <w:kern w:val="2"/>
                <w:sz w:val="22"/>
                <w:szCs w:val="22"/>
                <w:lang w:val="en-US" w:eastAsia="zh-CN" w:bidi="ar-SA"/>
              </w:rPr>
            </w:pPr>
            <w:r>
              <w:rPr>
                <w:rFonts w:hint="default" w:ascii="Times New Roman" w:hAnsi="Times New Roman" w:eastAsia="宋体" w:cs="Times New Roman"/>
                <w:bCs/>
                <w:color w:val="auto"/>
                <w:kern w:val="2"/>
                <w:sz w:val="22"/>
                <w:szCs w:val="22"/>
                <w:lang w:val="en-US" w:eastAsia="zh-CN" w:bidi="ar-SA"/>
              </w:rPr>
              <w:t>二</w:t>
            </w:r>
            <w:r>
              <w:rPr>
                <w:rFonts w:hint="default" w:ascii="Times New Roman" w:hAnsi="Times New Roman" w:eastAsia="宋体" w:cs="Times New Roman"/>
                <w:bCs/>
                <w:color w:val="auto"/>
                <w:kern w:val="2"/>
                <w:sz w:val="22"/>
                <w:szCs w:val="22"/>
                <w:shd w:val="clear" w:fill="FFFFFF"/>
                <w:lang w:val="en-US" w:eastAsia="zh-CN" w:bidi="ar-SA"/>
              </w:rPr>
              <w:t>）</w:t>
            </w:r>
            <w:r>
              <w:rPr>
                <w:rFonts w:hint="default" w:ascii="Times New Roman" w:hAnsi="Times New Roman" w:eastAsia="宋体" w:cs="Times New Roman"/>
                <w:bCs/>
                <w:color w:val="auto"/>
                <w:kern w:val="2"/>
                <w:sz w:val="22"/>
                <w:szCs w:val="22"/>
                <w:lang w:val="en-US" w:eastAsia="zh-CN" w:bidi="ar-SA"/>
              </w:rPr>
              <w:t>严管天然林地占用。严格控制天然林地转为其他用途，除国防建设、国家重大工程项目建设特殊需要外，禁止占用保护重点区域的天然林地。在保障森林正常生长、不破坏植被、不影响生物多样性保护前提下，可在天然林地内适度发展生态旅游、生态康养、林下经济等产业。</w:t>
            </w:r>
          </w:p>
        </w:tc>
        <w:tc>
          <w:tcPr>
            <w:tcW w:w="1535" w:type="pct"/>
            <w:noWrap w:val="0"/>
            <w:vAlign w:val="center"/>
          </w:tcPr>
          <w:p w14:paraId="0F635D70">
            <w:pPr>
              <w:pStyle w:val="117"/>
              <w:adjustRightInd w:val="0"/>
              <w:snapToGrid w:val="0"/>
              <w:jc w:val="both"/>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本项目属于天然气管道改建项目，项目施工期短，</w:t>
            </w:r>
            <w:r>
              <w:rPr>
                <w:rFonts w:hint="default" w:ascii="Times New Roman" w:hAnsi="Times New Roman" w:eastAsia="宋体" w:cs="Times New Roman"/>
                <w:bCs/>
                <w:color w:val="auto"/>
                <w:kern w:val="2"/>
                <w:sz w:val="22"/>
                <w:szCs w:val="22"/>
                <w:lang w:val="en-US" w:eastAsia="zh-CN" w:bidi="ar-SA"/>
              </w:rPr>
              <w:t>临时占地范围内不修建永久性建筑物，项目管线临时占用天然林时间短，施工结束后应及时恢复植被和林业生产条件。项目正在办理临时占用林地准予行政许可文件。</w:t>
            </w:r>
          </w:p>
        </w:tc>
        <w:tc>
          <w:tcPr>
            <w:tcW w:w="501" w:type="pct"/>
            <w:noWrap w:val="0"/>
            <w:vAlign w:val="center"/>
          </w:tcPr>
          <w:p w14:paraId="332497ED">
            <w:pPr>
              <w:spacing w:line="240" w:lineRule="auto"/>
              <w:ind w:firstLine="0" w:firstLineChars="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sz w:val="22"/>
                <w:szCs w:val="22"/>
                <w:lang w:val="en-US" w:eastAsia="zh-CN"/>
              </w:rPr>
              <w:t>符合</w:t>
            </w:r>
          </w:p>
        </w:tc>
      </w:tr>
    </w:tbl>
    <w:p w14:paraId="51EF50E1">
      <w:pPr>
        <w:pStyle w:val="88"/>
        <w:rPr>
          <w:rFonts w:hint="default" w:ascii="Times New Roman" w:hAnsi="Times New Roman" w:eastAsia="宋体" w:cs="Times New Roman"/>
          <w:color w:val="auto"/>
          <w:lang w:eastAsia="zh-CN"/>
        </w:rPr>
      </w:pPr>
    </w:p>
    <w:p w14:paraId="4E785388">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kern w:val="2"/>
          <w:sz w:val="26"/>
          <w:szCs w:val="26"/>
          <w:vertAlign w:val="baseline"/>
          <w:lang w:val="en-US" w:eastAsia="zh-CN" w:bidi="ar-SA"/>
        </w:rPr>
      </w:pPr>
      <w:r>
        <w:rPr>
          <w:rFonts w:hint="default" w:ascii="Times New Roman" w:hAnsi="Times New Roman" w:eastAsia="宋体" w:cs="Times New Roman"/>
          <w:color w:val="auto"/>
          <w:kern w:val="2"/>
          <w:sz w:val="26"/>
          <w:szCs w:val="26"/>
          <w:vertAlign w:val="baseline"/>
          <w:lang w:val="en-US" w:eastAsia="zh-CN" w:bidi="ar-SA"/>
        </w:rPr>
        <w:t>根据上表分析结果，本项目穿越天然林符合相关政策法规要求。</w:t>
      </w:r>
    </w:p>
    <w:p w14:paraId="689C272A">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eastAsia="zh-CN"/>
        </w:rPr>
        <w:t>（</w:t>
      </w:r>
      <w:r>
        <w:rPr>
          <w:rFonts w:hint="default" w:ascii="Times New Roman" w:hAnsi="Times New Roman" w:eastAsia="宋体" w:cs="Times New Roman"/>
          <w:b/>
          <w:bCs w:val="0"/>
          <w:color w:val="auto"/>
          <w:lang w:val="en-US" w:eastAsia="zh-CN"/>
        </w:rPr>
        <w:t>13</w:t>
      </w:r>
      <w:r>
        <w:rPr>
          <w:rFonts w:hint="default" w:ascii="Times New Roman" w:hAnsi="Times New Roman" w:eastAsia="宋体" w:cs="Times New Roman"/>
          <w:b/>
          <w:bCs w:val="0"/>
          <w:color w:val="auto"/>
          <w:lang w:eastAsia="zh-CN"/>
        </w:rPr>
        <w:t>）</w:t>
      </w:r>
      <w:r>
        <w:rPr>
          <w:rFonts w:hint="default" w:ascii="Times New Roman" w:hAnsi="Times New Roman" w:eastAsia="宋体" w:cs="Times New Roman"/>
          <w:b/>
          <w:bCs w:val="0"/>
          <w:color w:val="auto"/>
          <w:lang w:val="en-US" w:eastAsia="zh-CN"/>
        </w:rPr>
        <w:t>与水源保护区相关政策的符合性分析</w:t>
      </w:r>
    </w:p>
    <w:p w14:paraId="65B4BF29">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rPr>
      </w:pPr>
      <w:r>
        <w:rPr>
          <w:rFonts w:hint="default" w:ascii="Times New Roman" w:hAnsi="Times New Roman" w:eastAsia="宋体" w:cs="Times New Roman"/>
          <w:b/>
          <w:bCs w:val="0"/>
          <w:color w:val="auto"/>
        </w:rPr>
        <w:t>①《中华人民共和国水污染防治法》（2017年6月27日修订）</w:t>
      </w:r>
      <w:r>
        <w:rPr>
          <w:rFonts w:hint="default" w:ascii="Times New Roman" w:hAnsi="Times New Roman" w:eastAsia="宋体" w:cs="Times New Roman"/>
          <w:bCs/>
          <w:color w:val="auto"/>
        </w:rPr>
        <w:t>第六十四条规定：“在饮用水水源保护区内，禁止设置排污口”。第六十六条规定：“禁止在饮用水水源二级保护区内新建、改建、扩建排放污染物的建设项目……”</w:t>
      </w:r>
    </w:p>
    <w:p w14:paraId="4B5E130C">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rPr>
      </w:pPr>
      <w:r>
        <w:rPr>
          <w:rFonts w:hint="default" w:ascii="Times New Roman" w:hAnsi="Times New Roman" w:eastAsia="宋体" w:cs="Times New Roman"/>
          <w:b/>
          <w:bCs w:val="0"/>
          <w:color w:val="auto"/>
        </w:rPr>
        <w:t>②《饮用水水源保护区污染防治管理规定（2010年修订）》</w:t>
      </w:r>
      <w:r>
        <w:rPr>
          <w:rFonts w:hint="default" w:ascii="Times New Roman" w:hAnsi="Times New Roman" w:eastAsia="宋体" w:cs="Times New Roman"/>
          <w:bCs/>
          <w:color w:val="auto"/>
        </w:rPr>
        <w:t>第十一条规定：“饮用水地表水源各级保护区及准保护区内均必须遵守下列规定：一、禁止一切破坏水环境生态平衡的活动以及破坏水源林、护岸林、与水源保护相关植被的活动。二、禁止向水域倾倒工业废渣、城市垃圾、粪便及其他废弃物。三、运输有毒有害物质、油类、粪便的船舶和车辆一般不准进入保护区，必须进入者应事先申请并经有关部门批准、登记并设置防渗、防溢、防漏设施。四、禁止使用剧毒和高残留农药，不得滥用化肥，不得使用炸药、毒品捕杀鱼类。”同时，第十二条：“……二级保护区内禁止新建、改建、扩建排放污染物的建设项目；原有排污口依法拆除或者关闭；禁止设立装卸垃圾、粪便、油类和有毒物品的码头。……”</w:t>
      </w:r>
    </w:p>
    <w:p w14:paraId="2623CDDB">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rPr>
      </w:pPr>
      <w:r>
        <w:rPr>
          <w:rFonts w:hint="default" w:ascii="Times New Roman" w:hAnsi="Times New Roman" w:eastAsia="宋体" w:cs="Times New Roman"/>
          <w:b/>
          <w:bCs w:val="0"/>
          <w:color w:val="auto"/>
        </w:rPr>
        <w:t>③《重庆市水污染防治条例》规定如下：</w:t>
      </w:r>
    </w:p>
    <w:p w14:paraId="2BCCA57B">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shd w:val="clear" w:fill="FFFFFF"/>
        </w:rPr>
        <w:t>“</w:t>
      </w:r>
      <w:r>
        <w:rPr>
          <w:rFonts w:hint="default" w:ascii="Times New Roman" w:hAnsi="Times New Roman" w:eastAsia="宋体" w:cs="Times New Roman"/>
          <w:bCs/>
          <w:color w:val="auto"/>
        </w:rPr>
        <w:t>第五十二条 在饮用水</w:t>
      </w:r>
      <w:r>
        <w:rPr>
          <w:rFonts w:hint="default" w:ascii="Times New Roman" w:hAnsi="Times New Roman" w:eastAsia="宋体" w:cs="Times New Roman"/>
          <w:bCs/>
          <w:color w:val="auto"/>
          <w:shd w:val="clear" w:fill="FFFFFF"/>
        </w:rPr>
        <w:t>水源准</w:t>
      </w:r>
      <w:r>
        <w:rPr>
          <w:rFonts w:hint="default" w:ascii="Times New Roman" w:hAnsi="Times New Roman" w:eastAsia="宋体" w:cs="Times New Roman"/>
          <w:bCs/>
          <w:color w:val="auto"/>
        </w:rPr>
        <w:t>保护区内禁止下列行为：（一）设置排污口；（二）新建、扩建对水体污染严重的建设项目，改建增加排污量的建设项目；（三）堆放、存贮可能造成水体污染的物品；（四）违反法律法规规定的其他行为。</w:t>
      </w:r>
    </w:p>
    <w:p w14:paraId="5FF7F7D3">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第五十三条 在饮用水水源二级保护区内，除遵守准保护区管理规定外，还应当禁止下列行为：（一）新建、改建、扩建排放污染物的建设项目；（二）设置从事危险化学品、煤炭、矿砂、水泥等装卸作业的货运码头、建筑物、构筑物；（三）设置水上经营性餐饮、娱乐设施；（四）从事采砂、对水体有污染的水产养殖、放养畜禽等活动；（五）新增使用农药、化肥的农业种植和经济林。在饮用水水源二级保护区内从事网箱养殖、旅游等活动的，应当按照规定采取措施，防止污染饮用水水体。</w:t>
      </w:r>
    </w:p>
    <w:p w14:paraId="00356D97">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rPr>
      </w:pPr>
      <w:r>
        <w:rPr>
          <w:rFonts w:hint="default" w:ascii="Times New Roman" w:hAnsi="Times New Roman" w:eastAsia="宋体" w:cs="Times New Roman"/>
          <w:bCs/>
          <w:color w:val="auto"/>
        </w:rPr>
        <w:t>本项目为</w:t>
      </w:r>
      <w:r>
        <w:rPr>
          <w:rFonts w:hint="default" w:ascii="Times New Roman" w:hAnsi="Times New Roman" w:eastAsia="宋体" w:cs="Times New Roman"/>
          <w:bCs/>
          <w:color w:val="auto"/>
          <w:lang w:val="en-US" w:eastAsia="zh-CN"/>
        </w:rPr>
        <w:t>天然气管道改建项目</w:t>
      </w:r>
      <w:r>
        <w:rPr>
          <w:rFonts w:hint="default" w:ascii="Times New Roman" w:hAnsi="Times New Roman" w:eastAsia="宋体" w:cs="Times New Roman"/>
          <w:bCs/>
          <w:color w:val="auto"/>
        </w:rPr>
        <w:t>，迁改段位于薄刀岭水库新盛水厂水源地上游，距离饮用水水源保护区陆域保护范围最近距离约68m</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水域保护范围最近距离约100m</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取水口最近距离约</w:t>
      </w:r>
      <w:r>
        <w:rPr>
          <w:rFonts w:hint="default" w:ascii="Times New Roman" w:hAnsi="Times New Roman" w:eastAsia="宋体" w:cs="Times New Roman"/>
          <w:bCs/>
          <w:color w:val="auto"/>
          <w:lang w:val="en-US" w:eastAsia="zh-CN"/>
        </w:rPr>
        <w:t>553</w:t>
      </w:r>
      <w:r>
        <w:rPr>
          <w:rFonts w:hint="default" w:ascii="Times New Roman" w:hAnsi="Times New Roman" w:eastAsia="宋体" w:cs="Times New Roman"/>
          <w:bCs/>
          <w:color w:val="auto"/>
        </w:rPr>
        <w:t>m，建设内容不涉及薄刀岭水库及其水源保护区</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符合《中华人民共和国水污染防治法》要求；本项目不破坏水环境生态平衡，不破坏水源林、护岸林、与水源保护相关植被，不倾倒工业废渣、城市垃圾、粪便及</w:t>
      </w:r>
      <w:r>
        <w:rPr>
          <w:rFonts w:hint="default" w:ascii="Times New Roman" w:hAnsi="Times New Roman" w:eastAsia="宋体" w:cs="Times New Roman"/>
          <w:bCs/>
          <w:color w:val="auto"/>
          <w:shd w:val="clear" w:fill="FFFFFF"/>
        </w:rPr>
        <w:t>其它废弃物</w:t>
      </w:r>
      <w:r>
        <w:rPr>
          <w:rFonts w:hint="default" w:ascii="Times New Roman" w:hAnsi="Times New Roman" w:eastAsia="宋体" w:cs="Times New Roman"/>
          <w:bCs/>
          <w:color w:val="auto"/>
        </w:rPr>
        <w:t>，不涉及运输有毒有害物质、油类、粪便的船舶和车辆，不使用农药、化肥，不涉及炸药、毒品捕杀鱼类。运营</w:t>
      </w:r>
      <w:r>
        <w:rPr>
          <w:rFonts w:hint="default" w:ascii="Times New Roman" w:hAnsi="Times New Roman" w:eastAsia="宋体" w:cs="Times New Roman"/>
          <w:bCs/>
          <w:color w:val="auto"/>
          <w:shd w:val="clear" w:fill="FFFFFF"/>
        </w:rPr>
        <w:t>期</w:t>
      </w:r>
      <w:r>
        <w:rPr>
          <w:rFonts w:hint="default" w:ascii="Times New Roman" w:hAnsi="Times New Roman" w:eastAsia="宋体" w:cs="Times New Roman"/>
          <w:bCs/>
          <w:color w:val="auto"/>
        </w:rPr>
        <w:t>不对水源保护区排放污染物，不涉及装卸垃圾、粪便、油类和有毒物品的码头，符合《饮用水水源保护区污染防治管理规定（2010年修订）》要求；本项目不对水体排污，不堆放、存贮可能造成水体污染的物品，不涉及码头、采砂、养殖、种植，不涉及餐饮、娱乐设施或旅游活动，不使用农药、化肥，不从事旅游等活动，符合《重庆市水污染防治条例》的要求。</w:t>
      </w:r>
    </w:p>
    <w:p w14:paraId="63BE2C16">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lang w:val="en-US" w:eastAsia="zh-CN"/>
        </w:rPr>
        <w:t>综上，本项目</w:t>
      </w:r>
      <w:r>
        <w:rPr>
          <w:rFonts w:hint="default" w:ascii="Times New Roman" w:hAnsi="Times New Roman" w:eastAsia="宋体" w:cs="Times New Roman"/>
          <w:bCs/>
          <w:color w:val="auto"/>
          <w:sz w:val="26"/>
          <w:szCs w:val="26"/>
          <w:highlight w:val="none"/>
        </w:rPr>
        <w:t>符合水源保护区的相关</w:t>
      </w:r>
      <w:r>
        <w:rPr>
          <w:rFonts w:hint="default" w:ascii="Times New Roman" w:hAnsi="Times New Roman" w:eastAsia="宋体" w:cs="Times New Roman"/>
          <w:bCs/>
          <w:color w:val="auto"/>
          <w:sz w:val="26"/>
          <w:szCs w:val="26"/>
          <w:highlight w:val="none"/>
          <w:lang w:val="en-US" w:eastAsia="zh-CN"/>
        </w:rPr>
        <w:t>保护</w:t>
      </w:r>
      <w:r>
        <w:rPr>
          <w:rFonts w:hint="default" w:ascii="Times New Roman" w:hAnsi="Times New Roman" w:eastAsia="宋体" w:cs="Times New Roman"/>
          <w:bCs/>
          <w:color w:val="auto"/>
          <w:sz w:val="26"/>
          <w:szCs w:val="26"/>
          <w:highlight w:val="none"/>
        </w:rPr>
        <w:t>政策要求。</w:t>
      </w:r>
    </w:p>
    <w:p w14:paraId="531E4EB1">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1.3.2环境可行性分析</w:t>
      </w:r>
    </w:p>
    <w:p w14:paraId="7D8C453C">
      <w:pPr>
        <w:pStyle w:val="93"/>
        <w:ind w:firstLine="52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改建管道</w:t>
      </w:r>
      <w:r>
        <w:rPr>
          <w:rFonts w:hint="default" w:ascii="Times New Roman" w:hAnsi="Times New Roman" w:eastAsia="宋体" w:cs="Times New Roman"/>
          <w:color w:val="auto"/>
          <w:lang w:eastAsia="zh-CN"/>
        </w:rPr>
        <w:t>位于重庆市綦江区文龙街道，</w:t>
      </w:r>
      <w:r>
        <w:rPr>
          <w:rFonts w:hint="default" w:ascii="Times New Roman" w:hAnsi="Times New Roman" w:eastAsia="宋体" w:cs="Times New Roman"/>
          <w:color w:val="auto"/>
          <w:lang w:val="en-US" w:eastAsia="zh-CN"/>
        </w:rPr>
        <w:t>长度为</w:t>
      </w:r>
      <w:r>
        <w:rPr>
          <w:rFonts w:hint="default" w:ascii="Times New Roman" w:hAnsi="Times New Roman" w:eastAsia="宋体" w:cs="Times New Roman"/>
          <w:color w:val="auto"/>
          <w:lang w:eastAsia="zh-CN"/>
        </w:rPr>
        <w:t>1451.9</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lang w:eastAsia="zh-CN"/>
        </w:rPr>
        <w:t>，根据现场踏勘和资料查阅，选线不穿越生态保护红线、自然保护区、世界文化和自然遗产地、风景名胜区、森林公园、地质公园、重要湿地、</w:t>
      </w:r>
      <w:r>
        <w:rPr>
          <w:rFonts w:hint="default" w:ascii="Times New Roman" w:hAnsi="Times New Roman" w:eastAsia="宋体" w:cs="Times New Roman"/>
          <w:color w:val="auto"/>
          <w:lang w:val="en-US" w:eastAsia="zh-CN"/>
        </w:rPr>
        <w:t>文物保护单位、</w:t>
      </w:r>
      <w:r>
        <w:rPr>
          <w:rFonts w:hint="default" w:ascii="Times New Roman" w:hAnsi="Times New Roman" w:eastAsia="宋体" w:cs="Times New Roman"/>
          <w:color w:val="auto"/>
          <w:lang w:eastAsia="zh-CN"/>
        </w:rPr>
        <w:t>饮用水水源保护区、重点保护野生动物栖息地、重点保护野生植物生长繁殖地等生态环境敏感区。</w:t>
      </w:r>
    </w:p>
    <w:p w14:paraId="4839992B">
      <w:pPr>
        <w:pStyle w:val="93"/>
        <w:ind w:firstLine="520"/>
        <w:rPr>
          <w:rFonts w:hint="default" w:ascii="Times New Roman" w:hAnsi="Times New Roman" w:eastAsia="宋体" w:cs="Times New Roman"/>
          <w:bCs/>
          <w:color w:val="auto"/>
          <w:sz w:val="26"/>
          <w:szCs w:val="26"/>
          <w:highlight w:val="none"/>
          <w:lang w:val="en-US" w:eastAsia="zh-CN"/>
        </w:rPr>
      </w:pPr>
      <w:r>
        <w:rPr>
          <w:rFonts w:hint="default" w:ascii="Times New Roman" w:hAnsi="Times New Roman" w:eastAsia="宋体" w:cs="Times New Roman"/>
          <w:bCs/>
          <w:color w:val="auto"/>
          <w:sz w:val="26"/>
          <w:szCs w:val="26"/>
          <w:highlight w:val="none"/>
          <w:lang w:val="en-US" w:eastAsia="zh-CN"/>
        </w:rPr>
        <w:t>本项目改建管道线路走向符合中华人民共和国国家标准《输气管道工程设计规范》（GB50251-2015）中有关规定，选线已考虑现有公路的依托可能性，从而方便运输、施工和生产维护管理，最大化减轻对施工区域植被的破坏；项目已尽量选择了有利地形，并已尽量避开施工难度较大和不良工程地质段，方便施工、减小线路保护工程量，确保管道长期可靠安全运行，减少对当地土地利用的破坏；穿跨越点位置的选择已服从当地规划和线路沿线环境现状，且尽量避开了城镇核心区、乡镇规划区、居民集中区线路等，确保了管道运行的安全。</w:t>
      </w:r>
    </w:p>
    <w:p w14:paraId="62224F56">
      <w:pPr>
        <w:pStyle w:val="93"/>
        <w:ind w:firstLine="520"/>
        <w:rPr>
          <w:rFonts w:hint="default" w:ascii="Times New Roman" w:hAnsi="Times New Roman" w:eastAsia="宋体" w:cs="Times New Roman"/>
          <w:bCs/>
          <w:color w:val="auto"/>
          <w:sz w:val="26"/>
          <w:szCs w:val="26"/>
          <w:highlight w:val="none"/>
          <w:lang w:val="en-US" w:eastAsia="zh-CN"/>
        </w:rPr>
      </w:pPr>
      <w:r>
        <w:rPr>
          <w:rFonts w:hint="default" w:ascii="Times New Roman" w:hAnsi="Times New Roman" w:eastAsia="宋体" w:cs="Times New Roman"/>
          <w:bCs/>
          <w:color w:val="auto"/>
          <w:sz w:val="26"/>
          <w:szCs w:val="26"/>
          <w:highlight w:val="none"/>
          <w:lang w:val="en-US" w:eastAsia="zh-CN"/>
        </w:rPr>
        <w:t>项目管线已取得规划选址意见（用字第市政500110202500001号），项目路由无法完全避绕天然林、永久基本农田，施工期将临时占用林地0.5548hm</w:t>
      </w:r>
      <w:r>
        <w:rPr>
          <w:rFonts w:hint="default" w:ascii="Times New Roman" w:hAnsi="Times New Roman" w:eastAsia="宋体" w:cs="Times New Roman"/>
          <w:bCs/>
          <w:color w:val="auto"/>
          <w:sz w:val="26"/>
          <w:szCs w:val="26"/>
          <w:highlight w:val="none"/>
          <w:vertAlign w:val="superscript"/>
          <w:lang w:val="en-US" w:eastAsia="zh-CN"/>
        </w:rPr>
        <w:t>2</w:t>
      </w:r>
      <w:r>
        <w:rPr>
          <w:rFonts w:hint="default" w:ascii="Times New Roman" w:hAnsi="Times New Roman" w:eastAsia="宋体" w:cs="Times New Roman"/>
          <w:bCs/>
          <w:color w:val="auto"/>
          <w:sz w:val="26"/>
          <w:szCs w:val="26"/>
          <w:highlight w:val="none"/>
          <w:vertAlign w:val="baseline"/>
          <w:lang w:val="en-US" w:eastAsia="zh-CN"/>
        </w:rPr>
        <w:t>（</w:t>
      </w:r>
      <w:r>
        <w:rPr>
          <w:rFonts w:hint="default" w:ascii="Times New Roman" w:hAnsi="Times New Roman" w:eastAsia="宋体" w:cs="Times New Roman"/>
          <w:bCs/>
          <w:color w:val="auto"/>
          <w:sz w:val="26"/>
          <w:szCs w:val="26"/>
          <w:highlight w:val="none"/>
          <w:lang w:val="en-US" w:eastAsia="zh-CN"/>
        </w:rPr>
        <w:t>天然林0.38hm</w:t>
      </w:r>
      <w:r>
        <w:rPr>
          <w:rFonts w:hint="default" w:ascii="Times New Roman" w:hAnsi="Times New Roman" w:eastAsia="宋体" w:cs="Times New Roman"/>
          <w:bCs/>
          <w:color w:val="auto"/>
          <w:sz w:val="26"/>
          <w:szCs w:val="26"/>
          <w:highlight w:val="none"/>
          <w:vertAlign w:val="superscript"/>
          <w:lang w:val="en-US" w:eastAsia="zh-CN"/>
        </w:rPr>
        <w:t>2</w:t>
      </w:r>
      <w:r>
        <w:rPr>
          <w:rFonts w:hint="default" w:ascii="Times New Roman" w:hAnsi="Times New Roman" w:eastAsia="宋体" w:cs="Times New Roman"/>
          <w:bCs/>
          <w:color w:val="auto"/>
          <w:sz w:val="26"/>
          <w:szCs w:val="26"/>
          <w:highlight w:val="none"/>
          <w:lang w:val="en-US" w:eastAsia="zh-CN"/>
        </w:rPr>
        <w:t>，林地手续见附件5</w:t>
      </w:r>
      <w:r>
        <w:rPr>
          <w:rFonts w:hint="default" w:ascii="Times New Roman" w:hAnsi="Times New Roman" w:eastAsia="宋体" w:cs="Times New Roman"/>
          <w:bCs/>
          <w:color w:val="auto"/>
          <w:sz w:val="26"/>
          <w:szCs w:val="26"/>
          <w:highlight w:val="none"/>
          <w:vertAlign w:val="baseline"/>
          <w:lang w:val="en-US" w:eastAsia="zh-CN"/>
        </w:rPr>
        <w:t>）</w:t>
      </w:r>
      <w:r>
        <w:rPr>
          <w:rFonts w:hint="default" w:ascii="Times New Roman" w:hAnsi="Times New Roman" w:eastAsia="宋体" w:cs="Times New Roman"/>
          <w:bCs/>
          <w:color w:val="auto"/>
          <w:sz w:val="26"/>
          <w:szCs w:val="26"/>
          <w:highlight w:val="none"/>
          <w:lang w:val="en-US" w:eastAsia="zh-CN"/>
        </w:rPr>
        <w:t>、永久基本农田0.36hm</w:t>
      </w:r>
      <w:r>
        <w:rPr>
          <w:rFonts w:hint="default" w:ascii="Times New Roman" w:hAnsi="Times New Roman" w:eastAsia="宋体" w:cs="Times New Roman"/>
          <w:bCs/>
          <w:color w:val="auto"/>
          <w:sz w:val="26"/>
          <w:szCs w:val="26"/>
          <w:highlight w:val="none"/>
          <w:vertAlign w:val="superscript"/>
          <w:lang w:val="en-US" w:eastAsia="zh-CN"/>
        </w:rPr>
        <w:t>2</w:t>
      </w:r>
      <w:r>
        <w:rPr>
          <w:rFonts w:hint="default" w:ascii="Times New Roman" w:hAnsi="Times New Roman" w:eastAsia="宋体" w:cs="Times New Roman"/>
          <w:bCs/>
          <w:color w:val="auto"/>
          <w:sz w:val="26"/>
          <w:szCs w:val="26"/>
          <w:highlight w:val="none"/>
          <w:lang w:val="en-US" w:eastAsia="zh-CN"/>
        </w:rPr>
        <w:t>，正在办理临时占地占用永久基本农田手续；管线不穿越饮用水源保护区，距薄刀岭水库及其饮用水源保护区陆域范围最近距离为68m，本次环评结合相关结论和保护措施要求，对水源保护区</w:t>
      </w:r>
      <w:r>
        <w:rPr>
          <w:rFonts w:hint="default" w:ascii="Times New Roman" w:hAnsi="Times New Roman" w:eastAsia="宋体" w:cs="Times New Roman"/>
          <w:color w:val="auto"/>
          <w:lang w:val="en-US" w:eastAsia="zh-CN"/>
        </w:rPr>
        <w:t>相邻</w:t>
      </w:r>
      <w:r>
        <w:rPr>
          <w:rFonts w:hint="default" w:ascii="Times New Roman" w:hAnsi="Times New Roman" w:eastAsia="宋体" w:cs="Times New Roman"/>
          <w:bCs/>
          <w:color w:val="auto"/>
          <w:sz w:val="26"/>
          <w:szCs w:val="26"/>
          <w:highlight w:val="none"/>
          <w:lang w:val="en-US" w:eastAsia="zh-CN"/>
        </w:rPr>
        <w:t>区域的施工提出了严格的环保措施，将最大程度地减少管道施工对</w:t>
      </w:r>
      <w:r>
        <w:rPr>
          <w:rFonts w:hint="default" w:ascii="Times New Roman" w:hAnsi="Times New Roman" w:eastAsia="宋体" w:cs="Times New Roman"/>
          <w:color w:val="auto"/>
        </w:rPr>
        <w:t>薄刀岭水库</w:t>
      </w:r>
      <w:r>
        <w:rPr>
          <w:rFonts w:hint="default" w:ascii="Times New Roman" w:hAnsi="Times New Roman" w:eastAsia="宋体" w:cs="Times New Roman"/>
          <w:bCs/>
          <w:color w:val="auto"/>
          <w:sz w:val="26"/>
          <w:szCs w:val="26"/>
          <w:highlight w:val="none"/>
          <w:lang w:val="en-US" w:eastAsia="zh-CN"/>
        </w:rPr>
        <w:t>及其饮用水源保护区的环境影响。</w:t>
      </w:r>
    </w:p>
    <w:p w14:paraId="51DA2096">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bCs w:val="0"/>
          <w:color w:val="auto"/>
          <w:sz w:val="26"/>
          <w:szCs w:val="26"/>
          <w:highlight w:val="none"/>
        </w:rPr>
        <w:t>总的来说</w:t>
      </w:r>
      <w:r>
        <w:rPr>
          <w:rFonts w:hint="default" w:ascii="Times New Roman" w:hAnsi="Times New Roman" w:eastAsia="宋体" w:cs="Times New Roman"/>
          <w:bCs/>
          <w:color w:val="auto"/>
          <w:sz w:val="26"/>
          <w:szCs w:val="26"/>
          <w:highlight w:val="none"/>
        </w:rPr>
        <w:t>，本项目管线不涉及</w:t>
      </w:r>
      <w:r>
        <w:rPr>
          <w:rFonts w:hint="default" w:ascii="Times New Roman" w:hAnsi="Times New Roman" w:eastAsia="宋体" w:cs="Times New Roman"/>
          <w:color w:val="auto"/>
        </w:rPr>
        <w:t>自然保护区、风景名胜区、森林公园、重要湿地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生态保护红线</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文物保护单位</w:t>
      </w:r>
      <w:r>
        <w:rPr>
          <w:rFonts w:hint="default" w:ascii="Times New Roman" w:hAnsi="Times New Roman" w:eastAsia="宋体" w:cs="Times New Roman"/>
          <w:bCs/>
          <w:color w:val="auto"/>
          <w:sz w:val="26"/>
          <w:szCs w:val="26"/>
          <w:highlight w:val="none"/>
        </w:rPr>
        <w:t>等环境敏感</w:t>
      </w:r>
      <w:r>
        <w:rPr>
          <w:rFonts w:hint="default" w:ascii="Times New Roman" w:hAnsi="Times New Roman" w:eastAsia="宋体" w:cs="Times New Roman"/>
          <w:bCs/>
          <w:color w:val="auto"/>
          <w:sz w:val="26"/>
          <w:szCs w:val="26"/>
          <w:highlight w:val="none"/>
          <w:lang w:val="en-US" w:eastAsia="zh-CN"/>
        </w:rPr>
        <w:t>区</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lang w:val="en-US" w:eastAsia="zh-CN"/>
        </w:rPr>
        <w:t>不经过水源保护区，已</w:t>
      </w:r>
      <w:r>
        <w:rPr>
          <w:rFonts w:hint="default" w:ascii="Times New Roman" w:hAnsi="Times New Roman" w:eastAsia="宋体" w:cs="Times New Roman"/>
          <w:bCs/>
          <w:color w:val="auto"/>
        </w:rPr>
        <w:t>避开了集镇等集中式敏感点</w:t>
      </w:r>
      <w:r>
        <w:rPr>
          <w:rFonts w:hint="default" w:ascii="Times New Roman" w:hAnsi="Times New Roman" w:eastAsia="宋体" w:cs="Times New Roman"/>
          <w:bCs/>
          <w:color w:val="auto"/>
          <w:sz w:val="26"/>
          <w:szCs w:val="26"/>
          <w:highlight w:val="none"/>
          <w:lang w:val="en-US" w:eastAsia="zh-CN"/>
        </w:rPr>
        <w:t>。</w:t>
      </w:r>
      <w:r>
        <w:rPr>
          <w:rFonts w:hint="default" w:ascii="Times New Roman" w:hAnsi="Times New Roman" w:eastAsia="宋体" w:cs="Times New Roman"/>
          <w:bCs/>
          <w:color w:val="auto"/>
          <w:sz w:val="26"/>
          <w:szCs w:val="26"/>
          <w:highlight w:val="none"/>
        </w:rPr>
        <w:t>工程施工所占临时区域以耕地</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lang w:val="en-US" w:eastAsia="zh-CN"/>
        </w:rPr>
        <w:t>林地</w:t>
      </w:r>
      <w:r>
        <w:rPr>
          <w:rFonts w:hint="default" w:ascii="Times New Roman" w:hAnsi="Times New Roman" w:eastAsia="宋体" w:cs="Times New Roman"/>
          <w:bCs/>
          <w:color w:val="auto"/>
          <w:sz w:val="26"/>
          <w:szCs w:val="26"/>
          <w:highlight w:val="none"/>
        </w:rPr>
        <w:t>为主，无国家珍稀野生动植物分布，管道的建设通过采取有效的控制和植被恢复措施，能够满足环境功能区和</w:t>
      </w:r>
      <w:r>
        <w:rPr>
          <w:rFonts w:hint="default" w:ascii="Times New Roman" w:hAnsi="Times New Roman" w:eastAsia="宋体" w:cs="Times New Roman"/>
          <w:color w:val="auto"/>
        </w:rPr>
        <w:t>生态</w:t>
      </w:r>
      <w:r>
        <w:rPr>
          <w:rFonts w:hint="default" w:ascii="Times New Roman" w:hAnsi="Times New Roman" w:eastAsia="宋体" w:cs="Times New Roman"/>
          <w:bCs/>
          <w:color w:val="auto"/>
          <w:sz w:val="26"/>
          <w:szCs w:val="26"/>
          <w:highlight w:val="none"/>
        </w:rPr>
        <w:t>保护的要求，</w:t>
      </w:r>
      <w:r>
        <w:rPr>
          <w:rFonts w:hint="default" w:ascii="Times New Roman" w:hAnsi="Times New Roman" w:eastAsia="宋体" w:cs="Times New Roman"/>
          <w:bCs/>
          <w:color w:val="auto"/>
        </w:rPr>
        <w:t>运营期管道工程无产排污，对外环境影响较小。</w:t>
      </w:r>
      <w:r>
        <w:rPr>
          <w:rFonts w:hint="default" w:ascii="Times New Roman" w:hAnsi="Times New Roman" w:eastAsia="宋体" w:cs="Times New Roman"/>
          <w:bCs/>
          <w:color w:val="auto"/>
          <w:sz w:val="26"/>
          <w:szCs w:val="26"/>
          <w:highlight w:val="none"/>
        </w:rPr>
        <w:t>管线路径选线与沿线规划具有较好的相容性和符合性，对环境影响可接受。</w:t>
      </w:r>
      <w:r>
        <w:rPr>
          <w:rFonts w:hint="default" w:ascii="Times New Roman" w:hAnsi="Times New Roman" w:eastAsia="宋体" w:cs="Times New Roman"/>
          <w:color w:val="auto"/>
        </w:rPr>
        <w:t>综合分析，项目推荐管线路由从环保角度分析是可行的。</w:t>
      </w:r>
    </w:p>
    <w:p w14:paraId="60FD5D3E">
      <w:pPr>
        <w:adjustRightInd w:val="0"/>
        <w:snapToGrid w:val="0"/>
        <w:spacing w:line="460" w:lineRule="exact"/>
        <w:ind w:firstLine="522" w:firstLineChars="200"/>
        <w:outlineLvl w:val="1"/>
        <w:rPr>
          <w:rFonts w:hint="default" w:ascii="Times New Roman" w:hAnsi="Times New Roman" w:eastAsia="宋体" w:cs="Times New Roman"/>
          <w:b/>
          <w:color w:val="auto"/>
          <w:sz w:val="26"/>
          <w:szCs w:val="26"/>
        </w:rPr>
      </w:pPr>
      <w:bookmarkStart w:id="40" w:name="_Toc11886"/>
      <w:r>
        <w:rPr>
          <w:rFonts w:hint="default" w:ascii="Times New Roman" w:hAnsi="Times New Roman" w:eastAsia="宋体" w:cs="Times New Roman"/>
          <w:b/>
          <w:color w:val="auto"/>
          <w:sz w:val="26"/>
          <w:szCs w:val="26"/>
        </w:rPr>
        <w:t>1.4 评价思路及评价重点</w:t>
      </w:r>
      <w:bookmarkEnd w:id="34"/>
      <w:bookmarkEnd w:id="35"/>
      <w:bookmarkEnd w:id="36"/>
      <w:bookmarkEnd w:id="40"/>
    </w:p>
    <w:p w14:paraId="3A5E8CD7">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1.4.1 评价思路</w:t>
      </w:r>
    </w:p>
    <w:p w14:paraId="115F9F79">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本项目铁新线A001~A022段实施迁改，</w:t>
      </w:r>
      <w:r>
        <w:rPr>
          <w:rFonts w:hint="default" w:ascii="Times New Roman" w:hAnsi="Times New Roman" w:eastAsia="宋体" w:cs="Times New Roman"/>
          <w:color w:val="auto"/>
          <w:lang w:val="en-US" w:eastAsia="zh-CN"/>
        </w:rPr>
        <w:t>改</w:t>
      </w:r>
      <w:r>
        <w:rPr>
          <w:rFonts w:hint="default" w:ascii="Times New Roman" w:hAnsi="Times New Roman" w:eastAsia="宋体" w:cs="Times New Roman"/>
          <w:color w:val="auto"/>
          <w:lang w:eastAsia="zh-CN"/>
        </w:rPr>
        <w:t>建管道</w:t>
      </w:r>
      <w:r>
        <w:rPr>
          <w:rFonts w:hint="default" w:ascii="Times New Roman" w:hAnsi="Times New Roman" w:eastAsia="宋体" w:cs="Times New Roman"/>
          <w:color w:val="auto"/>
          <w:lang w:val="en-US" w:eastAsia="zh-CN"/>
        </w:rPr>
        <w:t>长度约</w:t>
      </w:r>
      <w:r>
        <w:rPr>
          <w:rFonts w:hint="default" w:ascii="Times New Roman" w:hAnsi="Times New Roman" w:eastAsia="宋体" w:cs="Times New Roman"/>
          <w:color w:val="auto"/>
          <w:lang w:eastAsia="zh-CN"/>
        </w:rPr>
        <w:t>1451.9</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lang w:eastAsia="zh-CN"/>
        </w:rPr>
        <w:t>，采用D89×5 L245N PSL2无缝钢管，设计压力4.0MPa、输量设计</w:t>
      </w:r>
      <w:r>
        <w:rPr>
          <w:rFonts w:hint="default" w:ascii="Times New Roman" w:hAnsi="Times New Roman" w:eastAsia="宋体" w:cs="Times New Roman"/>
          <w:color w:val="auto"/>
          <w:lang w:val="en-US" w:eastAsia="zh-CN"/>
        </w:rPr>
        <w:t>规模</w:t>
      </w:r>
      <w:r>
        <w:rPr>
          <w:rFonts w:hint="default" w:ascii="Times New Roman" w:hAnsi="Times New Roman" w:eastAsia="宋体" w:cs="Times New Roman"/>
          <w:color w:val="auto"/>
          <w:lang w:eastAsia="zh-CN"/>
        </w:rPr>
        <w:t>为</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/d，输送介质</w:t>
      </w:r>
      <w:r>
        <w:rPr>
          <w:rFonts w:hint="default" w:ascii="Times New Roman" w:hAnsi="Times New Roman" w:eastAsia="宋体" w:cs="Times New Roman"/>
          <w:color w:val="auto"/>
          <w:lang w:val="en-US" w:eastAsia="zh-CN"/>
        </w:rPr>
        <w:t>为</w:t>
      </w:r>
      <w:r>
        <w:rPr>
          <w:rFonts w:hint="default" w:ascii="Times New Roman" w:hAnsi="Times New Roman" w:eastAsia="宋体" w:cs="Times New Roman"/>
          <w:color w:val="auto"/>
          <w:lang w:eastAsia="zh-CN"/>
        </w:rPr>
        <w:t>净化气。</w:t>
      </w:r>
    </w:p>
    <w:p w14:paraId="26BD2FCA">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1.4.2 评价重点</w:t>
      </w:r>
    </w:p>
    <w:p w14:paraId="719712E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（1）本次评价工作的重点是工程分析，选线合理性；</w:t>
      </w:r>
    </w:p>
    <w:p w14:paraId="01BA896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（2）施工期重点分析生态环境影响，运营期重点分析事故状态甲烷</w:t>
      </w:r>
      <w:r>
        <w:rPr>
          <w:rFonts w:hint="default" w:ascii="Times New Roman" w:hAnsi="Times New Roman" w:eastAsia="宋体" w:cs="Times New Roman"/>
          <w:color w:val="auto"/>
          <w:shd w:val="clear" w:fill="FFFFFF"/>
        </w:rPr>
        <w:t>泄漏下</w:t>
      </w:r>
      <w:r>
        <w:rPr>
          <w:rFonts w:hint="default" w:ascii="Times New Roman" w:hAnsi="Times New Roman" w:eastAsia="宋体" w:cs="Times New Roman"/>
          <w:color w:val="auto"/>
        </w:rPr>
        <w:t>对周围环境的影响及造成的后果，并根据影响分析及预测结果提出相应的污染防治措施；</w:t>
      </w:r>
    </w:p>
    <w:p w14:paraId="15CEEF37">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（3）重点分析临时占地对永久基本农田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天然林</w:t>
      </w:r>
      <w:r>
        <w:rPr>
          <w:rFonts w:hint="default" w:ascii="Times New Roman" w:hAnsi="Times New Roman" w:eastAsia="宋体" w:cs="Times New Roman"/>
          <w:color w:val="auto"/>
        </w:rPr>
        <w:t>的影响。</w:t>
      </w:r>
    </w:p>
    <w:p w14:paraId="68DDFF9B">
      <w:pPr>
        <w:spacing w:line="460" w:lineRule="exact"/>
        <w:ind w:firstLine="522"/>
        <w:outlineLvl w:val="1"/>
        <w:rPr>
          <w:rFonts w:hint="default" w:ascii="Times New Roman" w:hAnsi="Times New Roman" w:eastAsia="宋体" w:cs="Times New Roman"/>
          <w:b/>
          <w:color w:val="auto"/>
          <w:sz w:val="26"/>
          <w:szCs w:val="26"/>
        </w:rPr>
      </w:pPr>
      <w:bookmarkStart w:id="41" w:name="_Toc45551061"/>
      <w:bookmarkStart w:id="42" w:name="_Toc30331"/>
      <w:bookmarkStart w:id="43" w:name="_Toc60144375"/>
      <w:bookmarkStart w:id="44" w:name="_Toc12349"/>
      <w:r>
        <w:rPr>
          <w:rFonts w:hint="default" w:ascii="Times New Roman" w:hAnsi="Times New Roman" w:eastAsia="宋体" w:cs="Times New Roman"/>
          <w:b/>
          <w:color w:val="auto"/>
          <w:sz w:val="26"/>
          <w:szCs w:val="26"/>
        </w:rPr>
        <w:t>1.5 环境影响识别和评价因子筛选</w:t>
      </w:r>
      <w:bookmarkEnd w:id="37"/>
      <w:bookmarkEnd w:id="41"/>
      <w:bookmarkEnd w:id="42"/>
      <w:bookmarkEnd w:id="43"/>
      <w:bookmarkEnd w:id="44"/>
    </w:p>
    <w:p w14:paraId="60180C05">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1.5.1 环境影响要素识别</w:t>
      </w:r>
    </w:p>
    <w:p w14:paraId="3F8B289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本项目主要为输气管道工程，对环境的影响主要体现在施工期和运营期。环境影响因子识别详见表1.5-1。</w:t>
      </w:r>
    </w:p>
    <w:p w14:paraId="2545BA16">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（1）施工期</w:t>
      </w:r>
    </w:p>
    <w:p w14:paraId="724B97F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生态：施工过程中对生态环境的影响主要是以下几个方面：施工征占地改变土地利用类型；施工活动对沿线植被、动物以及生态系统的影响；施工过程中挖填活动造成水土流失等。</w:t>
      </w:r>
    </w:p>
    <w:p w14:paraId="64A4661C">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废水：施工期产生的污废水主要有管道试压产生的试压废水；施工人员在施工过程中产生的生活污水。</w:t>
      </w:r>
    </w:p>
    <w:p w14:paraId="469D46E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废气：施工期废气主要为管沟开挖、车辆运输、管沟回填时产生的施工扬尘；管道铺设过程使用工程机械和运输车辆产生的施工机具尾气；管道焊接过程产生的焊接烟尘；碰口前置换出的天然气点火放空时产生的废气。</w:t>
      </w:r>
    </w:p>
    <w:p w14:paraId="046FC7A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噪声：施工期噪声源主要来自施工作业机械，如挖掘机、电焊机、运输车辆等设备噪声。</w:t>
      </w:r>
    </w:p>
    <w:p w14:paraId="2B33AE1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固废：施工期产生的固体废物主要是施工人员产生的生活垃圾；废包装材料、废焊条，铁屑、粉尘，废金属等施工废料。</w:t>
      </w:r>
    </w:p>
    <w:p w14:paraId="6CECC4A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（2）运营期</w:t>
      </w:r>
    </w:p>
    <w:p w14:paraId="48148AD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本项目为</w:t>
      </w:r>
      <w:r>
        <w:rPr>
          <w:rFonts w:hint="default" w:ascii="Times New Roman" w:hAnsi="Times New Roman" w:eastAsia="宋体" w:cs="Times New Roman"/>
          <w:color w:val="auto"/>
          <w:lang w:eastAsia="zh-CN"/>
        </w:rPr>
        <w:t>天然气管道改建项目</w:t>
      </w:r>
      <w:r>
        <w:rPr>
          <w:rFonts w:hint="default" w:ascii="Times New Roman" w:hAnsi="Times New Roman" w:eastAsia="宋体" w:cs="Times New Roman"/>
          <w:color w:val="auto"/>
        </w:rPr>
        <w:t>，运营期正常工况下不排放污染物，非正常工况下将产生一定量的清管废渣、清管废水、放空废气等。存在的风险主要为管道破损天然气泄漏。项目运营期对生态环境的影响主要表现为管道中线两侧5m范围内不能再种植深根系植物对农业、植被的影响。</w:t>
      </w:r>
    </w:p>
    <w:p w14:paraId="40C8302D">
      <w:pPr>
        <w:pStyle w:val="56"/>
        <w:rPr>
          <w:rFonts w:hint="default" w:ascii="Times New Roman" w:hAnsi="Times New Roman" w:eastAsia="宋体" w:cs="Times New Roman"/>
          <w:color w:val="auto"/>
        </w:rPr>
      </w:pPr>
    </w:p>
    <w:p w14:paraId="68E107D0">
      <w:pPr>
        <w:pStyle w:val="56"/>
        <w:rPr>
          <w:rFonts w:hint="default" w:ascii="Times New Roman" w:hAnsi="Times New Roman" w:eastAsia="宋体" w:cs="Times New Roman"/>
          <w:color w:val="auto"/>
        </w:rPr>
        <w:sectPr>
          <w:type w:val="continuous"/>
          <w:pgSz w:w="11906" w:h="16838"/>
          <w:pgMar w:top="1418" w:right="1588" w:bottom="1418" w:left="1588" w:header="851" w:footer="992" w:gutter="0"/>
          <w:pgBorders>
            <w:top w:val="none" w:sz="0" w:space="0"/>
            <w:left w:val="none" w:sz="0" w:space="0"/>
            <w:bottom w:val="none" w:sz="0" w:space="0"/>
            <w:right w:val="none" w:sz="0" w:space="0"/>
          </w:pgBorders>
          <w:cols w:space="720" w:num="1"/>
          <w:docGrid w:linePitch="312" w:charSpace="0"/>
        </w:sectPr>
      </w:pPr>
    </w:p>
    <w:p w14:paraId="1425917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-1 环境影响因子识别结果统计表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706"/>
        <w:gridCol w:w="2261"/>
        <w:gridCol w:w="2906"/>
        <w:gridCol w:w="825"/>
        <w:gridCol w:w="825"/>
        <w:gridCol w:w="825"/>
        <w:gridCol w:w="825"/>
        <w:gridCol w:w="825"/>
        <w:gridCol w:w="825"/>
        <w:gridCol w:w="825"/>
        <w:gridCol w:w="847"/>
        <w:gridCol w:w="847"/>
      </w:tblGrid>
      <w:tr w14:paraId="5280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91" w:type="pct"/>
            <w:noWrap w:val="0"/>
            <w:vAlign w:val="center"/>
          </w:tcPr>
          <w:p w14:paraId="6BF0D64A">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1068" w:type="pct"/>
            <w:gridSpan w:val="2"/>
            <w:noWrap w:val="0"/>
            <w:vAlign w:val="center"/>
          </w:tcPr>
          <w:p w14:paraId="5DD5110C">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环境影响因素</w:t>
            </w:r>
          </w:p>
        </w:tc>
        <w:tc>
          <w:tcPr>
            <w:tcW w:w="1046" w:type="pct"/>
            <w:noWrap w:val="0"/>
            <w:vAlign w:val="center"/>
          </w:tcPr>
          <w:p w14:paraId="22CF0AF2">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主要影响因子</w:t>
            </w:r>
          </w:p>
        </w:tc>
        <w:tc>
          <w:tcPr>
            <w:tcW w:w="297" w:type="pct"/>
            <w:noWrap w:val="0"/>
            <w:vAlign w:val="center"/>
          </w:tcPr>
          <w:p w14:paraId="74AC88FA">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统计结果</w:t>
            </w:r>
          </w:p>
        </w:tc>
        <w:tc>
          <w:tcPr>
            <w:tcW w:w="297" w:type="pct"/>
            <w:noWrap w:val="0"/>
            <w:vAlign w:val="center"/>
          </w:tcPr>
          <w:p w14:paraId="1584114A">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297" w:type="pct"/>
            <w:noWrap w:val="0"/>
            <w:vAlign w:val="center"/>
          </w:tcPr>
          <w:p w14:paraId="242707A1">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97" w:type="pct"/>
            <w:noWrap w:val="0"/>
            <w:vAlign w:val="center"/>
          </w:tcPr>
          <w:p w14:paraId="78AC81CB">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297" w:type="pct"/>
            <w:noWrap w:val="0"/>
            <w:vAlign w:val="center"/>
          </w:tcPr>
          <w:p w14:paraId="275F0125">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297" w:type="pct"/>
            <w:noWrap w:val="0"/>
            <w:vAlign w:val="center"/>
          </w:tcPr>
          <w:p w14:paraId="3A4D2E3E">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植被</w:t>
            </w:r>
          </w:p>
        </w:tc>
        <w:tc>
          <w:tcPr>
            <w:tcW w:w="297" w:type="pct"/>
            <w:noWrap w:val="0"/>
            <w:vAlign w:val="center"/>
          </w:tcPr>
          <w:p w14:paraId="0B738954">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动物</w:t>
            </w:r>
          </w:p>
        </w:tc>
        <w:tc>
          <w:tcPr>
            <w:tcW w:w="305" w:type="pct"/>
            <w:noWrap w:val="0"/>
            <w:vAlign w:val="center"/>
          </w:tcPr>
          <w:p w14:paraId="008C44E2">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景观</w:t>
            </w:r>
          </w:p>
        </w:tc>
        <w:tc>
          <w:tcPr>
            <w:tcW w:w="305" w:type="pct"/>
            <w:noWrap w:val="0"/>
            <w:vAlign w:val="center"/>
          </w:tcPr>
          <w:p w14:paraId="6E51A69B">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r>
      <w:tr w14:paraId="5636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restart"/>
            <w:noWrap w:val="0"/>
            <w:vAlign w:val="center"/>
          </w:tcPr>
          <w:p w14:paraId="74D801BC">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254" w:type="pct"/>
            <w:vMerge w:val="restart"/>
            <w:noWrap w:val="0"/>
            <w:vAlign w:val="center"/>
          </w:tcPr>
          <w:p w14:paraId="78011895">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14" w:type="pct"/>
            <w:noWrap w:val="0"/>
            <w:vAlign w:val="center"/>
          </w:tcPr>
          <w:p w14:paraId="6C5390D6">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管道试压排水</w:t>
            </w:r>
          </w:p>
        </w:tc>
        <w:tc>
          <w:tcPr>
            <w:tcW w:w="1046" w:type="pct"/>
            <w:noWrap w:val="0"/>
            <w:vAlign w:val="center"/>
          </w:tcPr>
          <w:p w14:paraId="3F6AA169">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297" w:type="pct"/>
            <w:noWrap w:val="0"/>
            <w:vAlign w:val="center"/>
          </w:tcPr>
          <w:p w14:paraId="1BBB131D">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15DDF83F">
            <w:pPr>
              <w:pStyle w:val="60"/>
              <w:rPr>
                <w:rFonts w:hint="default" w:ascii="Times New Roman" w:hAnsi="Times New Roman" w:eastAsia="宋体" w:cs="Times New Roman"/>
                <w:color w:val="auto"/>
                <w:sz w:val="21"/>
                <w:szCs w:val="21"/>
              </w:rPr>
            </w:pPr>
          </w:p>
        </w:tc>
        <w:tc>
          <w:tcPr>
            <w:tcW w:w="297" w:type="pct"/>
            <w:noWrap w:val="0"/>
            <w:vAlign w:val="center"/>
          </w:tcPr>
          <w:p w14:paraId="02D78F25">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135DDDE0">
            <w:pPr>
              <w:pStyle w:val="60"/>
              <w:rPr>
                <w:rFonts w:hint="default" w:ascii="Times New Roman" w:hAnsi="Times New Roman" w:eastAsia="宋体" w:cs="Times New Roman"/>
                <w:color w:val="auto"/>
                <w:sz w:val="21"/>
                <w:szCs w:val="21"/>
              </w:rPr>
            </w:pPr>
          </w:p>
        </w:tc>
        <w:tc>
          <w:tcPr>
            <w:tcW w:w="297" w:type="pct"/>
            <w:noWrap w:val="0"/>
            <w:vAlign w:val="center"/>
          </w:tcPr>
          <w:p w14:paraId="0CA12257">
            <w:pPr>
              <w:pStyle w:val="60"/>
              <w:rPr>
                <w:rFonts w:hint="default" w:ascii="Times New Roman" w:hAnsi="Times New Roman" w:eastAsia="宋体" w:cs="Times New Roman"/>
                <w:color w:val="auto"/>
                <w:sz w:val="21"/>
                <w:szCs w:val="21"/>
              </w:rPr>
            </w:pPr>
          </w:p>
        </w:tc>
        <w:tc>
          <w:tcPr>
            <w:tcW w:w="297" w:type="pct"/>
            <w:noWrap w:val="0"/>
            <w:vAlign w:val="center"/>
          </w:tcPr>
          <w:p w14:paraId="02F11A4C">
            <w:pPr>
              <w:pStyle w:val="60"/>
              <w:rPr>
                <w:rFonts w:hint="default" w:ascii="Times New Roman" w:hAnsi="Times New Roman" w:eastAsia="宋体" w:cs="Times New Roman"/>
                <w:color w:val="auto"/>
                <w:sz w:val="21"/>
                <w:szCs w:val="21"/>
              </w:rPr>
            </w:pPr>
          </w:p>
        </w:tc>
        <w:tc>
          <w:tcPr>
            <w:tcW w:w="297" w:type="pct"/>
            <w:noWrap w:val="0"/>
            <w:vAlign w:val="center"/>
          </w:tcPr>
          <w:p w14:paraId="576CBF7F">
            <w:pPr>
              <w:pStyle w:val="60"/>
              <w:rPr>
                <w:rFonts w:hint="default" w:ascii="Times New Roman" w:hAnsi="Times New Roman" w:eastAsia="宋体" w:cs="Times New Roman"/>
                <w:color w:val="auto"/>
                <w:sz w:val="21"/>
                <w:szCs w:val="21"/>
              </w:rPr>
            </w:pPr>
          </w:p>
        </w:tc>
        <w:tc>
          <w:tcPr>
            <w:tcW w:w="305" w:type="pct"/>
            <w:noWrap w:val="0"/>
            <w:vAlign w:val="center"/>
          </w:tcPr>
          <w:p w14:paraId="363764B2">
            <w:pPr>
              <w:pStyle w:val="60"/>
              <w:rPr>
                <w:rFonts w:hint="default" w:ascii="Times New Roman" w:hAnsi="Times New Roman" w:eastAsia="宋体" w:cs="Times New Roman"/>
                <w:color w:val="auto"/>
                <w:sz w:val="21"/>
                <w:szCs w:val="21"/>
              </w:rPr>
            </w:pPr>
          </w:p>
        </w:tc>
        <w:tc>
          <w:tcPr>
            <w:tcW w:w="305" w:type="pct"/>
            <w:noWrap w:val="0"/>
            <w:vAlign w:val="center"/>
          </w:tcPr>
          <w:p w14:paraId="4580E5F0">
            <w:pPr>
              <w:pStyle w:val="60"/>
              <w:rPr>
                <w:rFonts w:hint="default" w:ascii="Times New Roman" w:hAnsi="Times New Roman" w:eastAsia="宋体" w:cs="Times New Roman"/>
                <w:color w:val="auto"/>
                <w:sz w:val="21"/>
                <w:szCs w:val="21"/>
              </w:rPr>
            </w:pPr>
          </w:p>
        </w:tc>
      </w:tr>
      <w:tr w14:paraId="1C48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continue"/>
            <w:noWrap w:val="0"/>
            <w:vAlign w:val="center"/>
          </w:tcPr>
          <w:p w14:paraId="7389E0D3">
            <w:pPr>
              <w:pStyle w:val="60"/>
              <w:rPr>
                <w:rFonts w:hint="default" w:ascii="Times New Roman" w:hAnsi="Times New Roman" w:eastAsia="宋体" w:cs="Times New Roman"/>
                <w:color w:val="auto"/>
                <w:sz w:val="21"/>
                <w:szCs w:val="21"/>
              </w:rPr>
            </w:pPr>
          </w:p>
        </w:tc>
        <w:tc>
          <w:tcPr>
            <w:tcW w:w="254" w:type="pct"/>
            <w:vMerge w:val="continue"/>
            <w:noWrap w:val="0"/>
            <w:vAlign w:val="center"/>
          </w:tcPr>
          <w:p w14:paraId="125CCD1C">
            <w:pPr>
              <w:pStyle w:val="60"/>
              <w:rPr>
                <w:rFonts w:hint="default" w:ascii="Times New Roman" w:hAnsi="Times New Roman" w:eastAsia="宋体" w:cs="Times New Roman"/>
                <w:color w:val="auto"/>
                <w:sz w:val="21"/>
                <w:szCs w:val="21"/>
              </w:rPr>
            </w:pPr>
          </w:p>
        </w:tc>
        <w:tc>
          <w:tcPr>
            <w:tcW w:w="814" w:type="pct"/>
            <w:noWrap w:val="0"/>
            <w:vAlign w:val="center"/>
          </w:tcPr>
          <w:p w14:paraId="778D7AF3">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046" w:type="pct"/>
            <w:noWrap w:val="0"/>
            <w:vAlign w:val="center"/>
          </w:tcPr>
          <w:p w14:paraId="6DF7AD94">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、氨氮、SS</w:t>
            </w:r>
          </w:p>
        </w:tc>
        <w:tc>
          <w:tcPr>
            <w:tcW w:w="297" w:type="pct"/>
            <w:noWrap w:val="0"/>
            <w:vAlign w:val="center"/>
          </w:tcPr>
          <w:p w14:paraId="6137758E">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1EF1B70C">
            <w:pPr>
              <w:pStyle w:val="60"/>
              <w:rPr>
                <w:rFonts w:hint="default" w:ascii="Times New Roman" w:hAnsi="Times New Roman" w:eastAsia="宋体" w:cs="Times New Roman"/>
                <w:color w:val="auto"/>
                <w:sz w:val="21"/>
                <w:szCs w:val="21"/>
              </w:rPr>
            </w:pPr>
          </w:p>
        </w:tc>
        <w:tc>
          <w:tcPr>
            <w:tcW w:w="297" w:type="pct"/>
            <w:noWrap w:val="0"/>
            <w:vAlign w:val="center"/>
          </w:tcPr>
          <w:p w14:paraId="63FC8D3A">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56565327">
            <w:pPr>
              <w:pStyle w:val="60"/>
              <w:rPr>
                <w:rFonts w:hint="default" w:ascii="Times New Roman" w:hAnsi="Times New Roman" w:eastAsia="宋体" w:cs="Times New Roman"/>
                <w:color w:val="auto"/>
                <w:sz w:val="21"/>
                <w:szCs w:val="21"/>
              </w:rPr>
            </w:pPr>
          </w:p>
        </w:tc>
        <w:tc>
          <w:tcPr>
            <w:tcW w:w="297" w:type="pct"/>
            <w:noWrap w:val="0"/>
            <w:vAlign w:val="center"/>
          </w:tcPr>
          <w:p w14:paraId="2421EB47">
            <w:pPr>
              <w:pStyle w:val="60"/>
              <w:rPr>
                <w:rFonts w:hint="default" w:ascii="Times New Roman" w:hAnsi="Times New Roman" w:eastAsia="宋体" w:cs="Times New Roman"/>
                <w:color w:val="auto"/>
                <w:sz w:val="21"/>
                <w:szCs w:val="21"/>
              </w:rPr>
            </w:pPr>
          </w:p>
        </w:tc>
        <w:tc>
          <w:tcPr>
            <w:tcW w:w="297" w:type="pct"/>
            <w:noWrap w:val="0"/>
            <w:vAlign w:val="center"/>
          </w:tcPr>
          <w:p w14:paraId="7C2E838B">
            <w:pPr>
              <w:pStyle w:val="60"/>
              <w:rPr>
                <w:rFonts w:hint="default" w:ascii="Times New Roman" w:hAnsi="Times New Roman" w:eastAsia="宋体" w:cs="Times New Roman"/>
                <w:color w:val="auto"/>
                <w:sz w:val="21"/>
                <w:szCs w:val="21"/>
              </w:rPr>
            </w:pPr>
          </w:p>
        </w:tc>
        <w:tc>
          <w:tcPr>
            <w:tcW w:w="297" w:type="pct"/>
            <w:noWrap w:val="0"/>
            <w:vAlign w:val="center"/>
          </w:tcPr>
          <w:p w14:paraId="646A99FF">
            <w:pPr>
              <w:pStyle w:val="60"/>
              <w:rPr>
                <w:rFonts w:hint="default" w:ascii="Times New Roman" w:hAnsi="Times New Roman" w:eastAsia="宋体" w:cs="Times New Roman"/>
                <w:color w:val="auto"/>
                <w:sz w:val="21"/>
                <w:szCs w:val="21"/>
              </w:rPr>
            </w:pPr>
          </w:p>
        </w:tc>
        <w:tc>
          <w:tcPr>
            <w:tcW w:w="305" w:type="pct"/>
            <w:noWrap w:val="0"/>
            <w:vAlign w:val="center"/>
          </w:tcPr>
          <w:p w14:paraId="2CA43552">
            <w:pPr>
              <w:pStyle w:val="60"/>
              <w:rPr>
                <w:rFonts w:hint="default" w:ascii="Times New Roman" w:hAnsi="Times New Roman" w:eastAsia="宋体" w:cs="Times New Roman"/>
                <w:color w:val="auto"/>
                <w:sz w:val="21"/>
                <w:szCs w:val="21"/>
              </w:rPr>
            </w:pPr>
          </w:p>
        </w:tc>
        <w:tc>
          <w:tcPr>
            <w:tcW w:w="305" w:type="pct"/>
            <w:noWrap w:val="0"/>
            <w:vAlign w:val="center"/>
          </w:tcPr>
          <w:p w14:paraId="54A3B333">
            <w:pPr>
              <w:pStyle w:val="60"/>
              <w:rPr>
                <w:rFonts w:hint="default" w:ascii="Times New Roman" w:hAnsi="Times New Roman" w:eastAsia="宋体" w:cs="Times New Roman"/>
                <w:color w:val="auto"/>
                <w:sz w:val="21"/>
                <w:szCs w:val="21"/>
              </w:rPr>
            </w:pPr>
          </w:p>
        </w:tc>
      </w:tr>
      <w:tr w14:paraId="36A5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continue"/>
            <w:noWrap w:val="0"/>
            <w:vAlign w:val="center"/>
          </w:tcPr>
          <w:p w14:paraId="7CEFED1D">
            <w:pPr>
              <w:pStyle w:val="60"/>
              <w:rPr>
                <w:rFonts w:hint="default" w:ascii="Times New Roman" w:hAnsi="Times New Roman" w:eastAsia="宋体" w:cs="Times New Roman"/>
                <w:color w:val="auto"/>
                <w:sz w:val="21"/>
                <w:szCs w:val="21"/>
              </w:rPr>
            </w:pPr>
          </w:p>
        </w:tc>
        <w:tc>
          <w:tcPr>
            <w:tcW w:w="254" w:type="pct"/>
            <w:vMerge w:val="restart"/>
            <w:noWrap w:val="0"/>
            <w:vAlign w:val="center"/>
          </w:tcPr>
          <w:p w14:paraId="3D2A6D74">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14" w:type="pct"/>
            <w:noWrap w:val="0"/>
            <w:vAlign w:val="center"/>
          </w:tcPr>
          <w:p w14:paraId="07CF31D4">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施工扬尘</w:t>
            </w:r>
          </w:p>
        </w:tc>
        <w:tc>
          <w:tcPr>
            <w:tcW w:w="1046" w:type="pct"/>
            <w:noWrap w:val="0"/>
            <w:vAlign w:val="center"/>
          </w:tcPr>
          <w:p w14:paraId="0865E9AA">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297" w:type="pct"/>
            <w:noWrap w:val="0"/>
            <w:vAlign w:val="center"/>
          </w:tcPr>
          <w:p w14:paraId="31D4462D">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0FD6BFF2">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31057D9C">
            <w:pPr>
              <w:pStyle w:val="60"/>
              <w:rPr>
                <w:rFonts w:hint="default" w:ascii="Times New Roman" w:hAnsi="Times New Roman" w:eastAsia="宋体" w:cs="Times New Roman"/>
                <w:color w:val="auto"/>
                <w:sz w:val="21"/>
                <w:szCs w:val="21"/>
              </w:rPr>
            </w:pPr>
          </w:p>
        </w:tc>
        <w:tc>
          <w:tcPr>
            <w:tcW w:w="297" w:type="pct"/>
            <w:noWrap w:val="0"/>
            <w:vAlign w:val="center"/>
          </w:tcPr>
          <w:p w14:paraId="45D6C58B">
            <w:pPr>
              <w:pStyle w:val="60"/>
              <w:rPr>
                <w:rFonts w:hint="default" w:ascii="Times New Roman" w:hAnsi="Times New Roman" w:eastAsia="宋体" w:cs="Times New Roman"/>
                <w:color w:val="auto"/>
                <w:sz w:val="21"/>
                <w:szCs w:val="21"/>
              </w:rPr>
            </w:pPr>
          </w:p>
        </w:tc>
        <w:tc>
          <w:tcPr>
            <w:tcW w:w="297" w:type="pct"/>
            <w:noWrap w:val="0"/>
            <w:vAlign w:val="center"/>
          </w:tcPr>
          <w:p w14:paraId="3BDC8515">
            <w:pPr>
              <w:pStyle w:val="60"/>
              <w:rPr>
                <w:rFonts w:hint="default" w:ascii="Times New Roman" w:hAnsi="Times New Roman" w:eastAsia="宋体" w:cs="Times New Roman"/>
                <w:color w:val="auto"/>
                <w:sz w:val="21"/>
                <w:szCs w:val="21"/>
              </w:rPr>
            </w:pPr>
          </w:p>
        </w:tc>
        <w:tc>
          <w:tcPr>
            <w:tcW w:w="297" w:type="pct"/>
            <w:noWrap w:val="0"/>
            <w:vAlign w:val="center"/>
          </w:tcPr>
          <w:p w14:paraId="7BC17C89">
            <w:pPr>
              <w:pStyle w:val="60"/>
              <w:rPr>
                <w:rFonts w:hint="default" w:ascii="Times New Roman" w:hAnsi="Times New Roman" w:eastAsia="宋体" w:cs="Times New Roman"/>
                <w:color w:val="auto"/>
                <w:sz w:val="21"/>
                <w:szCs w:val="21"/>
              </w:rPr>
            </w:pPr>
          </w:p>
        </w:tc>
        <w:tc>
          <w:tcPr>
            <w:tcW w:w="297" w:type="pct"/>
            <w:noWrap w:val="0"/>
            <w:vAlign w:val="center"/>
          </w:tcPr>
          <w:p w14:paraId="39B3C749">
            <w:pPr>
              <w:pStyle w:val="60"/>
              <w:rPr>
                <w:rFonts w:hint="default" w:ascii="Times New Roman" w:hAnsi="Times New Roman" w:eastAsia="宋体" w:cs="Times New Roman"/>
                <w:color w:val="auto"/>
                <w:sz w:val="21"/>
                <w:szCs w:val="21"/>
              </w:rPr>
            </w:pPr>
          </w:p>
        </w:tc>
        <w:tc>
          <w:tcPr>
            <w:tcW w:w="305" w:type="pct"/>
            <w:noWrap w:val="0"/>
            <w:vAlign w:val="center"/>
          </w:tcPr>
          <w:p w14:paraId="15035622">
            <w:pPr>
              <w:pStyle w:val="60"/>
              <w:rPr>
                <w:rFonts w:hint="default" w:ascii="Times New Roman" w:hAnsi="Times New Roman" w:eastAsia="宋体" w:cs="Times New Roman"/>
                <w:color w:val="auto"/>
                <w:sz w:val="21"/>
                <w:szCs w:val="21"/>
              </w:rPr>
            </w:pPr>
          </w:p>
        </w:tc>
        <w:tc>
          <w:tcPr>
            <w:tcW w:w="305" w:type="pct"/>
            <w:noWrap w:val="0"/>
            <w:vAlign w:val="center"/>
          </w:tcPr>
          <w:p w14:paraId="7147D735">
            <w:pPr>
              <w:pStyle w:val="60"/>
              <w:rPr>
                <w:rFonts w:hint="default" w:ascii="Times New Roman" w:hAnsi="Times New Roman" w:eastAsia="宋体" w:cs="Times New Roman"/>
                <w:color w:val="auto"/>
                <w:sz w:val="21"/>
                <w:szCs w:val="21"/>
              </w:rPr>
            </w:pPr>
          </w:p>
        </w:tc>
      </w:tr>
      <w:tr w14:paraId="60B3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continue"/>
            <w:noWrap w:val="0"/>
            <w:vAlign w:val="center"/>
          </w:tcPr>
          <w:p w14:paraId="577AF892">
            <w:pPr>
              <w:pStyle w:val="60"/>
              <w:rPr>
                <w:rFonts w:hint="default" w:ascii="Times New Roman" w:hAnsi="Times New Roman" w:eastAsia="宋体" w:cs="Times New Roman"/>
                <w:color w:val="auto"/>
                <w:sz w:val="21"/>
                <w:szCs w:val="21"/>
              </w:rPr>
            </w:pPr>
          </w:p>
        </w:tc>
        <w:tc>
          <w:tcPr>
            <w:tcW w:w="254" w:type="pct"/>
            <w:vMerge w:val="continue"/>
            <w:noWrap w:val="0"/>
            <w:vAlign w:val="center"/>
          </w:tcPr>
          <w:p w14:paraId="1A0E3B68">
            <w:pPr>
              <w:pStyle w:val="60"/>
              <w:rPr>
                <w:rFonts w:hint="default" w:ascii="Times New Roman" w:hAnsi="Times New Roman" w:eastAsia="宋体" w:cs="Times New Roman"/>
                <w:color w:val="auto"/>
                <w:sz w:val="21"/>
                <w:szCs w:val="21"/>
              </w:rPr>
            </w:pPr>
          </w:p>
        </w:tc>
        <w:tc>
          <w:tcPr>
            <w:tcW w:w="814" w:type="pct"/>
            <w:noWrap w:val="0"/>
            <w:vAlign w:val="center"/>
          </w:tcPr>
          <w:p w14:paraId="46332A21">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焊接废气</w:t>
            </w:r>
          </w:p>
        </w:tc>
        <w:tc>
          <w:tcPr>
            <w:tcW w:w="1046" w:type="pct"/>
            <w:noWrap w:val="0"/>
            <w:vAlign w:val="center"/>
          </w:tcPr>
          <w:p w14:paraId="3415B526">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焊接烟尘</w:t>
            </w:r>
          </w:p>
        </w:tc>
        <w:tc>
          <w:tcPr>
            <w:tcW w:w="297" w:type="pct"/>
            <w:noWrap w:val="0"/>
            <w:vAlign w:val="center"/>
          </w:tcPr>
          <w:p w14:paraId="59FAA3FD">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62B6F66E">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3EB15BB6">
            <w:pPr>
              <w:pStyle w:val="60"/>
              <w:rPr>
                <w:rFonts w:hint="default" w:ascii="Times New Roman" w:hAnsi="Times New Roman" w:eastAsia="宋体" w:cs="Times New Roman"/>
                <w:color w:val="auto"/>
                <w:sz w:val="21"/>
                <w:szCs w:val="21"/>
              </w:rPr>
            </w:pPr>
          </w:p>
        </w:tc>
        <w:tc>
          <w:tcPr>
            <w:tcW w:w="297" w:type="pct"/>
            <w:noWrap w:val="0"/>
            <w:vAlign w:val="center"/>
          </w:tcPr>
          <w:p w14:paraId="1266BEC2">
            <w:pPr>
              <w:pStyle w:val="60"/>
              <w:rPr>
                <w:rFonts w:hint="default" w:ascii="Times New Roman" w:hAnsi="Times New Roman" w:eastAsia="宋体" w:cs="Times New Roman"/>
                <w:color w:val="auto"/>
                <w:sz w:val="21"/>
                <w:szCs w:val="21"/>
              </w:rPr>
            </w:pPr>
          </w:p>
        </w:tc>
        <w:tc>
          <w:tcPr>
            <w:tcW w:w="297" w:type="pct"/>
            <w:noWrap w:val="0"/>
            <w:vAlign w:val="center"/>
          </w:tcPr>
          <w:p w14:paraId="381EB0E6">
            <w:pPr>
              <w:pStyle w:val="60"/>
              <w:rPr>
                <w:rFonts w:hint="default" w:ascii="Times New Roman" w:hAnsi="Times New Roman" w:eastAsia="宋体" w:cs="Times New Roman"/>
                <w:color w:val="auto"/>
                <w:sz w:val="21"/>
                <w:szCs w:val="21"/>
              </w:rPr>
            </w:pPr>
          </w:p>
        </w:tc>
        <w:tc>
          <w:tcPr>
            <w:tcW w:w="297" w:type="pct"/>
            <w:noWrap w:val="0"/>
            <w:vAlign w:val="center"/>
          </w:tcPr>
          <w:p w14:paraId="073268A8">
            <w:pPr>
              <w:pStyle w:val="60"/>
              <w:rPr>
                <w:rFonts w:hint="default" w:ascii="Times New Roman" w:hAnsi="Times New Roman" w:eastAsia="宋体" w:cs="Times New Roman"/>
                <w:color w:val="auto"/>
                <w:sz w:val="21"/>
                <w:szCs w:val="21"/>
              </w:rPr>
            </w:pPr>
          </w:p>
        </w:tc>
        <w:tc>
          <w:tcPr>
            <w:tcW w:w="297" w:type="pct"/>
            <w:noWrap w:val="0"/>
            <w:vAlign w:val="center"/>
          </w:tcPr>
          <w:p w14:paraId="71125969">
            <w:pPr>
              <w:pStyle w:val="60"/>
              <w:rPr>
                <w:rFonts w:hint="default" w:ascii="Times New Roman" w:hAnsi="Times New Roman" w:eastAsia="宋体" w:cs="Times New Roman"/>
                <w:color w:val="auto"/>
                <w:sz w:val="21"/>
                <w:szCs w:val="21"/>
              </w:rPr>
            </w:pPr>
          </w:p>
        </w:tc>
        <w:tc>
          <w:tcPr>
            <w:tcW w:w="305" w:type="pct"/>
            <w:noWrap w:val="0"/>
            <w:vAlign w:val="center"/>
          </w:tcPr>
          <w:p w14:paraId="04947120">
            <w:pPr>
              <w:pStyle w:val="60"/>
              <w:rPr>
                <w:rFonts w:hint="default" w:ascii="Times New Roman" w:hAnsi="Times New Roman" w:eastAsia="宋体" w:cs="Times New Roman"/>
                <w:color w:val="auto"/>
                <w:sz w:val="21"/>
                <w:szCs w:val="21"/>
              </w:rPr>
            </w:pPr>
          </w:p>
        </w:tc>
        <w:tc>
          <w:tcPr>
            <w:tcW w:w="305" w:type="pct"/>
            <w:noWrap w:val="0"/>
            <w:vAlign w:val="center"/>
          </w:tcPr>
          <w:p w14:paraId="377E655D">
            <w:pPr>
              <w:pStyle w:val="60"/>
              <w:rPr>
                <w:rFonts w:hint="default" w:ascii="Times New Roman" w:hAnsi="Times New Roman" w:eastAsia="宋体" w:cs="Times New Roman"/>
                <w:color w:val="auto"/>
                <w:sz w:val="21"/>
                <w:szCs w:val="21"/>
              </w:rPr>
            </w:pPr>
          </w:p>
        </w:tc>
      </w:tr>
      <w:tr w14:paraId="264D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continue"/>
            <w:noWrap w:val="0"/>
            <w:vAlign w:val="center"/>
          </w:tcPr>
          <w:p w14:paraId="2B4E5302">
            <w:pPr>
              <w:pStyle w:val="60"/>
              <w:rPr>
                <w:rFonts w:hint="default" w:ascii="Times New Roman" w:hAnsi="Times New Roman" w:eastAsia="宋体" w:cs="Times New Roman"/>
                <w:color w:val="auto"/>
                <w:sz w:val="21"/>
                <w:szCs w:val="21"/>
              </w:rPr>
            </w:pPr>
          </w:p>
        </w:tc>
        <w:tc>
          <w:tcPr>
            <w:tcW w:w="254" w:type="pct"/>
            <w:vMerge w:val="continue"/>
            <w:noWrap w:val="0"/>
            <w:vAlign w:val="center"/>
          </w:tcPr>
          <w:p w14:paraId="760ED1A1">
            <w:pPr>
              <w:pStyle w:val="60"/>
              <w:rPr>
                <w:rFonts w:hint="default" w:ascii="Times New Roman" w:hAnsi="Times New Roman" w:eastAsia="宋体" w:cs="Times New Roman"/>
                <w:color w:val="auto"/>
                <w:sz w:val="21"/>
                <w:szCs w:val="21"/>
              </w:rPr>
            </w:pPr>
          </w:p>
        </w:tc>
        <w:tc>
          <w:tcPr>
            <w:tcW w:w="814" w:type="pct"/>
            <w:noWrap w:val="0"/>
            <w:vAlign w:val="center"/>
          </w:tcPr>
          <w:p w14:paraId="79C2D3F2">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施工机械和车辆尾气</w:t>
            </w:r>
          </w:p>
        </w:tc>
        <w:tc>
          <w:tcPr>
            <w:tcW w:w="1046" w:type="pct"/>
            <w:noWrap w:val="0"/>
            <w:vAlign w:val="center"/>
          </w:tcPr>
          <w:p w14:paraId="723793EA">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、CO、烃类</w:t>
            </w:r>
          </w:p>
        </w:tc>
        <w:tc>
          <w:tcPr>
            <w:tcW w:w="297" w:type="pct"/>
            <w:noWrap w:val="0"/>
            <w:vAlign w:val="center"/>
          </w:tcPr>
          <w:p w14:paraId="6B417431">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784732D0">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52E3E488">
            <w:pPr>
              <w:pStyle w:val="60"/>
              <w:rPr>
                <w:rFonts w:hint="default" w:ascii="Times New Roman" w:hAnsi="Times New Roman" w:eastAsia="宋体" w:cs="Times New Roman"/>
                <w:color w:val="auto"/>
                <w:sz w:val="21"/>
                <w:szCs w:val="21"/>
              </w:rPr>
            </w:pPr>
          </w:p>
        </w:tc>
        <w:tc>
          <w:tcPr>
            <w:tcW w:w="297" w:type="pct"/>
            <w:noWrap w:val="0"/>
            <w:vAlign w:val="center"/>
          </w:tcPr>
          <w:p w14:paraId="0632CDA7">
            <w:pPr>
              <w:pStyle w:val="60"/>
              <w:rPr>
                <w:rFonts w:hint="default" w:ascii="Times New Roman" w:hAnsi="Times New Roman" w:eastAsia="宋体" w:cs="Times New Roman"/>
                <w:color w:val="auto"/>
                <w:sz w:val="21"/>
                <w:szCs w:val="21"/>
              </w:rPr>
            </w:pPr>
          </w:p>
        </w:tc>
        <w:tc>
          <w:tcPr>
            <w:tcW w:w="297" w:type="pct"/>
            <w:noWrap w:val="0"/>
            <w:vAlign w:val="center"/>
          </w:tcPr>
          <w:p w14:paraId="0DDF23F1">
            <w:pPr>
              <w:pStyle w:val="60"/>
              <w:rPr>
                <w:rFonts w:hint="default" w:ascii="Times New Roman" w:hAnsi="Times New Roman" w:eastAsia="宋体" w:cs="Times New Roman"/>
                <w:color w:val="auto"/>
                <w:sz w:val="21"/>
                <w:szCs w:val="21"/>
              </w:rPr>
            </w:pPr>
          </w:p>
        </w:tc>
        <w:tc>
          <w:tcPr>
            <w:tcW w:w="297" w:type="pct"/>
            <w:noWrap w:val="0"/>
            <w:vAlign w:val="center"/>
          </w:tcPr>
          <w:p w14:paraId="7CFEADA9">
            <w:pPr>
              <w:pStyle w:val="60"/>
              <w:rPr>
                <w:rFonts w:hint="default" w:ascii="Times New Roman" w:hAnsi="Times New Roman" w:eastAsia="宋体" w:cs="Times New Roman"/>
                <w:color w:val="auto"/>
                <w:sz w:val="21"/>
                <w:szCs w:val="21"/>
              </w:rPr>
            </w:pPr>
          </w:p>
        </w:tc>
        <w:tc>
          <w:tcPr>
            <w:tcW w:w="297" w:type="pct"/>
            <w:noWrap w:val="0"/>
            <w:vAlign w:val="center"/>
          </w:tcPr>
          <w:p w14:paraId="5BA4EB08">
            <w:pPr>
              <w:pStyle w:val="60"/>
              <w:rPr>
                <w:rFonts w:hint="default" w:ascii="Times New Roman" w:hAnsi="Times New Roman" w:eastAsia="宋体" w:cs="Times New Roman"/>
                <w:color w:val="auto"/>
                <w:sz w:val="21"/>
                <w:szCs w:val="21"/>
              </w:rPr>
            </w:pPr>
          </w:p>
        </w:tc>
        <w:tc>
          <w:tcPr>
            <w:tcW w:w="305" w:type="pct"/>
            <w:noWrap w:val="0"/>
            <w:vAlign w:val="center"/>
          </w:tcPr>
          <w:p w14:paraId="27DC4550">
            <w:pPr>
              <w:pStyle w:val="60"/>
              <w:rPr>
                <w:rFonts w:hint="default" w:ascii="Times New Roman" w:hAnsi="Times New Roman" w:eastAsia="宋体" w:cs="Times New Roman"/>
                <w:color w:val="auto"/>
                <w:sz w:val="21"/>
                <w:szCs w:val="21"/>
              </w:rPr>
            </w:pPr>
          </w:p>
        </w:tc>
        <w:tc>
          <w:tcPr>
            <w:tcW w:w="305" w:type="pct"/>
            <w:noWrap w:val="0"/>
            <w:vAlign w:val="center"/>
          </w:tcPr>
          <w:p w14:paraId="04C20F94">
            <w:pPr>
              <w:pStyle w:val="60"/>
              <w:rPr>
                <w:rFonts w:hint="default" w:ascii="Times New Roman" w:hAnsi="Times New Roman" w:eastAsia="宋体" w:cs="Times New Roman"/>
                <w:color w:val="auto"/>
                <w:sz w:val="21"/>
                <w:szCs w:val="21"/>
              </w:rPr>
            </w:pPr>
          </w:p>
        </w:tc>
      </w:tr>
      <w:tr w14:paraId="4035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continue"/>
            <w:noWrap w:val="0"/>
            <w:vAlign w:val="center"/>
          </w:tcPr>
          <w:p w14:paraId="0B815150">
            <w:pPr>
              <w:pStyle w:val="60"/>
              <w:rPr>
                <w:rFonts w:hint="default" w:ascii="Times New Roman" w:hAnsi="Times New Roman" w:eastAsia="宋体" w:cs="Times New Roman"/>
                <w:color w:val="auto"/>
                <w:sz w:val="21"/>
                <w:szCs w:val="21"/>
              </w:rPr>
            </w:pPr>
          </w:p>
        </w:tc>
        <w:tc>
          <w:tcPr>
            <w:tcW w:w="254" w:type="pct"/>
            <w:vMerge w:val="continue"/>
            <w:noWrap w:val="0"/>
            <w:vAlign w:val="center"/>
          </w:tcPr>
          <w:p w14:paraId="4217C788">
            <w:pPr>
              <w:pStyle w:val="60"/>
              <w:rPr>
                <w:rFonts w:hint="default" w:ascii="Times New Roman" w:hAnsi="Times New Roman" w:eastAsia="宋体" w:cs="Times New Roman"/>
                <w:color w:val="auto"/>
                <w:sz w:val="21"/>
                <w:szCs w:val="21"/>
              </w:rPr>
            </w:pPr>
          </w:p>
        </w:tc>
        <w:tc>
          <w:tcPr>
            <w:tcW w:w="814" w:type="pct"/>
            <w:noWrap w:val="0"/>
            <w:vAlign w:val="center"/>
          </w:tcPr>
          <w:p w14:paraId="4C0E3A32">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点火放空废气</w:t>
            </w:r>
          </w:p>
        </w:tc>
        <w:tc>
          <w:tcPr>
            <w:tcW w:w="1046" w:type="pct"/>
            <w:noWrap w:val="0"/>
            <w:vAlign w:val="center"/>
          </w:tcPr>
          <w:p w14:paraId="595F738A">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2</w:t>
            </w:r>
          </w:p>
        </w:tc>
        <w:tc>
          <w:tcPr>
            <w:tcW w:w="297" w:type="pct"/>
            <w:noWrap w:val="0"/>
            <w:vAlign w:val="center"/>
          </w:tcPr>
          <w:p w14:paraId="545AD2C4">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6DFA62E8">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2C956564">
            <w:pPr>
              <w:pStyle w:val="60"/>
              <w:rPr>
                <w:rFonts w:hint="default" w:ascii="Times New Roman" w:hAnsi="Times New Roman" w:eastAsia="宋体" w:cs="Times New Roman"/>
                <w:color w:val="auto"/>
                <w:sz w:val="21"/>
                <w:szCs w:val="21"/>
              </w:rPr>
            </w:pPr>
          </w:p>
        </w:tc>
        <w:tc>
          <w:tcPr>
            <w:tcW w:w="297" w:type="pct"/>
            <w:noWrap w:val="0"/>
            <w:vAlign w:val="center"/>
          </w:tcPr>
          <w:p w14:paraId="28C680AF">
            <w:pPr>
              <w:pStyle w:val="60"/>
              <w:rPr>
                <w:rFonts w:hint="default" w:ascii="Times New Roman" w:hAnsi="Times New Roman" w:eastAsia="宋体" w:cs="Times New Roman"/>
                <w:color w:val="auto"/>
                <w:sz w:val="21"/>
                <w:szCs w:val="21"/>
              </w:rPr>
            </w:pPr>
          </w:p>
        </w:tc>
        <w:tc>
          <w:tcPr>
            <w:tcW w:w="297" w:type="pct"/>
            <w:noWrap w:val="0"/>
            <w:vAlign w:val="center"/>
          </w:tcPr>
          <w:p w14:paraId="587874EF">
            <w:pPr>
              <w:pStyle w:val="60"/>
              <w:rPr>
                <w:rFonts w:hint="default" w:ascii="Times New Roman" w:hAnsi="Times New Roman" w:eastAsia="宋体" w:cs="Times New Roman"/>
                <w:color w:val="auto"/>
                <w:sz w:val="21"/>
                <w:szCs w:val="21"/>
              </w:rPr>
            </w:pPr>
          </w:p>
        </w:tc>
        <w:tc>
          <w:tcPr>
            <w:tcW w:w="297" w:type="pct"/>
            <w:noWrap w:val="0"/>
            <w:vAlign w:val="center"/>
          </w:tcPr>
          <w:p w14:paraId="71822D89">
            <w:pPr>
              <w:pStyle w:val="60"/>
              <w:rPr>
                <w:rFonts w:hint="default" w:ascii="Times New Roman" w:hAnsi="Times New Roman" w:eastAsia="宋体" w:cs="Times New Roman"/>
                <w:color w:val="auto"/>
                <w:sz w:val="21"/>
                <w:szCs w:val="21"/>
              </w:rPr>
            </w:pPr>
          </w:p>
        </w:tc>
        <w:tc>
          <w:tcPr>
            <w:tcW w:w="297" w:type="pct"/>
            <w:noWrap w:val="0"/>
            <w:vAlign w:val="center"/>
          </w:tcPr>
          <w:p w14:paraId="04AE6CB4">
            <w:pPr>
              <w:pStyle w:val="60"/>
              <w:rPr>
                <w:rFonts w:hint="default" w:ascii="Times New Roman" w:hAnsi="Times New Roman" w:eastAsia="宋体" w:cs="Times New Roman"/>
                <w:color w:val="auto"/>
                <w:sz w:val="21"/>
                <w:szCs w:val="21"/>
              </w:rPr>
            </w:pPr>
          </w:p>
        </w:tc>
        <w:tc>
          <w:tcPr>
            <w:tcW w:w="305" w:type="pct"/>
            <w:noWrap w:val="0"/>
            <w:vAlign w:val="center"/>
          </w:tcPr>
          <w:p w14:paraId="07319B86">
            <w:pPr>
              <w:pStyle w:val="60"/>
              <w:rPr>
                <w:rFonts w:hint="default" w:ascii="Times New Roman" w:hAnsi="Times New Roman" w:eastAsia="宋体" w:cs="Times New Roman"/>
                <w:color w:val="auto"/>
                <w:sz w:val="21"/>
                <w:szCs w:val="21"/>
              </w:rPr>
            </w:pPr>
          </w:p>
        </w:tc>
        <w:tc>
          <w:tcPr>
            <w:tcW w:w="305" w:type="pct"/>
            <w:noWrap w:val="0"/>
            <w:vAlign w:val="center"/>
          </w:tcPr>
          <w:p w14:paraId="4D2C2E38">
            <w:pPr>
              <w:pStyle w:val="60"/>
              <w:rPr>
                <w:rFonts w:hint="default" w:ascii="Times New Roman" w:hAnsi="Times New Roman" w:eastAsia="宋体" w:cs="Times New Roman"/>
                <w:color w:val="auto"/>
                <w:sz w:val="21"/>
                <w:szCs w:val="21"/>
              </w:rPr>
            </w:pPr>
          </w:p>
        </w:tc>
      </w:tr>
      <w:tr w14:paraId="1DB5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continue"/>
            <w:noWrap w:val="0"/>
            <w:vAlign w:val="center"/>
          </w:tcPr>
          <w:p w14:paraId="6C7A2190">
            <w:pPr>
              <w:pStyle w:val="60"/>
              <w:rPr>
                <w:rFonts w:hint="default" w:ascii="Times New Roman" w:hAnsi="Times New Roman" w:eastAsia="宋体" w:cs="Times New Roman"/>
                <w:color w:val="auto"/>
                <w:sz w:val="21"/>
                <w:szCs w:val="21"/>
              </w:rPr>
            </w:pPr>
          </w:p>
        </w:tc>
        <w:tc>
          <w:tcPr>
            <w:tcW w:w="254" w:type="pct"/>
            <w:noWrap w:val="0"/>
            <w:vAlign w:val="center"/>
          </w:tcPr>
          <w:p w14:paraId="238ED39E">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噪声</w:t>
            </w:r>
          </w:p>
        </w:tc>
        <w:tc>
          <w:tcPr>
            <w:tcW w:w="814" w:type="pct"/>
            <w:noWrap w:val="0"/>
            <w:vAlign w:val="center"/>
          </w:tcPr>
          <w:p w14:paraId="255F91CC">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施工机械和车辆噪声</w:t>
            </w:r>
          </w:p>
        </w:tc>
        <w:tc>
          <w:tcPr>
            <w:tcW w:w="1046" w:type="pct"/>
            <w:noWrap w:val="0"/>
            <w:vAlign w:val="center"/>
          </w:tcPr>
          <w:p w14:paraId="3FA699A1">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噪声</w:t>
            </w:r>
          </w:p>
        </w:tc>
        <w:tc>
          <w:tcPr>
            <w:tcW w:w="297" w:type="pct"/>
            <w:noWrap w:val="0"/>
            <w:vAlign w:val="center"/>
          </w:tcPr>
          <w:p w14:paraId="50E59329">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297" w:type="pct"/>
            <w:noWrap w:val="0"/>
            <w:vAlign w:val="center"/>
          </w:tcPr>
          <w:p w14:paraId="449C8FDD">
            <w:pPr>
              <w:pStyle w:val="60"/>
              <w:rPr>
                <w:rFonts w:hint="default" w:ascii="Times New Roman" w:hAnsi="Times New Roman" w:eastAsia="宋体" w:cs="Times New Roman"/>
                <w:color w:val="auto"/>
                <w:sz w:val="21"/>
                <w:szCs w:val="21"/>
                <w:lang w:val="en-US" w:eastAsia="zh-CN" w:bidi="ar-SA"/>
              </w:rPr>
            </w:pPr>
          </w:p>
        </w:tc>
        <w:tc>
          <w:tcPr>
            <w:tcW w:w="297" w:type="pct"/>
            <w:noWrap w:val="0"/>
            <w:vAlign w:val="center"/>
          </w:tcPr>
          <w:p w14:paraId="07F4DBB1">
            <w:pPr>
              <w:pStyle w:val="60"/>
              <w:rPr>
                <w:rFonts w:hint="default" w:ascii="Times New Roman" w:hAnsi="Times New Roman" w:eastAsia="宋体" w:cs="Times New Roman"/>
                <w:color w:val="auto"/>
                <w:sz w:val="21"/>
                <w:szCs w:val="21"/>
                <w:lang w:val="en-US" w:eastAsia="zh-CN" w:bidi="ar-SA"/>
              </w:rPr>
            </w:pPr>
          </w:p>
        </w:tc>
        <w:tc>
          <w:tcPr>
            <w:tcW w:w="297" w:type="pct"/>
            <w:noWrap w:val="0"/>
            <w:vAlign w:val="center"/>
          </w:tcPr>
          <w:p w14:paraId="45F00FF8">
            <w:pPr>
              <w:pStyle w:val="60"/>
              <w:rPr>
                <w:rFonts w:hint="default" w:ascii="Times New Roman" w:hAnsi="Times New Roman" w:eastAsia="宋体" w:cs="Times New Roman"/>
                <w:color w:val="auto"/>
                <w:sz w:val="21"/>
                <w:szCs w:val="21"/>
                <w:lang w:val="en-US" w:eastAsia="zh-CN" w:bidi="ar-SA"/>
              </w:rPr>
            </w:pPr>
          </w:p>
        </w:tc>
        <w:tc>
          <w:tcPr>
            <w:tcW w:w="297" w:type="pct"/>
            <w:noWrap w:val="0"/>
            <w:vAlign w:val="center"/>
          </w:tcPr>
          <w:p w14:paraId="2128A9E8">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297" w:type="pct"/>
            <w:noWrap w:val="0"/>
            <w:vAlign w:val="center"/>
          </w:tcPr>
          <w:p w14:paraId="17747BCB">
            <w:pPr>
              <w:pStyle w:val="60"/>
              <w:rPr>
                <w:rFonts w:hint="default" w:ascii="Times New Roman" w:hAnsi="Times New Roman" w:eastAsia="宋体" w:cs="Times New Roman"/>
                <w:color w:val="auto"/>
                <w:sz w:val="21"/>
                <w:szCs w:val="21"/>
                <w:lang w:val="en-US" w:eastAsia="zh-CN" w:bidi="ar-SA"/>
              </w:rPr>
            </w:pPr>
          </w:p>
        </w:tc>
        <w:tc>
          <w:tcPr>
            <w:tcW w:w="297" w:type="pct"/>
            <w:noWrap w:val="0"/>
            <w:vAlign w:val="center"/>
          </w:tcPr>
          <w:p w14:paraId="54FE2F4A">
            <w:pPr>
              <w:pStyle w:val="60"/>
              <w:rPr>
                <w:rFonts w:hint="default" w:ascii="Times New Roman" w:hAnsi="Times New Roman" w:eastAsia="宋体" w:cs="Times New Roman"/>
                <w:color w:val="auto"/>
                <w:sz w:val="21"/>
                <w:szCs w:val="21"/>
                <w:lang w:val="en-US" w:eastAsia="zh-CN" w:bidi="ar-SA"/>
              </w:rPr>
            </w:pPr>
          </w:p>
        </w:tc>
        <w:tc>
          <w:tcPr>
            <w:tcW w:w="305" w:type="pct"/>
            <w:noWrap w:val="0"/>
            <w:vAlign w:val="center"/>
          </w:tcPr>
          <w:p w14:paraId="11E8AEA7">
            <w:pPr>
              <w:pStyle w:val="60"/>
              <w:rPr>
                <w:rFonts w:hint="default" w:ascii="Times New Roman" w:hAnsi="Times New Roman" w:eastAsia="宋体" w:cs="Times New Roman"/>
                <w:color w:val="auto"/>
                <w:sz w:val="21"/>
                <w:szCs w:val="21"/>
                <w:lang w:val="en-US" w:eastAsia="zh-CN" w:bidi="ar-SA"/>
              </w:rPr>
            </w:pPr>
          </w:p>
        </w:tc>
        <w:tc>
          <w:tcPr>
            <w:tcW w:w="305" w:type="pct"/>
            <w:noWrap w:val="0"/>
            <w:vAlign w:val="center"/>
          </w:tcPr>
          <w:p w14:paraId="571D8F8A">
            <w:pPr>
              <w:pStyle w:val="60"/>
              <w:rPr>
                <w:rFonts w:hint="default" w:ascii="Times New Roman" w:hAnsi="Times New Roman" w:eastAsia="宋体" w:cs="Times New Roman"/>
                <w:color w:val="auto"/>
                <w:sz w:val="21"/>
                <w:szCs w:val="21"/>
                <w:lang w:val="en-US" w:eastAsia="zh-CN" w:bidi="ar-SA"/>
              </w:rPr>
            </w:pPr>
          </w:p>
        </w:tc>
      </w:tr>
      <w:tr w14:paraId="7A63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continue"/>
            <w:noWrap w:val="0"/>
            <w:vAlign w:val="center"/>
          </w:tcPr>
          <w:p w14:paraId="58772128">
            <w:pPr>
              <w:pStyle w:val="60"/>
              <w:rPr>
                <w:rFonts w:hint="default" w:ascii="Times New Roman" w:hAnsi="Times New Roman" w:eastAsia="宋体" w:cs="Times New Roman"/>
                <w:color w:val="auto"/>
                <w:sz w:val="21"/>
                <w:szCs w:val="21"/>
              </w:rPr>
            </w:pPr>
          </w:p>
        </w:tc>
        <w:tc>
          <w:tcPr>
            <w:tcW w:w="254" w:type="pct"/>
            <w:noWrap w:val="0"/>
            <w:vAlign w:val="center"/>
          </w:tcPr>
          <w:p w14:paraId="6FE369E2">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生态环境</w:t>
            </w:r>
          </w:p>
        </w:tc>
        <w:tc>
          <w:tcPr>
            <w:tcW w:w="814" w:type="pct"/>
            <w:noWrap w:val="0"/>
            <w:vAlign w:val="center"/>
          </w:tcPr>
          <w:p w14:paraId="363A21F2">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管道敷设、施工场地等临时工程</w:t>
            </w:r>
          </w:p>
        </w:tc>
        <w:tc>
          <w:tcPr>
            <w:tcW w:w="1046" w:type="pct"/>
            <w:noWrap w:val="0"/>
            <w:vAlign w:val="center"/>
          </w:tcPr>
          <w:p w14:paraId="79ADB5F6">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临时占地破坏土壤，影响农业生产、动植物生境</w:t>
            </w:r>
          </w:p>
        </w:tc>
        <w:tc>
          <w:tcPr>
            <w:tcW w:w="297" w:type="pct"/>
            <w:noWrap w:val="0"/>
            <w:vAlign w:val="center"/>
          </w:tcPr>
          <w:p w14:paraId="4FB99E6F">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297" w:type="pct"/>
            <w:noWrap w:val="0"/>
            <w:vAlign w:val="center"/>
          </w:tcPr>
          <w:p w14:paraId="7CBD4D69">
            <w:pPr>
              <w:pStyle w:val="60"/>
              <w:rPr>
                <w:rFonts w:hint="default" w:ascii="Times New Roman" w:hAnsi="Times New Roman" w:eastAsia="宋体" w:cs="Times New Roman"/>
                <w:color w:val="auto"/>
                <w:sz w:val="21"/>
                <w:szCs w:val="21"/>
                <w:lang w:val="en-US" w:eastAsia="zh-CN" w:bidi="ar-SA"/>
              </w:rPr>
            </w:pPr>
          </w:p>
        </w:tc>
        <w:tc>
          <w:tcPr>
            <w:tcW w:w="297" w:type="pct"/>
            <w:noWrap w:val="0"/>
            <w:vAlign w:val="center"/>
          </w:tcPr>
          <w:p w14:paraId="1B90AD2A">
            <w:pPr>
              <w:pStyle w:val="60"/>
              <w:rPr>
                <w:rFonts w:hint="default" w:ascii="Times New Roman" w:hAnsi="Times New Roman" w:eastAsia="宋体" w:cs="Times New Roman"/>
                <w:color w:val="auto"/>
                <w:sz w:val="21"/>
                <w:szCs w:val="21"/>
                <w:lang w:val="en-US" w:eastAsia="zh-CN" w:bidi="ar-SA"/>
              </w:rPr>
            </w:pPr>
          </w:p>
        </w:tc>
        <w:tc>
          <w:tcPr>
            <w:tcW w:w="297" w:type="pct"/>
            <w:noWrap w:val="0"/>
            <w:vAlign w:val="center"/>
          </w:tcPr>
          <w:p w14:paraId="6E42A773">
            <w:pPr>
              <w:pStyle w:val="60"/>
              <w:rPr>
                <w:rFonts w:hint="default" w:ascii="Times New Roman" w:hAnsi="Times New Roman" w:eastAsia="宋体" w:cs="Times New Roman"/>
                <w:color w:val="auto"/>
                <w:sz w:val="21"/>
                <w:szCs w:val="21"/>
                <w:lang w:val="en-US" w:eastAsia="zh-CN" w:bidi="ar-SA"/>
              </w:rPr>
            </w:pPr>
          </w:p>
        </w:tc>
        <w:tc>
          <w:tcPr>
            <w:tcW w:w="297" w:type="pct"/>
            <w:noWrap w:val="0"/>
            <w:vAlign w:val="center"/>
          </w:tcPr>
          <w:p w14:paraId="7CA07CE9">
            <w:pPr>
              <w:pStyle w:val="60"/>
              <w:rPr>
                <w:rFonts w:hint="default" w:ascii="Times New Roman" w:hAnsi="Times New Roman" w:eastAsia="宋体" w:cs="Times New Roman"/>
                <w:color w:val="auto"/>
                <w:sz w:val="21"/>
                <w:szCs w:val="21"/>
                <w:lang w:val="en-US" w:eastAsia="zh-CN" w:bidi="ar-SA"/>
              </w:rPr>
            </w:pPr>
          </w:p>
        </w:tc>
        <w:tc>
          <w:tcPr>
            <w:tcW w:w="297" w:type="pct"/>
            <w:noWrap w:val="0"/>
            <w:vAlign w:val="center"/>
          </w:tcPr>
          <w:p w14:paraId="37F40FA4">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297" w:type="pct"/>
            <w:noWrap w:val="0"/>
            <w:vAlign w:val="center"/>
          </w:tcPr>
          <w:p w14:paraId="427B8376">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305" w:type="pct"/>
            <w:noWrap w:val="0"/>
            <w:vAlign w:val="center"/>
          </w:tcPr>
          <w:p w14:paraId="1C9412A7">
            <w:pPr>
              <w:pStyle w:val="6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305" w:type="pct"/>
            <w:noWrap w:val="0"/>
            <w:vAlign w:val="center"/>
          </w:tcPr>
          <w:p w14:paraId="1A8F0A5E">
            <w:pPr>
              <w:pStyle w:val="60"/>
              <w:rPr>
                <w:rFonts w:hint="default" w:ascii="Times New Roman" w:hAnsi="Times New Roman" w:eastAsia="宋体" w:cs="Times New Roman"/>
                <w:color w:val="auto"/>
                <w:sz w:val="21"/>
                <w:szCs w:val="21"/>
                <w:lang w:val="en-US" w:eastAsia="zh-CN" w:bidi="ar-SA"/>
              </w:rPr>
            </w:pPr>
          </w:p>
        </w:tc>
      </w:tr>
      <w:tr w14:paraId="23F4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continue"/>
            <w:noWrap w:val="0"/>
            <w:vAlign w:val="center"/>
          </w:tcPr>
          <w:p w14:paraId="0D05030C">
            <w:pPr>
              <w:pStyle w:val="60"/>
              <w:rPr>
                <w:rFonts w:hint="default" w:ascii="Times New Roman" w:hAnsi="Times New Roman" w:eastAsia="宋体" w:cs="Times New Roman"/>
                <w:color w:val="auto"/>
                <w:sz w:val="21"/>
                <w:szCs w:val="21"/>
              </w:rPr>
            </w:pPr>
          </w:p>
        </w:tc>
        <w:tc>
          <w:tcPr>
            <w:tcW w:w="254" w:type="pct"/>
            <w:vMerge w:val="restart"/>
            <w:noWrap w:val="0"/>
            <w:vAlign w:val="center"/>
          </w:tcPr>
          <w:p w14:paraId="09C7B3A4">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814" w:type="pct"/>
            <w:noWrap w:val="0"/>
            <w:vAlign w:val="center"/>
          </w:tcPr>
          <w:p w14:paraId="40CB5F7F">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046" w:type="pct"/>
            <w:noWrap w:val="0"/>
            <w:vAlign w:val="center"/>
          </w:tcPr>
          <w:p w14:paraId="0D3A38A1">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97" w:type="pct"/>
            <w:noWrap w:val="0"/>
            <w:vAlign w:val="center"/>
          </w:tcPr>
          <w:p w14:paraId="580A09F8">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3C295E72">
            <w:pPr>
              <w:pStyle w:val="60"/>
              <w:rPr>
                <w:rFonts w:hint="default" w:ascii="Times New Roman" w:hAnsi="Times New Roman" w:eastAsia="宋体" w:cs="Times New Roman"/>
                <w:color w:val="auto"/>
                <w:sz w:val="21"/>
                <w:szCs w:val="21"/>
              </w:rPr>
            </w:pPr>
          </w:p>
        </w:tc>
        <w:tc>
          <w:tcPr>
            <w:tcW w:w="297" w:type="pct"/>
            <w:noWrap w:val="0"/>
            <w:vAlign w:val="center"/>
          </w:tcPr>
          <w:p w14:paraId="5EFF5C19">
            <w:pPr>
              <w:pStyle w:val="60"/>
              <w:rPr>
                <w:rFonts w:hint="default" w:ascii="Times New Roman" w:hAnsi="Times New Roman" w:eastAsia="宋体" w:cs="Times New Roman"/>
                <w:color w:val="auto"/>
                <w:sz w:val="21"/>
                <w:szCs w:val="21"/>
              </w:rPr>
            </w:pPr>
          </w:p>
        </w:tc>
        <w:tc>
          <w:tcPr>
            <w:tcW w:w="297" w:type="pct"/>
            <w:noWrap w:val="0"/>
            <w:vAlign w:val="center"/>
          </w:tcPr>
          <w:p w14:paraId="11E0F0F8">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09736749">
            <w:pPr>
              <w:pStyle w:val="60"/>
              <w:rPr>
                <w:rFonts w:hint="default" w:ascii="Times New Roman" w:hAnsi="Times New Roman" w:eastAsia="宋体" w:cs="Times New Roman"/>
                <w:color w:val="auto"/>
                <w:sz w:val="21"/>
                <w:szCs w:val="21"/>
              </w:rPr>
            </w:pPr>
          </w:p>
        </w:tc>
        <w:tc>
          <w:tcPr>
            <w:tcW w:w="297" w:type="pct"/>
            <w:noWrap w:val="0"/>
            <w:vAlign w:val="center"/>
          </w:tcPr>
          <w:p w14:paraId="1494B281">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337123CA">
            <w:pPr>
              <w:pStyle w:val="60"/>
              <w:rPr>
                <w:rFonts w:hint="default" w:ascii="Times New Roman" w:hAnsi="Times New Roman" w:eastAsia="宋体" w:cs="Times New Roman"/>
                <w:color w:val="auto"/>
                <w:sz w:val="21"/>
                <w:szCs w:val="21"/>
              </w:rPr>
            </w:pPr>
          </w:p>
        </w:tc>
        <w:tc>
          <w:tcPr>
            <w:tcW w:w="305" w:type="pct"/>
            <w:noWrap w:val="0"/>
            <w:vAlign w:val="center"/>
          </w:tcPr>
          <w:p w14:paraId="367C9DDB">
            <w:pPr>
              <w:pStyle w:val="60"/>
              <w:rPr>
                <w:rFonts w:hint="default" w:ascii="Times New Roman" w:hAnsi="Times New Roman" w:eastAsia="宋体" w:cs="Times New Roman"/>
                <w:color w:val="auto"/>
                <w:sz w:val="21"/>
                <w:szCs w:val="21"/>
              </w:rPr>
            </w:pPr>
          </w:p>
        </w:tc>
        <w:tc>
          <w:tcPr>
            <w:tcW w:w="305" w:type="pct"/>
            <w:noWrap w:val="0"/>
            <w:vAlign w:val="center"/>
          </w:tcPr>
          <w:p w14:paraId="154FE335">
            <w:pPr>
              <w:pStyle w:val="60"/>
              <w:rPr>
                <w:rFonts w:hint="default" w:ascii="Times New Roman" w:hAnsi="Times New Roman" w:eastAsia="宋体" w:cs="Times New Roman"/>
                <w:color w:val="auto"/>
                <w:sz w:val="21"/>
                <w:szCs w:val="21"/>
              </w:rPr>
            </w:pPr>
          </w:p>
        </w:tc>
      </w:tr>
      <w:tr w14:paraId="279D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1" w:type="pct"/>
            <w:vMerge w:val="continue"/>
            <w:noWrap w:val="0"/>
            <w:vAlign w:val="center"/>
          </w:tcPr>
          <w:p w14:paraId="2030BE3B">
            <w:pPr>
              <w:pStyle w:val="60"/>
              <w:rPr>
                <w:rFonts w:hint="default" w:ascii="Times New Roman" w:hAnsi="Times New Roman" w:eastAsia="宋体" w:cs="Times New Roman"/>
                <w:color w:val="auto"/>
                <w:sz w:val="21"/>
                <w:szCs w:val="21"/>
              </w:rPr>
            </w:pPr>
          </w:p>
        </w:tc>
        <w:tc>
          <w:tcPr>
            <w:tcW w:w="254" w:type="pct"/>
            <w:vMerge w:val="continue"/>
            <w:noWrap w:val="0"/>
            <w:vAlign w:val="center"/>
          </w:tcPr>
          <w:p w14:paraId="4BA4550B">
            <w:pPr>
              <w:pStyle w:val="60"/>
              <w:rPr>
                <w:rFonts w:hint="default" w:ascii="Times New Roman" w:hAnsi="Times New Roman" w:eastAsia="宋体" w:cs="Times New Roman"/>
                <w:color w:val="auto"/>
                <w:sz w:val="21"/>
                <w:szCs w:val="21"/>
              </w:rPr>
            </w:pPr>
          </w:p>
        </w:tc>
        <w:tc>
          <w:tcPr>
            <w:tcW w:w="814" w:type="pct"/>
            <w:noWrap w:val="0"/>
            <w:vAlign w:val="center"/>
          </w:tcPr>
          <w:p w14:paraId="438F8108">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施工废料</w:t>
            </w:r>
          </w:p>
        </w:tc>
        <w:tc>
          <w:tcPr>
            <w:tcW w:w="1046" w:type="pct"/>
            <w:noWrap w:val="0"/>
            <w:vAlign w:val="center"/>
          </w:tcPr>
          <w:p w14:paraId="36CA9343">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废包装材料、焊条、金属等</w:t>
            </w:r>
          </w:p>
        </w:tc>
        <w:tc>
          <w:tcPr>
            <w:tcW w:w="297" w:type="pct"/>
            <w:noWrap w:val="0"/>
            <w:vAlign w:val="center"/>
          </w:tcPr>
          <w:p w14:paraId="76B4BF6D">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0DAFBEB5">
            <w:pPr>
              <w:pStyle w:val="60"/>
              <w:rPr>
                <w:rFonts w:hint="default" w:ascii="Times New Roman" w:hAnsi="Times New Roman" w:eastAsia="宋体" w:cs="Times New Roman"/>
                <w:color w:val="auto"/>
                <w:sz w:val="21"/>
                <w:szCs w:val="21"/>
              </w:rPr>
            </w:pPr>
          </w:p>
        </w:tc>
        <w:tc>
          <w:tcPr>
            <w:tcW w:w="297" w:type="pct"/>
            <w:noWrap w:val="0"/>
            <w:vAlign w:val="center"/>
          </w:tcPr>
          <w:p w14:paraId="7C9927A4">
            <w:pPr>
              <w:pStyle w:val="60"/>
              <w:rPr>
                <w:rFonts w:hint="default" w:ascii="Times New Roman" w:hAnsi="Times New Roman" w:eastAsia="宋体" w:cs="Times New Roman"/>
                <w:color w:val="auto"/>
                <w:sz w:val="21"/>
                <w:szCs w:val="21"/>
              </w:rPr>
            </w:pPr>
          </w:p>
        </w:tc>
        <w:tc>
          <w:tcPr>
            <w:tcW w:w="297" w:type="pct"/>
            <w:noWrap w:val="0"/>
            <w:vAlign w:val="center"/>
          </w:tcPr>
          <w:p w14:paraId="3B356A32">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0C766BB7">
            <w:pPr>
              <w:pStyle w:val="60"/>
              <w:rPr>
                <w:rFonts w:hint="default" w:ascii="Times New Roman" w:hAnsi="Times New Roman" w:eastAsia="宋体" w:cs="Times New Roman"/>
                <w:color w:val="auto"/>
                <w:sz w:val="21"/>
                <w:szCs w:val="21"/>
              </w:rPr>
            </w:pPr>
          </w:p>
        </w:tc>
        <w:tc>
          <w:tcPr>
            <w:tcW w:w="297" w:type="pct"/>
            <w:noWrap w:val="0"/>
            <w:vAlign w:val="center"/>
          </w:tcPr>
          <w:p w14:paraId="7CD7BB0C">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39EC9C50">
            <w:pPr>
              <w:pStyle w:val="60"/>
              <w:rPr>
                <w:rFonts w:hint="default" w:ascii="Times New Roman" w:hAnsi="Times New Roman" w:eastAsia="宋体" w:cs="Times New Roman"/>
                <w:color w:val="auto"/>
                <w:sz w:val="21"/>
                <w:szCs w:val="21"/>
              </w:rPr>
            </w:pPr>
          </w:p>
        </w:tc>
        <w:tc>
          <w:tcPr>
            <w:tcW w:w="305" w:type="pct"/>
            <w:noWrap w:val="0"/>
            <w:vAlign w:val="center"/>
          </w:tcPr>
          <w:p w14:paraId="3ACE177D">
            <w:pPr>
              <w:pStyle w:val="60"/>
              <w:rPr>
                <w:rFonts w:hint="default" w:ascii="Times New Roman" w:hAnsi="Times New Roman" w:eastAsia="宋体" w:cs="Times New Roman"/>
                <w:color w:val="auto"/>
                <w:sz w:val="21"/>
                <w:szCs w:val="21"/>
              </w:rPr>
            </w:pPr>
          </w:p>
        </w:tc>
        <w:tc>
          <w:tcPr>
            <w:tcW w:w="305" w:type="pct"/>
            <w:noWrap w:val="0"/>
            <w:vAlign w:val="center"/>
          </w:tcPr>
          <w:p w14:paraId="12CE11BD">
            <w:pPr>
              <w:pStyle w:val="60"/>
              <w:rPr>
                <w:rFonts w:hint="default" w:ascii="Times New Roman" w:hAnsi="Times New Roman" w:eastAsia="宋体" w:cs="Times New Roman"/>
                <w:color w:val="auto"/>
                <w:sz w:val="21"/>
                <w:szCs w:val="21"/>
              </w:rPr>
            </w:pPr>
          </w:p>
        </w:tc>
      </w:tr>
      <w:tr w14:paraId="5818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restart"/>
            <w:noWrap w:val="0"/>
            <w:vAlign w:val="center"/>
          </w:tcPr>
          <w:p w14:paraId="006F70A4">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w:t>
            </w:r>
          </w:p>
          <w:p w14:paraId="30B92E03">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营</w:t>
            </w:r>
          </w:p>
          <w:p w14:paraId="23CBA4C3">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期</w:t>
            </w:r>
          </w:p>
        </w:tc>
        <w:tc>
          <w:tcPr>
            <w:tcW w:w="254" w:type="pct"/>
            <w:noWrap w:val="0"/>
            <w:vAlign w:val="center"/>
          </w:tcPr>
          <w:p w14:paraId="36E72371">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14" w:type="pct"/>
            <w:noWrap w:val="0"/>
            <w:vAlign w:val="center"/>
          </w:tcPr>
          <w:p w14:paraId="59DE6210">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清管、事故放空</w:t>
            </w:r>
          </w:p>
        </w:tc>
        <w:tc>
          <w:tcPr>
            <w:tcW w:w="1046" w:type="pct"/>
            <w:noWrap w:val="0"/>
            <w:vAlign w:val="center"/>
          </w:tcPr>
          <w:p w14:paraId="336F52D5">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主要为CO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O，少量NO</w:t>
            </w:r>
            <w:r>
              <w:rPr>
                <w:rFonts w:hint="default" w:ascii="Times New Roman" w:hAnsi="Times New Roman" w:eastAsia="宋体" w:cs="Times New Roman"/>
                <w:color w:val="auto"/>
                <w:sz w:val="21"/>
                <w:szCs w:val="21"/>
                <w:vertAlign w:val="subscript"/>
              </w:rPr>
              <w:t>2</w:t>
            </w:r>
          </w:p>
        </w:tc>
        <w:tc>
          <w:tcPr>
            <w:tcW w:w="297" w:type="pct"/>
            <w:noWrap w:val="0"/>
            <w:vAlign w:val="center"/>
          </w:tcPr>
          <w:p w14:paraId="27D9FCBE">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1B565C3A">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68F7D820">
            <w:pPr>
              <w:pStyle w:val="60"/>
              <w:rPr>
                <w:rFonts w:hint="default" w:ascii="Times New Roman" w:hAnsi="Times New Roman" w:eastAsia="宋体" w:cs="Times New Roman"/>
                <w:color w:val="auto"/>
                <w:sz w:val="21"/>
                <w:szCs w:val="21"/>
              </w:rPr>
            </w:pPr>
          </w:p>
        </w:tc>
        <w:tc>
          <w:tcPr>
            <w:tcW w:w="297" w:type="pct"/>
            <w:noWrap w:val="0"/>
            <w:vAlign w:val="center"/>
          </w:tcPr>
          <w:p w14:paraId="6C4472C6">
            <w:pPr>
              <w:pStyle w:val="60"/>
              <w:rPr>
                <w:rFonts w:hint="default" w:ascii="Times New Roman" w:hAnsi="Times New Roman" w:eastAsia="宋体" w:cs="Times New Roman"/>
                <w:color w:val="auto"/>
                <w:sz w:val="21"/>
                <w:szCs w:val="21"/>
              </w:rPr>
            </w:pPr>
          </w:p>
        </w:tc>
        <w:tc>
          <w:tcPr>
            <w:tcW w:w="297" w:type="pct"/>
            <w:noWrap w:val="0"/>
            <w:vAlign w:val="center"/>
          </w:tcPr>
          <w:p w14:paraId="45A5BD93">
            <w:pPr>
              <w:pStyle w:val="60"/>
              <w:rPr>
                <w:rFonts w:hint="default" w:ascii="Times New Roman" w:hAnsi="Times New Roman" w:eastAsia="宋体" w:cs="Times New Roman"/>
                <w:color w:val="auto"/>
                <w:sz w:val="21"/>
                <w:szCs w:val="21"/>
              </w:rPr>
            </w:pPr>
          </w:p>
        </w:tc>
        <w:tc>
          <w:tcPr>
            <w:tcW w:w="297" w:type="pct"/>
            <w:noWrap w:val="0"/>
            <w:vAlign w:val="center"/>
          </w:tcPr>
          <w:p w14:paraId="07FB22D2">
            <w:pPr>
              <w:pStyle w:val="60"/>
              <w:rPr>
                <w:rFonts w:hint="default" w:ascii="Times New Roman" w:hAnsi="Times New Roman" w:eastAsia="宋体" w:cs="Times New Roman"/>
                <w:color w:val="auto"/>
                <w:sz w:val="21"/>
                <w:szCs w:val="21"/>
              </w:rPr>
            </w:pPr>
          </w:p>
        </w:tc>
        <w:tc>
          <w:tcPr>
            <w:tcW w:w="297" w:type="pct"/>
            <w:noWrap w:val="0"/>
            <w:vAlign w:val="center"/>
          </w:tcPr>
          <w:p w14:paraId="3451E208">
            <w:pPr>
              <w:pStyle w:val="60"/>
              <w:rPr>
                <w:rFonts w:hint="default" w:ascii="Times New Roman" w:hAnsi="Times New Roman" w:eastAsia="宋体" w:cs="Times New Roman"/>
                <w:color w:val="auto"/>
                <w:sz w:val="21"/>
                <w:szCs w:val="21"/>
              </w:rPr>
            </w:pPr>
          </w:p>
        </w:tc>
        <w:tc>
          <w:tcPr>
            <w:tcW w:w="305" w:type="pct"/>
            <w:noWrap w:val="0"/>
            <w:vAlign w:val="center"/>
          </w:tcPr>
          <w:p w14:paraId="1480D8F1">
            <w:pPr>
              <w:pStyle w:val="60"/>
              <w:rPr>
                <w:rFonts w:hint="default" w:ascii="Times New Roman" w:hAnsi="Times New Roman" w:eastAsia="宋体" w:cs="Times New Roman"/>
                <w:color w:val="auto"/>
                <w:sz w:val="21"/>
                <w:szCs w:val="21"/>
              </w:rPr>
            </w:pPr>
          </w:p>
        </w:tc>
        <w:tc>
          <w:tcPr>
            <w:tcW w:w="305" w:type="pct"/>
            <w:noWrap w:val="0"/>
            <w:vAlign w:val="center"/>
          </w:tcPr>
          <w:p w14:paraId="1F9E3FE6">
            <w:pPr>
              <w:pStyle w:val="60"/>
              <w:rPr>
                <w:rFonts w:hint="default" w:ascii="Times New Roman" w:hAnsi="Times New Roman" w:eastAsia="宋体" w:cs="Times New Roman"/>
                <w:color w:val="auto"/>
                <w:sz w:val="21"/>
                <w:szCs w:val="21"/>
              </w:rPr>
            </w:pPr>
          </w:p>
        </w:tc>
      </w:tr>
      <w:tr w14:paraId="266A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continue"/>
            <w:noWrap w:val="0"/>
            <w:vAlign w:val="center"/>
          </w:tcPr>
          <w:p w14:paraId="04955286">
            <w:pPr>
              <w:pStyle w:val="60"/>
              <w:rPr>
                <w:rFonts w:hint="default" w:ascii="Times New Roman" w:hAnsi="Times New Roman" w:eastAsia="宋体" w:cs="Times New Roman"/>
                <w:color w:val="auto"/>
                <w:sz w:val="21"/>
                <w:szCs w:val="21"/>
              </w:rPr>
            </w:pPr>
          </w:p>
        </w:tc>
        <w:tc>
          <w:tcPr>
            <w:tcW w:w="254" w:type="pct"/>
            <w:noWrap w:val="0"/>
            <w:vAlign w:val="center"/>
          </w:tcPr>
          <w:p w14:paraId="1A9FC555">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14" w:type="pct"/>
            <w:noWrap w:val="0"/>
            <w:vAlign w:val="center"/>
          </w:tcPr>
          <w:p w14:paraId="43A6403E">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清管废水</w:t>
            </w:r>
          </w:p>
        </w:tc>
        <w:tc>
          <w:tcPr>
            <w:tcW w:w="1046" w:type="pct"/>
            <w:noWrap w:val="0"/>
            <w:vAlign w:val="center"/>
          </w:tcPr>
          <w:p w14:paraId="68E9C329">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COD、悬浮物</w:t>
            </w:r>
          </w:p>
        </w:tc>
        <w:tc>
          <w:tcPr>
            <w:tcW w:w="297" w:type="pct"/>
            <w:noWrap w:val="0"/>
            <w:vAlign w:val="center"/>
          </w:tcPr>
          <w:p w14:paraId="6B4E45FA">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596CF1C5">
            <w:pPr>
              <w:pStyle w:val="60"/>
              <w:rPr>
                <w:rFonts w:hint="default" w:ascii="Times New Roman" w:hAnsi="Times New Roman" w:eastAsia="宋体" w:cs="Times New Roman"/>
                <w:color w:val="auto"/>
                <w:sz w:val="21"/>
                <w:szCs w:val="21"/>
              </w:rPr>
            </w:pPr>
          </w:p>
        </w:tc>
        <w:tc>
          <w:tcPr>
            <w:tcW w:w="297" w:type="pct"/>
            <w:noWrap w:val="0"/>
            <w:vAlign w:val="center"/>
          </w:tcPr>
          <w:p w14:paraId="02B5D832">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63FA936C">
            <w:pPr>
              <w:pStyle w:val="60"/>
              <w:rPr>
                <w:rFonts w:hint="default" w:ascii="Times New Roman" w:hAnsi="Times New Roman" w:eastAsia="宋体" w:cs="Times New Roman"/>
                <w:color w:val="auto"/>
                <w:sz w:val="21"/>
                <w:szCs w:val="21"/>
              </w:rPr>
            </w:pPr>
          </w:p>
        </w:tc>
        <w:tc>
          <w:tcPr>
            <w:tcW w:w="297" w:type="pct"/>
            <w:noWrap w:val="0"/>
            <w:vAlign w:val="center"/>
          </w:tcPr>
          <w:p w14:paraId="30A4567E">
            <w:pPr>
              <w:pStyle w:val="60"/>
              <w:rPr>
                <w:rFonts w:hint="default" w:ascii="Times New Roman" w:hAnsi="Times New Roman" w:eastAsia="宋体" w:cs="Times New Roman"/>
                <w:color w:val="auto"/>
                <w:sz w:val="21"/>
                <w:szCs w:val="21"/>
              </w:rPr>
            </w:pPr>
          </w:p>
        </w:tc>
        <w:tc>
          <w:tcPr>
            <w:tcW w:w="297" w:type="pct"/>
            <w:noWrap w:val="0"/>
            <w:vAlign w:val="center"/>
          </w:tcPr>
          <w:p w14:paraId="6F24D6B4">
            <w:pPr>
              <w:pStyle w:val="60"/>
              <w:rPr>
                <w:rFonts w:hint="default" w:ascii="Times New Roman" w:hAnsi="Times New Roman" w:eastAsia="宋体" w:cs="Times New Roman"/>
                <w:color w:val="auto"/>
                <w:sz w:val="21"/>
                <w:szCs w:val="21"/>
              </w:rPr>
            </w:pPr>
          </w:p>
        </w:tc>
        <w:tc>
          <w:tcPr>
            <w:tcW w:w="297" w:type="pct"/>
            <w:noWrap w:val="0"/>
            <w:vAlign w:val="center"/>
          </w:tcPr>
          <w:p w14:paraId="3B75DFF4">
            <w:pPr>
              <w:pStyle w:val="60"/>
              <w:rPr>
                <w:rFonts w:hint="default" w:ascii="Times New Roman" w:hAnsi="Times New Roman" w:eastAsia="宋体" w:cs="Times New Roman"/>
                <w:color w:val="auto"/>
                <w:sz w:val="21"/>
                <w:szCs w:val="21"/>
              </w:rPr>
            </w:pPr>
          </w:p>
        </w:tc>
        <w:tc>
          <w:tcPr>
            <w:tcW w:w="305" w:type="pct"/>
            <w:noWrap w:val="0"/>
            <w:vAlign w:val="center"/>
          </w:tcPr>
          <w:p w14:paraId="77F1BAD5">
            <w:pPr>
              <w:pStyle w:val="60"/>
              <w:rPr>
                <w:rFonts w:hint="default" w:ascii="Times New Roman" w:hAnsi="Times New Roman" w:eastAsia="宋体" w:cs="Times New Roman"/>
                <w:color w:val="auto"/>
                <w:sz w:val="21"/>
                <w:szCs w:val="21"/>
              </w:rPr>
            </w:pPr>
          </w:p>
        </w:tc>
        <w:tc>
          <w:tcPr>
            <w:tcW w:w="305" w:type="pct"/>
            <w:noWrap w:val="0"/>
            <w:vAlign w:val="center"/>
          </w:tcPr>
          <w:p w14:paraId="769EB4E1">
            <w:pPr>
              <w:pStyle w:val="60"/>
              <w:rPr>
                <w:rFonts w:hint="default" w:ascii="Times New Roman" w:hAnsi="Times New Roman" w:eastAsia="宋体" w:cs="Times New Roman"/>
                <w:color w:val="auto"/>
                <w:sz w:val="21"/>
                <w:szCs w:val="21"/>
              </w:rPr>
            </w:pPr>
          </w:p>
        </w:tc>
      </w:tr>
      <w:tr w14:paraId="55E4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continue"/>
            <w:noWrap w:val="0"/>
            <w:vAlign w:val="center"/>
          </w:tcPr>
          <w:p w14:paraId="0D30484E">
            <w:pPr>
              <w:pStyle w:val="60"/>
              <w:rPr>
                <w:rFonts w:hint="default" w:ascii="Times New Roman" w:hAnsi="Times New Roman" w:eastAsia="宋体" w:cs="Times New Roman"/>
                <w:color w:val="auto"/>
                <w:sz w:val="21"/>
                <w:szCs w:val="21"/>
              </w:rPr>
            </w:pPr>
          </w:p>
        </w:tc>
        <w:tc>
          <w:tcPr>
            <w:tcW w:w="254" w:type="pct"/>
            <w:noWrap w:val="0"/>
            <w:vAlign w:val="center"/>
          </w:tcPr>
          <w:p w14:paraId="6C400D09">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814" w:type="pct"/>
            <w:noWrap w:val="0"/>
            <w:vAlign w:val="center"/>
          </w:tcPr>
          <w:p w14:paraId="7C31A0D5">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清管废渣</w:t>
            </w:r>
          </w:p>
        </w:tc>
        <w:tc>
          <w:tcPr>
            <w:tcW w:w="1046" w:type="pct"/>
            <w:noWrap w:val="0"/>
            <w:vAlign w:val="center"/>
          </w:tcPr>
          <w:p w14:paraId="627FD389">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铁屑、粉尘</w:t>
            </w:r>
          </w:p>
        </w:tc>
        <w:tc>
          <w:tcPr>
            <w:tcW w:w="297" w:type="pct"/>
            <w:noWrap w:val="0"/>
            <w:vAlign w:val="center"/>
          </w:tcPr>
          <w:p w14:paraId="4736C237">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45E0B268">
            <w:pPr>
              <w:pStyle w:val="60"/>
              <w:rPr>
                <w:rFonts w:hint="default" w:ascii="Times New Roman" w:hAnsi="Times New Roman" w:eastAsia="宋体" w:cs="Times New Roman"/>
                <w:color w:val="auto"/>
                <w:sz w:val="21"/>
                <w:szCs w:val="21"/>
              </w:rPr>
            </w:pPr>
          </w:p>
        </w:tc>
        <w:tc>
          <w:tcPr>
            <w:tcW w:w="297" w:type="pct"/>
            <w:noWrap w:val="0"/>
            <w:vAlign w:val="center"/>
          </w:tcPr>
          <w:p w14:paraId="2902E9E2">
            <w:pPr>
              <w:pStyle w:val="60"/>
              <w:rPr>
                <w:rFonts w:hint="default" w:ascii="Times New Roman" w:hAnsi="Times New Roman" w:eastAsia="宋体" w:cs="Times New Roman"/>
                <w:color w:val="auto"/>
                <w:sz w:val="21"/>
                <w:szCs w:val="21"/>
              </w:rPr>
            </w:pPr>
          </w:p>
        </w:tc>
        <w:tc>
          <w:tcPr>
            <w:tcW w:w="297" w:type="pct"/>
            <w:noWrap w:val="0"/>
            <w:vAlign w:val="center"/>
          </w:tcPr>
          <w:p w14:paraId="2C69E714">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0A0376AA">
            <w:pPr>
              <w:pStyle w:val="60"/>
              <w:rPr>
                <w:rFonts w:hint="default" w:ascii="Times New Roman" w:hAnsi="Times New Roman" w:eastAsia="宋体" w:cs="Times New Roman"/>
                <w:color w:val="auto"/>
                <w:sz w:val="21"/>
                <w:szCs w:val="21"/>
              </w:rPr>
            </w:pPr>
          </w:p>
        </w:tc>
        <w:tc>
          <w:tcPr>
            <w:tcW w:w="297" w:type="pct"/>
            <w:noWrap w:val="0"/>
            <w:vAlign w:val="center"/>
          </w:tcPr>
          <w:p w14:paraId="3DB3E563">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2C8FD1A3">
            <w:pPr>
              <w:pStyle w:val="60"/>
              <w:rPr>
                <w:rFonts w:hint="default" w:ascii="Times New Roman" w:hAnsi="Times New Roman" w:eastAsia="宋体" w:cs="Times New Roman"/>
                <w:color w:val="auto"/>
                <w:sz w:val="21"/>
                <w:szCs w:val="21"/>
              </w:rPr>
            </w:pPr>
          </w:p>
        </w:tc>
        <w:tc>
          <w:tcPr>
            <w:tcW w:w="305" w:type="pct"/>
            <w:noWrap w:val="0"/>
            <w:vAlign w:val="center"/>
          </w:tcPr>
          <w:p w14:paraId="244AADFE">
            <w:pPr>
              <w:pStyle w:val="60"/>
              <w:rPr>
                <w:rFonts w:hint="default" w:ascii="Times New Roman" w:hAnsi="Times New Roman" w:eastAsia="宋体" w:cs="Times New Roman"/>
                <w:color w:val="auto"/>
                <w:sz w:val="21"/>
                <w:szCs w:val="21"/>
              </w:rPr>
            </w:pPr>
          </w:p>
        </w:tc>
        <w:tc>
          <w:tcPr>
            <w:tcW w:w="305" w:type="pct"/>
            <w:noWrap w:val="0"/>
            <w:vAlign w:val="center"/>
          </w:tcPr>
          <w:p w14:paraId="43BD396D">
            <w:pPr>
              <w:pStyle w:val="60"/>
              <w:rPr>
                <w:rFonts w:hint="default" w:ascii="Times New Roman" w:hAnsi="Times New Roman" w:eastAsia="宋体" w:cs="Times New Roman"/>
                <w:color w:val="auto"/>
                <w:sz w:val="21"/>
                <w:szCs w:val="21"/>
              </w:rPr>
            </w:pPr>
          </w:p>
        </w:tc>
      </w:tr>
      <w:tr w14:paraId="1A03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 w:type="pct"/>
            <w:vMerge w:val="continue"/>
            <w:noWrap w:val="0"/>
            <w:vAlign w:val="center"/>
          </w:tcPr>
          <w:p w14:paraId="6F572EDD">
            <w:pPr>
              <w:pStyle w:val="60"/>
              <w:rPr>
                <w:rFonts w:hint="default" w:ascii="Times New Roman" w:hAnsi="Times New Roman" w:eastAsia="宋体" w:cs="Times New Roman"/>
                <w:color w:val="auto"/>
                <w:sz w:val="21"/>
                <w:szCs w:val="21"/>
              </w:rPr>
            </w:pPr>
          </w:p>
        </w:tc>
        <w:tc>
          <w:tcPr>
            <w:tcW w:w="254" w:type="pct"/>
            <w:noWrap w:val="0"/>
            <w:vAlign w:val="center"/>
          </w:tcPr>
          <w:p w14:paraId="7BCE1A98">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w:t>
            </w:r>
          </w:p>
        </w:tc>
        <w:tc>
          <w:tcPr>
            <w:tcW w:w="814" w:type="pct"/>
            <w:noWrap w:val="0"/>
            <w:vAlign w:val="center"/>
          </w:tcPr>
          <w:p w14:paraId="71452F70">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管线天然气泄漏</w:t>
            </w:r>
          </w:p>
        </w:tc>
        <w:tc>
          <w:tcPr>
            <w:tcW w:w="1046" w:type="pct"/>
            <w:noWrap w:val="0"/>
            <w:vAlign w:val="center"/>
          </w:tcPr>
          <w:p w14:paraId="07B7F486">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CH</w:t>
            </w:r>
            <w:r>
              <w:rPr>
                <w:rFonts w:hint="default" w:ascii="Times New Roman" w:hAnsi="Times New Roman" w:eastAsia="宋体" w:cs="Times New Roman"/>
                <w:color w:val="auto"/>
                <w:sz w:val="21"/>
                <w:szCs w:val="21"/>
                <w:vertAlign w:val="subscript"/>
              </w:rPr>
              <w:t>4</w:t>
            </w:r>
          </w:p>
        </w:tc>
        <w:tc>
          <w:tcPr>
            <w:tcW w:w="297" w:type="pct"/>
            <w:noWrap w:val="0"/>
            <w:vAlign w:val="center"/>
          </w:tcPr>
          <w:p w14:paraId="202045DA">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25B0FB57">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7" w:type="pct"/>
            <w:noWrap w:val="0"/>
            <w:vAlign w:val="center"/>
          </w:tcPr>
          <w:p w14:paraId="7981B56B">
            <w:pPr>
              <w:pStyle w:val="60"/>
              <w:rPr>
                <w:rFonts w:hint="default" w:ascii="Times New Roman" w:hAnsi="Times New Roman" w:eastAsia="宋体" w:cs="Times New Roman"/>
                <w:color w:val="auto"/>
                <w:sz w:val="21"/>
                <w:szCs w:val="21"/>
              </w:rPr>
            </w:pPr>
          </w:p>
        </w:tc>
        <w:tc>
          <w:tcPr>
            <w:tcW w:w="297" w:type="pct"/>
            <w:noWrap w:val="0"/>
            <w:vAlign w:val="center"/>
          </w:tcPr>
          <w:p w14:paraId="6BD8CEEB">
            <w:pPr>
              <w:pStyle w:val="60"/>
              <w:rPr>
                <w:rFonts w:hint="default" w:ascii="Times New Roman" w:hAnsi="Times New Roman" w:eastAsia="宋体" w:cs="Times New Roman"/>
                <w:color w:val="auto"/>
                <w:sz w:val="21"/>
                <w:szCs w:val="21"/>
              </w:rPr>
            </w:pPr>
          </w:p>
        </w:tc>
        <w:tc>
          <w:tcPr>
            <w:tcW w:w="297" w:type="pct"/>
            <w:noWrap w:val="0"/>
            <w:vAlign w:val="center"/>
          </w:tcPr>
          <w:p w14:paraId="7AAD3CA9">
            <w:pPr>
              <w:pStyle w:val="60"/>
              <w:rPr>
                <w:rFonts w:hint="default" w:ascii="Times New Roman" w:hAnsi="Times New Roman" w:eastAsia="宋体" w:cs="Times New Roman"/>
                <w:color w:val="auto"/>
                <w:sz w:val="21"/>
                <w:szCs w:val="21"/>
              </w:rPr>
            </w:pPr>
          </w:p>
        </w:tc>
        <w:tc>
          <w:tcPr>
            <w:tcW w:w="297" w:type="pct"/>
            <w:noWrap w:val="0"/>
            <w:vAlign w:val="center"/>
          </w:tcPr>
          <w:p w14:paraId="66A9D412">
            <w:pPr>
              <w:pStyle w:val="60"/>
              <w:rPr>
                <w:rFonts w:hint="default" w:ascii="Times New Roman" w:hAnsi="Times New Roman" w:eastAsia="宋体" w:cs="Times New Roman"/>
                <w:color w:val="auto"/>
                <w:sz w:val="21"/>
                <w:szCs w:val="21"/>
              </w:rPr>
            </w:pPr>
          </w:p>
        </w:tc>
        <w:tc>
          <w:tcPr>
            <w:tcW w:w="297" w:type="pct"/>
            <w:noWrap w:val="0"/>
            <w:vAlign w:val="center"/>
          </w:tcPr>
          <w:p w14:paraId="59BC242D">
            <w:pPr>
              <w:pStyle w:val="60"/>
              <w:rPr>
                <w:rFonts w:hint="default" w:ascii="Times New Roman" w:hAnsi="Times New Roman" w:eastAsia="宋体" w:cs="Times New Roman"/>
                <w:color w:val="auto"/>
                <w:sz w:val="21"/>
                <w:szCs w:val="21"/>
              </w:rPr>
            </w:pPr>
          </w:p>
        </w:tc>
        <w:tc>
          <w:tcPr>
            <w:tcW w:w="305" w:type="pct"/>
            <w:noWrap w:val="0"/>
            <w:vAlign w:val="center"/>
          </w:tcPr>
          <w:p w14:paraId="615B9320">
            <w:pPr>
              <w:pStyle w:val="60"/>
              <w:rPr>
                <w:rFonts w:hint="default" w:ascii="Times New Roman" w:hAnsi="Times New Roman" w:eastAsia="宋体" w:cs="Times New Roman"/>
                <w:color w:val="auto"/>
                <w:sz w:val="21"/>
                <w:szCs w:val="21"/>
              </w:rPr>
            </w:pPr>
          </w:p>
        </w:tc>
        <w:tc>
          <w:tcPr>
            <w:tcW w:w="305" w:type="pct"/>
            <w:noWrap w:val="0"/>
            <w:vAlign w:val="center"/>
          </w:tcPr>
          <w:p w14:paraId="66868496">
            <w:pPr>
              <w:pStyle w:val="60"/>
              <w:rPr>
                <w:rFonts w:hint="default" w:ascii="Times New Roman" w:hAnsi="Times New Roman" w:eastAsia="宋体" w:cs="Times New Roman"/>
                <w:color w:val="auto"/>
                <w:sz w:val="21"/>
                <w:szCs w:val="21"/>
              </w:rPr>
            </w:pPr>
          </w:p>
        </w:tc>
      </w:tr>
    </w:tbl>
    <w:p w14:paraId="2A1E2017">
      <w:pPr>
        <w:snapToGrid w:val="0"/>
        <w:rPr>
          <w:rFonts w:hint="default" w:ascii="Times New Roman" w:hAnsi="Times New Roman" w:eastAsia="宋体" w:cs="Times New Roman"/>
          <w:color w:val="auto"/>
          <w:sz w:val="20"/>
          <w:szCs w:val="20"/>
        </w:rPr>
      </w:pPr>
    </w:p>
    <w:p w14:paraId="4EADFC6D">
      <w:pPr>
        <w:adjustRightInd w:val="0"/>
        <w:snapToGrid w:val="0"/>
        <w:spacing w:line="460" w:lineRule="exact"/>
        <w:ind w:firstLine="520" w:firstLineChars="200"/>
        <w:rPr>
          <w:rFonts w:hint="default" w:ascii="Times New Roman" w:hAnsi="Times New Roman" w:eastAsia="宋体" w:cs="Times New Roman"/>
          <w:color w:val="auto"/>
          <w:sz w:val="26"/>
          <w:szCs w:val="26"/>
        </w:rPr>
        <w:sectPr>
          <w:pgSz w:w="16838" w:h="11906" w:orient="landscape"/>
          <w:pgMar w:top="1418" w:right="1588" w:bottom="1418" w:left="1588" w:header="851" w:footer="992" w:gutter="0"/>
          <w:pgBorders>
            <w:top w:val="none" w:sz="0" w:space="0"/>
            <w:left w:val="none" w:sz="0" w:space="0"/>
            <w:bottom w:val="none" w:sz="0" w:space="0"/>
            <w:right w:val="none" w:sz="0" w:space="0"/>
          </w:pgBorders>
          <w:cols w:space="720" w:num="1"/>
          <w:docGrid w:linePitch="312" w:charSpace="0"/>
        </w:sectPr>
      </w:pPr>
    </w:p>
    <w:p w14:paraId="7CBA9BCA">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1.5.2 评价因子筛选</w:t>
      </w:r>
    </w:p>
    <w:p w14:paraId="332A060D">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根据本项目施工作业和生产过程的环境影响特点，结合当地环境功能和各类环境因子的重要性和可能受影响的程度，在环境影响识别的基础上，各环境影响评价因子的筛选确定如下。</w:t>
      </w:r>
    </w:p>
    <w:p w14:paraId="67EC867D">
      <w:pPr>
        <w:pStyle w:val="58"/>
        <w:rPr>
          <w:rFonts w:hint="default" w:ascii="Times New Roman" w:hAnsi="Times New Roman" w:eastAsia="宋体" w:cs="Times New Roman"/>
          <w:b/>
          <w:color w:val="auto"/>
        </w:rPr>
      </w:pPr>
      <w:r>
        <w:rPr>
          <w:rFonts w:hint="default" w:ascii="Times New Roman" w:hAnsi="Times New Roman" w:eastAsia="宋体" w:cs="Times New Roman"/>
          <w:b/>
          <w:color w:val="auto"/>
        </w:rPr>
        <w:t>表1.</w:t>
      </w:r>
      <w:r>
        <w:rPr>
          <w:rFonts w:hint="default" w:ascii="Times New Roman" w:hAnsi="Times New Roman" w:eastAsia="宋体" w:cs="Times New Roman"/>
          <w:b/>
          <w:color w:val="auto"/>
          <w:lang w:val="en-US" w:eastAsia="zh-CN"/>
        </w:rPr>
        <w:t>5</w:t>
      </w:r>
      <w:r>
        <w:rPr>
          <w:rFonts w:hint="default" w:ascii="Times New Roman" w:hAnsi="Times New Roman" w:eastAsia="宋体" w:cs="Times New Roman"/>
          <w:b/>
          <w:color w:val="auto"/>
        </w:rPr>
        <w:t>-2</w:t>
      </w:r>
      <w:r>
        <w:rPr>
          <w:rFonts w:hint="default" w:ascii="Times New Roman" w:hAnsi="Times New Roman" w:eastAsia="宋体" w:cs="Times New Roman"/>
          <w:b/>
          <w:color w:val="auto"/>
          <w:lang w:val="en-US" w:eastAsia="zh-CN"/>
        </w:rPr>
        <w:t xml:space="preserve">  </w:t>
      </w:r>
      <w:r>
        <w:rPr>
          <w:rFonts w:hint="default" w:ascii="Times New Roman" w:hAnsi="Times New Roman" w:eastAsia="宋体" w:cs="Times New Roman"/>
          <w:b/>
          <w:color w:val="auto"/>
        </w:rPr>
        <w:t>环境影响评价因子</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3755"/>
        <w:gridCol w:w="3755"/>
      </w:tblGrid>
      <w:tr w14:paraId="1AE2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noWrap w:val="0"/>
            <w:vAlign w:val="center"/>
          </w:tcPr>
          <w:p w14:paraId="3AB0999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评价内容</w:t>
            </w:r>
          </w:p>
        </w:tc>
        <w:tc>
          <w:tcPr>
            <w:tcW w:w="2099" w:type="pct"/>
            <w:noWrap w:val="0"/>
            <w:vAlign w:val="center"/>
          </w:tcPr>
          <w:p w14:paraId="7E7BD5A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环境质量现状评价因子</w:t>
            </w:r>
          </w:p>
        </w:tc>
        <w:tc>
          <w:tcPr>
            <w:tcW w:w="2099" w:type="pct"/>
            <w:noWrap w:val="0"/>
            <w:vAlign w:val="center"/>
          </w:tcPr>
          <w:p w14:paraId="4C67F30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环境影响评价因子</w:t>
            </w:r>
          </w:p>
        </w:tc>
      </w:tr>
      <w:tr w14:paraId="16F7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noWrap w:val="0"/>
            <w:vAlign w:val="center"/>
          </w:tcPr>
          <w:p w14:paraId="38AAB11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2099" w:type="pct"/>
            <w:noWrap w:val="0"/>
            <w:vAlign w:val="center"/>
          </w:tcPr>
          <w:p w14:paraId="14052AC0">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常规因子：SO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、CO、O</w:t>
            </w:r>
            <w:r>
              <w:rPr>
                <w:rFonts w:hint="default" w:ascii="Times New Roman" w:hAnsi="Times New Roman" w:eastAsia="宋体" w:cs="Times New Roman"/>
                <w:color w:val="auto"/>
                <w:sz w:val="21"/>
                <w:szCs w:val="21"/>
                <w:vertAlign w:val="subscript"/>
              </w:rPr>
              <w:t>3</w:t>
            </w:r>
          </w:p>
        </w:tc>
        <w:tc>
          <w:tcPr>
            <w:tcW w:w="2099" w:type="pct"/>
            <w:noWrap w:val="0"/>
            <w:vAlign w:val="center"/>
          </w:tcPr>
          <w:p w14:paraId="1497B8C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CO、NO</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、颗粒物等</w:t>
            </w:r>
          </w:p>
        </w:tc>
      </w:tr>
      <w:tr w14:paraId="4AB3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noWrap w:val="0"/>
            <w:vAlign w:val="center"/>
          </w:tcPr>
          <w:p w14:paraId="58BD284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099" w:type="pct"/>
            <w:noWrap w:val="0"/>
            <w:vAlign w:val="center"/>
          </w:tcPr>
          <w:p w14:paraId="7D549D5F">
            <w:pPr>
              <w:adjustRightInd w:val="0"/>
              <w:snapToGrid w:val="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pH、</w:t>
            </w:r>
            <w:r>
              <w:rPr>
                <w:rFonts w:hint="default" w:ascii="Times New Roman" w:hAnsi="Times New Roman" w:eastAsia="宋体" w:cs="Times New Roman"/>
                <w:color w:val="auto"/>
                <w:sz w:val="21"/>
                <w:szCs w:val="21"/>
                <w:lang w:val="en-US" w:eastAsia="zh-CN"/>
              </w:rPr>
              <w:t>SS</w:t>
            </w: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、氨氮、TP、石油类等</w:t>
            </w:r>
          </w:p>
        </w:tc>
        <w:tc>
          <w:tcPr>
            <w:tcW w:w="2099" w:type="pct"/>
            <w:noWrap w:val="0"/>
            <w:vAlign w:val="center"/>
          </w:tcPr>
          <w:p w14:paraId="143E6FAA">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定性分析施工废水处置的可行性</w:t>
            </w:r>
          </w:p>
        </w:tc>
      </w:tr>
      <w:tr w14:paraId="7E55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noWrap w:val="0"/>
            <w:vAlign w:val="center"/>
          </w:tcPr>
          <w:p w14:paraId="2268BF4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2099" w:type="pct"/>
            <w:noWrap w:val="0"/>
            <w:vAlign w:val="center"/>
          </w:tcPr>
          <w:p w14:paraId="65FFB5FB">
            <w:pPr>
              <w:adjustRightInd w:val="0"/>
              <w:snapToGrid w:val="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rPr>
              <w:t>pH、氨氮、硝酸盐、亚硝酸盐、挥发性酚类、氰化物、砷、汞、铬（六价）、总硬度、铅、氟化物、镉、铁、锰、溶解性总固体、</w:t>
            </w:r>
            <w:r>
              <w:rPr>
                <w:rFonts w:hint="default" w:ascii="Times New Roman" w:hAnsi="Times New Roman" w:eastAsia="宋体" w:cs="Times New Roman"/>
                <w:color w:val="auto"/>
                <w:sz w:val="21"/>
                <w:szCs w:val="21"/>
                <w:lang w:val="en-US" w:eastAsia="zh-CN"/>
              </w:rPr>
              <w:t>高锰酸盐指数</w:t>
            </w:r>
            <w:r>
              <w:rPr>
                <w:rFonts w:hint="default" w:ascii="Times New Roman" w:hAnsi="Times New Roman" w:eastAsia="宋体" w:cs="Times New Roman"/>
                <w:color w:val="auto"/>
                <w:sz w:val="21"/>
                <w:szCs w:val="21"/>
              </w:rPr>
              <w:t>、硫酸盐、总大肠菌群、菌落总数、钡</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石油类、氯化物、COD</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bCs/>
                <w:color w:val="auto"/>
                <w:sz w:val="21"/>
                <w:szCs w:val="21"/>
              </w:rPr>
              <w:t>K</w:t>
            </w:r>
            <w:r>
              <w:rPr>
                <w:rFonts w:hint="default" w:ascii="Times New Roman" w:hAnsi="Times New Roman" w:eastAsia="宋体" w:cs="Times New Roman"/>
                <w:bCs/>
                <w:color w:val="auto"/>
                <w:sz w:val="21"/>
                <w:szCs w:val="21"/>
                <w:vertAlign w:val="superscript"/>
              </w:rPr>
              <w:t>+</w:t>
            </w:r>
            <w:r>
              <w:rPr>
                <w:rFonts w:hint="default" w:ascii="Times New Roman" w:hAnsi="Times New Roman" w:eastAsia="宋体" w:cs="Times New Roman"/>
                <w:bCs/>
                <w:color w:val="auto"/>
                <w:sz w:val="21"/>
                <w:szCs w:val="21"/>
              </w:rPr>
              <w:t>、Na</w:t>
            </w:r>
            <w:r>
              <w:rPr>
                <w:rFonts w:hint="default" w:ascii="Times New Roman" w:hAnsi="Times New Roman" w:eastAsia="宋体" w:cs="Times New Roman"/>
                <w:bCs/>
                <w:color w:val="auto"/>
                <w:sz w:val="21"/>
                <w:szCs w:val="21"/>
                <w:vertAlign w:val="superscript"/>
              </w:rPr>
              <w:t>+</w:t>
            </w:r>
            <w:r>
              <w:rPr>
                <w:rFonts w:hint="default" w:ascii="Times New Roman" w:hAnsi="Times New Roman" w:eastAsia="宋体" w:cs="Times New Roman"/>
                <w:bCs/>
                <w:color w:val="auto"/>
                <w:sz w:val="21"/>
                <w:szCs w:val="21"/>
              </w:rPr>
              <w:t>、Ca</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、Mg</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、CO</w:t>
            </w:r>
            <w:r>
              <w:rPr>
                <w:rFonts w:hint="default" w:ascii="Times New Roman" w:hAnsi="Times New Roman" w:eastAsia="宋体" w:cs="Times New Roman"/>
                <w:bCs/>
                <w:color w:val="auto"/>
                <w:sz w:val="21"/>
                <w:szCs w:val="21"/>
                <w:vertAlign w:val="subscript"/>
              </w:rPr>
              <w:t>3</w:t>
            </w:r>
            <w:r>
              <w:rPr>
                <w:rFonts w:hint="default" w:ascii="Times New Roman" w:hAnsi="Times New Roman" w:eastAsia="宋体" w:cs="Times New Roman"/>
                <w:bCs/>
                <w:color w:val="auto"/>
                <w:sz w:val="21"/>
                <w:szCs w:val="21"/>
                <w:vertAlign w:val="superscript"/>
              </w:rPr>
              <w:t>-</w:t>
            </w:r>
            <w:r>
              <w:rPr>
                <w:rFonts w:hint="default" w:ascii="Times New Roman" w:hAnsi="Times New Roman" w:eastAsia="宋体" w:cs="Times New Roman"/>
                <w:bCs/>
                <w:color w:val="auto"/>
                <w:sz w:val="21"/>
                <w:szCs w:val="21"/>
              </w:rPr>
              <w:t>、HCO</w:t>
            </w:r>
            <w:r>
              <w:rPr>
                <w:rFonts w:hint="default" w:ascii="Times New Roman" w:hAnsi="Times New Roman" w:eastAsia="宋体" w:cs="Times New Roman"/>
                <w:bCs/>
                <w:color w:val="auto"/>
                <w:sz w:val="21"/>
                <w:szCs w:val="21"/>
                <w:vertAlign w:val="subscript"/>
              </w:rPr>
              <w:t>3</w:t>
            </w:r>
            <w:r>
              <w:rPr>
                <w:rFonts w:hint="default" w:ascii="Times New Roman" w:hAnsi="Times New Roman" w:eastAsia="宋体" w:cs="Times New Roman"/>
                <w:bCs/>
                <w:color w:val="auto"/>
                <w:sz w:val="21"/>
                <w:szCs w:val="21"/>
                <w:vertAlign w:val="superscript"/>
              </w:rPr>
              <w:t>-</w:t>
            </w:r>
            <w:r>
              <w:rPr>
                <w:rFonts w:hint="default" w:ascii="Times New Roman" w:hAnsi="Times New Roman" w:eastAsia="宋体" w:cs="Times New Roman"/>
                <w:bCs/>
                <w:color w:val="auto"/>
                <w:sz w:val="21"/>
                <w:szCs w:val="21"/>
              </w:rPr>
              <w:t>、Cl</w:t>
            </w:r>
            <w:r>
              <w:rPr>
                <w:rFonts w:hint="default" w:ascii="Times New Roman" w:hAnsi="Times New Roman" w:eastAsia="宋体" w:cs="Times New Roman"/>
                <w:bCs/>
                <w:color w:val="auto"/>
                <w:sz w:val="21"/>
                <w:szCs w:val="21"/>
                <w:vertAlign w:val="superscript"/>
              </w:rPr>
              <w:t>-</w:t>
            </w:r>
            <w:r>
              <w:rPr>
                <w:rFonts w:hint="default" w:ascii="Times New Roman" w:hAnsi="Times New Roman" w:eastAsia="宋体" w:cs="Times New Roman"/>
                <w:bCs/>
                <w:color w:val="auto"/>
                <w:sz w:val="21"/>
                <w:szCs w:val="21"/>
              </w:rPr>
              <w:t>、SO</w:t>
            </w:r>
            <w:r>
              <w:rPr>
                <w:rFonts w:hint="default" w:ascii="Times New Roman" w:hAnsi="Times New Roman" w:eastAsia="宋体" w:cs="Times New Roman"/>
                <w:bCs/>
                <w:color w:val="auto"/>
                <w:sz w:val="21"/>
                <w:szCs w:val="21"/>
                <w:vertAlign w:val="subscript"/>
              </w:rPr>
              <w:t>4</w:t>
            </w:r>
            <w:r>
              <w:rPr>
                <w:rFonts w:hint="default" w:ascii="Times New Roman" w:hAnsi="Times New Roman" w:eastAsia="宋体" w:cs="Times New Roman"/>
                <w:bCs/>
                <w:color w:val="auto"/>
                <w:sz w:val="21"/>
                <w:szCs w:val="21"/>
                <w:vertAlign w:val="superscript"/>
              </w:rPr>
              <w:t>2-</w:t>
            </w:r>
          </w:p>
        </w:tc>
        <w:tc>
          <w:tcPr>
            <w:tcW w:w="2099" w:type="pct"/>
            <w:noWrap w:val="0"/>
            <w:vAlign w:val="center"/>
          </w:tcPr>
          <w:p w14:paraId="096E7E9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59A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noWrap w:val="0"/>
            <w:vAlign w:val="center"/>
          </w:tcPr>
          <w:p w14:paraId="64BBDBE2">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噪声</w:t>
            </w:r>
          </w:p>
        </w:tc>
        <w:tc>
          <w:tcPr>
            <w:tcW w:w="2099" w:type="pct"/>
            <w:noWrap w:val="0"/>
            <w:vAlign w:val="center"/>
          </w:tcPr>
          <w:p w14:paraId="15D42224">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等效连续A声级</w:t>
            </w:r>
          </w:p>
        </w:tc>
        <w:tc>
          <w:tcPr>
            <w:tcW w:w="2099" w:type="pct"/>
            <w:noWrap w:val="0"/>
            <w:vAlign w:val="center"/>
          </w:tcPr>
          <w:p w14:paraId="2C9BC908">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等效连续A声级</w:t>
            </w:r>
          </w:p>
        </w:tc>
      </w:tr>
      <w:tr w14:paraId="5314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noWrap w:val="0"/>
            <w:vAlign w:val="center"/>
          </w:tcPr>
          <w:p w14:paraId="6A630084">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生态环境</w:t>
            </w:r>
          </w:p>
        </w:tc>
        <w:tc>
          <w:tcPr>
            <w:tcW w:w="2099" w:type="pct"/>
            <w:noWrap w:val="0"/>
            <w:vAlign w:val="center"/>
          </w:tcPr>
          <w:p w14:paraId="6606F00D">
            <w:pPr>
              <w:adjustRightInd w:val="0"/>
              <w:snapToGrid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土地利用、水土流失、永久基本农田、</w:t>
            </w:r>
            <w:r>
              <w:rPr>
                <w:rFonts w:hint="default" w:ascii="Times New Roman" w:hAnsi="Times New Roman" w:eastAsia="宋体" w:cs="Times New Roman"/>
                <w:color w:val="auto"/>
                <w:sz w:val="21"/>
                <w:szCs w:val="21"/>
                <w:lang w:val="en-US" w:eastAsia="zh-CN"/>
              </w:rPr>
              <w:t>景观、</w:t>
            </w:r>
            <w:r>
              <w:rPr>
                <w:rFonts w:hint="default" w:ascii="Times New Roman" w:hAnsi="Times New Roman" w:eastAsia="宋体" w:cs="Times New Roman"/>
                <w:color w:val="auto"/>
                <w:sz w:val="21"/>
                <w:szCs w:val="21"/>
              </w:rPr>
              <w:t>物种、生境、生态系统</w:t>
            </w:r>
          </w:p>
        </w:tc>
        <w:tc>
          <w:tcPr>
            <w:tcW w:w="2099" w:type="pct"/>
            <w:noWrap w:val="0"/>
            <w:vAlign w:val="center"/>
          </w:tcPr>
          <w:p w14:paraId="5D27EDBC">
            <w:pPr>
              <w:adjustRightInd w:val="0"/>
              <w:snapToGrid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物种、生境、生物群落、生态系统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自然景观</w:t>
            </w:r>
            <w:r>
              <w:rPr>
                <w:rFonts w:hint="default" w:ascii="Times New Roman" w:hAnsi="Times New Roman" w:eastAsia="宋体" w:cs="Times New Roman"/>
                <w:color w:val="auto"/>
                <w:sz w:val="21"/>
                <w:szCs w:val="21"/>
              </w:rPr>
              <w:t>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详见表1.5-3</w:t>
            </w:r>
          </w:p>
        </w:tc>
      </w:tr>
      <w:tr w14:paraId="017A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noWrap w:val="0"/>
            <w:vAlign w:val="center"/>
          </w:tcPr>
          <w:p w14:paraId="62993001">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固体废物</w:t>
            </w:r>
          </w:p>
        </w:tc>
        <w:tc>
          <w:tcPr>
            <w:tcW w:w="2099" w:type="pct"/>
            <w:noWrap w:val="0"/>
            <w:vAlign w:val="center"/>
          </w:tcPr>
          <w:p w14:paraId="6CBD32C7">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2099" w:type="pct"/>
            <w:noWrap w:val="0"/>
            <w:vAlign w:val="center"/>
          </w:tcPr>
          <w:p w14:paraId="2766A7A4">
            <w:pPr>
              <w:adjustRightInd w:val="0"/>
              <w:snapToGrid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施工废料、生活垃圾、清管废渣等</w:t>
            </w:r>
          </w:p>
        </w:tc>
      </w:tr>
      <w:tr w14:paraId="3069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noWrap w:val="0"/>
            <w:vAlign w:val="center"/>
          </w:tcPr>
          <w:p w14:paraId="26501EB4">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土壤</w:t>
            </w:r>
          </w:p>
        </w:tc>
        <w:tc>
          <w:tcPr>
            <w:tcW w:w="2099" w:type="pct"/>
            <w:noWrap w:val="0"/>
            <w:vAlign w:val="center"/>
          </w:tcPr>
          <w:p w14:paraId="2F7EF9A9">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c>
          <w:tcPr>
            <w:tcW w:w="2099" w:type="pct"/>
            <w:noWrap w:val="0"/>
            <w:vAlign w:val="center"/>
          </w:tcPr>
          <w:p w14:paraId="3F2E38E0">
            <w:pPr>
              <w:adjustRightInd w:val="0"/>
              <w:snapToGrid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w:t>
            </w:r>
          </w:p>
        </w:tc>
      </w:tr>
      <w:tr w14:paraId="3FCE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noWrap w:val="0"/>
            <w:vAlign w:val="center"/>
          </w:tcPr>
          <w:p w14:paraId="510613B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099" w:type="pct"/>
            <w:noWrap w:val="0"/>
            <w:vAlign w:val="center"/>
          </w:tcPr>
          <w:p w14:paraId="25DE365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099" w:type="pct"/>
            <w:noWrap w:val="0"/>
            <w:vAlign w:val="center"/>
          </w:tcPr>
          <w:p w14:paraId="532AEAA6">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主要是甲烷</w:t>
            </w:r>
            <w:r>
              <w:rPr>
                <w:rFonts w:hint="default" w:ascii="Times New Roman" w:hAnsi="Times New Roman" w:eastAsia="宋体" w:cs="Times New Roman"/>
                <w:color w:val="auto"/>
                <w:sz w:val="21"/>
                <w:szCs w:val="21"/>
                <w:shd w:val="clear" w:fill="FFFFFF"/>
                <w:lang w:eastAsia="zh-CN"/>
              </w:rPr>
              <w:t>泄漏</w:t>
            </w:r>
            <w:r>
              <w:rPr>
                <w:rFonts w:hint="default" w:ascii="Times New Roman" w:hAnsi="Times New Roman" w:eastAsia="宋体" w:cs="Times New Roman"/>
                <w:color w:val="auto"/>
                <w:sz w:val="21"/>
                <w:szCs w:val="21"/>
              </w:rPr>
              <w:t>，其次是甲烷遇火燃烧或爆炸引发的次生污染</w:t>
            </w:r>
          </w:p>
        </w:tc>
      </w:tr>
    </w:tbl>
    <w:p w14:paraId="52C2F3CD">
      <w:pPr>
        <w:snapToGrid w:val="0"/>
        <w:rPr>
          <w:rFonts w:hint="default" w:ascii="Times New Roman" w:hAnsi="Times New Roman" w:eastAsia="宋体" w:cs="Times New Roman"/>
          <w:color w:val="auto"/>
          <w:sz w:val="20"/>
          <w:szCs w:val="20"/>
        </w:rPr>
      </w:pPr>
      <w:bookmarkStart w:id="45" w:name="_Toc60144376"/>
      <w:bookmarkStart w:id="46" w:name="_Toc24503"/>
      <w:bookmarkStart w:id="47" w:name="_Toc536297605"/>
      <w:bookmarkStart w:id="48" w:name="_Toc45551062"/>
    </w:p>
    <w:p w14:paraId="715A2E98">
      <w:pPr>
        <w:pStyle w:val="58"/>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表1.5-3 生态影响评价因子筛选表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020"/>
        <w:gridCol w:w="1575"/>
        <w:gridCol w:w="3660"/>
        <w:gridCol w:w="1245"/>
        <w:gridCol w:w="805"/>
      </w:tblGrid>
      <w:tr w14:paraId="2C7B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noWrap/>
            <w:vAlign w:val="center"/>
          </w:tcPr>
          <w:p w14:paraId="21D3452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影响时段</w:t>
            </w:r>
          </w:p>
        </w:tc>
        <w:tc>
          <w:tcPr>
            <w:tcW w:w="570" w:type="pct"/>
            <w:noWrap/>
            <w:vAlign w:val="center"/>
          </w:tcPr>
          <w:p w14:paraId="1883A12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受影响对象</w:t>
            </w:r>
          </w:p>
        </w:tc>
        <w:tc>
          <w:tcPr>
            <w:tcW w:w="880" w:type="pct"/>
            <w:noWrap/>
            <w:vAlign w:val="center"/>
          </w:tcPr>
          <w:p w14:paraId="5A81C19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评价因子</w:t>
            </w:r>
          </w:p>
        </w:tc>
        <w:tc>
          <w:tcPr>
            <w:tcW w:w="2045" w:type="pct"/>
            <w:noWrap w:val="0"/>
            <w:vAlign w:val="center"/>
          </w:tcPr>
          <w:p w14:paraId="23DDEC7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工程内容及影响方式</w:t>
            </w:r>
          </w:p>
        </w:tc>
        <w:tc>
          <w:tcPr>
            <w:tcW w:w="695" w:type="pct"/>
            <w:noWrap/>
            <w:vAlign w:val="center"/>
          </w:tcPr>
          <w:p w14:paraId="0ADB80E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影响性质</w:t>
            </w:r>
          </w:p>
        </w:tc>
        <w:tc>
          <w:tcPr>
            <w:tcW w:w="449" w:type="pct"/>
            <w:noWrap/>
            <w:vAlign w:val="center"/>
          </w:tcPr>
          <w:p w14:paraId="4C37F29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影响程度</w:t>
            </w:r>
          </w:p>
        </w:tc>
      </w:tr>
      <w:tr w14:paraId="4169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restart"/>
            <w:noWrap/>
            <w:vAlign w:val="center"/>
          </w:tcPr>
          <w:p w14:paraId="417EC6A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施工期</w:t>
            </w:r>
          </w:p>
        </w:tc>
        <w:tc>
          <w:tcPr>
            <w:tcW w:w="570" w:type="pct"/>
            <w:noWrap/>
            <w:vAlign w:val="center"/>
          </w:tcPr>
          <w:p w14:paraId="36EE62F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物种</w:t>
            </w:r>
          </w:p>
        </w:tc>
        <w:tc>
          <w:tcPr>
            <w:tcW w:w="880" w:type="pct"/>
            <w:noWrap/>
            <w:vAlign w:val="center"/>
          </w:tcPr>
          <w:p w14:paraId="7AE6E2F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分布范围、种群数量、种群结构、行为等</w:t>
            </w:r>
          </w:p>
        </w:tc>
        <w:tc>
          <w:tcPr>
            <w:tcW w:w="2045" w:type="pct"/>
            <w:noWrap w:val="0"/>
            <w:vAlign w:val="center"/>
          </w:tcPr>
          <w:p w14:paraId="0C8E2671">
            <w:pPr>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直接影响：工程施工导致个体直接死亡；施工活动噪声等对野生动物行为产生干扰</w:t>
            </w:r>
          </w:p>
        </w:tc>
        <w:tc>
          <w:tcPr>
            <w:tcW w:w="695" w:type="pct"/>
            <w:noWrap/>
            <w:vAlign w:val="center"/>
          </w:tcPr>
          <w:p w14:paraId="2495344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短期、可逆影响</w:t>
            </w:r>
          </w:p>
        </w:tc>
        <w:tc>
          <w:tcPr>
            <w:tcW w:w="449" w:type="pct"/>
            <w:noWrap/>
            <w:vAlign w:val="center"/>
          </w:tcPr>
          <w:p w14:paraId="23AE29F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弱</w:t>
            </w:r>
          </w:p>
        </w:tc>
      </w:tr>
      <w:tr w14:paraId="2D30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noWrap/>
            <w:vAlign w:val="center"/>
          </w:tcPr>
          <w:p w14:paraId="467BB920">
            <w:pPr>
              <w:adjustRightInd w:val="0"/>
              <w:snapToGrid w:val="0"/>
              <w:jc w:val="center"/>
              <w:rPr>
                <w:rFonts w:hint="default" w:ascii="Times New Roman" w:hAnsi="Times New Roman" w:eastAsia="宋体" w:cs="Times New Roman"/>
                <w:color w:val="auto"/>
                <w:sz w:val="21"/>
                <w:szCs w:val="21"/>
              </w:rPr>
            </w:pPr>
          </w:p>
        </w:tc>
        <w:tc>
          <w:tcPr>
            <w:tcW w:w="570" w:type="pct"/>
            <w:noWrap/>
            <w:vAlign w:val="center"/>
          </w:tcPr>
          <w:p w14:paraId="4BE5BC7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生境</w:t>
            </w:r>
          </w:p>
        </w:tc>
        <w:tc>
          <w:tcPr>
            <w:tcW w:w="880" w:type="pct"/>
            <w:noWrap/>
            <w:vAlign w:val="center"/>
          </w:tcPr>
          <w:p w14:paraId="6A7978D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生境面积、质量、连通性等</w:t>
            </w:r>
          </w:p>
        </w:tc>
        <w:tc>
          <w:tcPr>
            <w:tcW w:w="2045" w:type="pct"/>
            <w:noWrap w:val="0"/>
            <w:vAlign w:val="center"/>
          </w:tcPr>
          <w:p w14:paraId="1961343D">
            <w:pPr>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直接影响：临时导致生境直接破坏或丧失</w:t>
            </w:r>
          </w:p>
        </w:tc>
        <w:tc>
          <w:tcPr>
            <w:tcW w:w="695" w:type="pct"/>
            <w:noWrap/>
            <w:vAlign w:val="center"/>
          </w:tcPr>
          <w:p w14:paraId="154B4A4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短期、可逆影响</w:t>
            </w:r>
          </w:p>
        </w:tc>
        <w:tc>
          <w:tcPr>
            <w:tcW w:w="449" w:type="pct"/>
            <w:noWrap/>
            <w:vAlign w:val="center"/>
          </w:tcPr>
          <w:p w14:paraId="62953EC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弱</w:t>
            </w:r>
          </w:p>
        </w:tc>
      </w:tr>
      <w:tr w14:paraId="3A18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noWrap/>
            <w:vAlign w:val="center"/>
          </w:tcPr>
          <w:p w14:paraId="6684B627">
            <w:pPr>
              <w:adjustRightInd w:val="0"/>
              <w:snapToGrid w:val="0"/>
              <w:jc w:val="center"/>
              <w:rPr>
                <w:rFonts w:hint="default" w:ascii="Times New Roman" w:hAnsi="Times New Roman" w:eastAsia="宋体" w:cs="Times New Roman"/>
                <w:color w:val="auto"/>
                <w:sz w:val="21"/>
                <w:szCs w:val="21"/>
              </w:rPr>
            </w:pPr>
          </w:p>
        </w:tc>
        <w:tc>
          <w:tcPr>
            <w:tcW w:w="570" w:type="pct"/>
            <w:noWrap/>
            <w:vAlign w:val="center"/>
          </w:tcPr>
          <w:p w14:paraId="56D1FF8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生物群落</w:t>
            </w:r>
          </w:p>
        </w:tc>
        <w:tc>
          <w:tcPr>
            <w:tcW w:w="880" w:type="pct"/>
            <w:noWrap/>
            <w:vAlign w:val="center"/>
          </w:tcPr>
          <w:p w14:paraId="5D496E2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物种组成 群落结构</w:t>
            </w:r>
          </w:p>
        </w:tc>
        <w:tc>
          <w:tcPr>
            <w:tcW w:w="2045" w:type="pct"/>
            <w:noWrap w:val="0"/>
            <w:vAlign w:val="center"/>
          </w:tcPr>
          <w:p w14:paraId="2FBC670C">
            <w:pPr>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间接影响：不会造成物种的减少，施工活动短期造成施工区附近动物群落结构变化</w:t>
            </w:r>
          </w:p>
        </w:tc>
        <w:tc>
          <w:tcPr>
            <w:tcW w:w="695" w:type="pct"/>
            <w:noWrap/>
            <w:vAlign w:val="center"/>
          </w:tcPr>
          <w:p w14:paraId="358C775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短期、可逆影响</w:t>
            </w:r>
          </w:p>
        </w:tc>
        <w:tc>
          <w:tcPr>
            <w:tcW w:w="449" w:type="pct"/>
            <w:noWrap/>
            <w:vAlign w:val="center"/>
          </w:tcPr>
          <w:p w14:paraId="05B5E44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弱</w:t>
            </w:r>
          </w:p>
        </w:tc>
      </w:tr>
      <w:tr w14:paraId="1B0D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noWrap/>
            <w:vAlign w:val="center"/>
          </w:tcPr>
          <w:p w14:paraId="3F19EAC2">
            <w:pPr>
              <w:adjustRightInd w:val="0"/>
              <w:snapToGrid w:val="0"/>
              <w:jc w:val="center"/>
              <w:rPr>
                <w:rFonts w:hint="default" w:ascii="Times New Roman" w:hAnsi="Times New Roman" w:eastAsia="宋体" w:cs="Times New Roman"/>
                <w:color w:val="auto"/>
                <w:sz w:val="21"/>
                <w:szCs w:val="21"/>
              </w:rPr>
            </w:pPr>
          </w:p>
        </w:tc>
        <w:tc>
          <w:tcPr>
            <w:tcW w:w="570" w:type="pct"/>
            <w:noWrap/>
            <w:vAlign w:val="center"/>
          </w:tcPr>
          <w:p w14:paraId="46E5F21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生态系统</w:t>
            </w:r>
          </w:p>
        </w:tc>
        <w:tc>
          <w:tcPr>
            <w:tcW w:w="880" w:type="pct"/>
            <w:noWrap/>
            <w:vAlign w:val="center"/>
          </w:tcPr>
          <w:p w14:paraId="408EEBE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植被覆盖度、生产力、生物量、生态系统功能等</w:t>
            </w:r>
          </w:p>
        </w:tc>
        <w:tc>
          <w:tcPr>
            <w:tcW w:w="2045" w:type="pct"/>
            <w:noWrap w:val="0"/>
            <w:vAlign w:val="center"/>
          </w:tcPr>
          <w:p w14:paraId="2318EDAC">
            <w:pPr>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直接影响：工程施工导致个体直接死亡，生产力、生物量降低。</w:t>
            </w:r>
          </w:p>
        </w:tc>
        <w:tc>
          <w:tcPr>
            <w:tcW w:w="695" w:type="pct"/>
            <w:noWrap/>
            <w:vAlign w:val="center"/>
          </w:tcPr>
          <w:p w14:paraId="34DD30C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短期、可逆影响</w:t>
            </w:r>
          </w:p>
        </w:tc>
        <w:tc>
          <w:tcPr>
            <w:tcW w:w="449" w:type="pct"/>
            <w:noWrap/>
            <w:vAlign w:val="center"/>
          </w:tcPr>
          <w:p w14:paraId="5CF40CA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弱</w:t>
            </w:r>
          </w:p>
        </w:tc>
      </w:tr>
      <w:tr w14:paraId="69C7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noWrap/>
            <w:vAlign w:val="center"/>
          </w:tcPr>
          <w:p w14:paraId="56B9D216">
            <w:pPr>
              <w:adjustRightInd w:val="0"/>
              <w:snapToGrid w:val="0"/>
              <w:jc w:val="center"/>
              <w:rPr>
                <w:rFonts w:hint="default" w:ascii="Times New Roman" w:hAnsi="Times New Roman" w:eastAsia="宋体" w:cs="Times New Roman"/>
                <w:color w:val="auto"/>
                <w:sz w:val="21"/>
                <w:szCs w:val="21"/>
              </w:rPr>
            </w:pPr>
          </w:p>
        </w:tc>
        <w:tc>
          <w:tcPr>
            <w:tcW w:w="570" w:type="pct"/>
            <w:noWrap/>
            <w:vAlign w:val="center"/>
          </w:tcPr>
          <w:p w14:paraId="0737C6C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生物多样性</w:t>
            </w:r>
          </w:p>
        </w:tc>
        <w:tc>
          <w:tcPr>
            <w:tcW w:w="880" w:type="pct"/>
            <w:noWrap/>
            <w:vAlign w:val="center"/>
          </w:tcPr>
          <w:p w14:paraId="1C03290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物种丰富度、均匀度、优势度</w:t>
            </w:r>
          </w:p>
        </w:tc>
        <w:tc>
          <w:tcPr>
            <w:tcW w:w="2045" w:type="pct"/>
            <w:noWrap w:val="0"/>
            <w:vAlign w:val="center"/>
          </w:tcPr>
          <w:p w14:paraId="4A226883">
            <w:pPr>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直接影响：短期造成占地区和线路附近物种丰富度、均匀度、优势度下降</w:t>
            </w:r>
          </w:p>
        </w:tc>
        <w:tc>
          <w:tcPr>
            <w:tcW w:w="695" w:type="pct"/>
            <w:noWrap/>
            <w:vAlign w:val="center"/>
          </w:tcPr>
          <w:p w14:paraId="44C84E2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短期、可逆影响</w:t>
            </w:r>
          </w:p>
        </w:tc>
        <w:tc>
          <w:tcPr>
            <w:tcW w:w="449" w:type="pct"/>
            <w:noWrap/>
            <w:vAlign w:val="center"/>
          </w:tcPr>
          <w:p w14:paraId="11B5DA2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弱</w:t>
            </w:r>
          </w:p>
        </w:tc>
      </w:tr>
      <w:tr w14:paraId="5616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noWrap/>
            <w:vAlign w:val="center"/>
          </w:tcPr>
          <w:p w14:paraId="40E2ADD4">
            <w:pPr>
              <w:adjustRightInd w:val="0"/>
              <w:snapToGrid w:val="0"/>
              <w:jc w:val="center"/>
              <w:rPr>
                <w:rFonts w:hint="default" w:ascii="Times New Roman" w:hAnsi="Times New Roman" w:eastAsia="宋体" w:cs="Times New Roman"/>
                <w:color w:val="auto"/>
                <w:sz w:val="21"/>
                <w:szCs w:val="21"/>
              </w:rPr>
            </w:pPr>
          </w:p>
        </w:tc>
        <w:tc>
          <w:tcPr>
            <w:tcW w:w="570" w:type="pct"/>
            <w:noWrap/>
            <w:vAlign w:val="center"/>
          </w:tcPr>
          <w:p w14:paraId="7241C40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自然景观</w:t>
            </w:r>
          </w:p>
        </w:tc>
        <w:tc>
          <w:tcPr>
            <w:tcW w:w="880" w:type="pct"/>
            <w:noWrap/>
            <w:vAlign w:val="center"/>
          </w:tcPr>
          <w:p w14:paraId="33D0174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景观多样性、完整性</w:t>
            </w:r>
          </w:p>
        </w:tc>
        <w:tc>
          <w:tcPr>
            <w:tcW w:w="2045" w:type="pct"/>
            <w:noWrap w:val="0"/>
            <w:vAlign w:val="center"/>
          </w:tcPr>
          <w:p w14:paraId="56EB8B5D">
            <w:pPr>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直接影响：受施工占地的影响，评价区内景观结构特征将发生一定的变化；对景观多样性无影响，项目建设占用部分森林、灌草丛等景观斑块，小幅度降低其完整性</w:t>
            </w:r>
          </w:p>
        </w:tc>
        <w:tc>
          <w:tcPr>
            <w:tcW w:w="695" w:type="pct"/>
            <w:noWrap/>
            <w:vAlign w:val="center"/>
          </w:tcPr>
          <w:p w14:paraId="19692E1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短期、可逆影响</w:t>
            </w:r>
          </w:p>
        </w:tc>
        <w:tc>
          <w:tcPr>
            <w:tcW w:w="449" w:type="pct"/>
            <w:noWrap/>
            <w:vAlign w:val="center"/>
          </w:tcPr>
          <w:p w14:paraId="7CC0B1C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弱</w:t>
            </w:r>
          </w:p>
        </w:tc>
      </w:tr>
      <w:tr w14:paraId="753D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restart"/>
            <w:noWrap/>
            <w:vAlign w:val="center"/>
          </w:tcPr>
          <w:p w14:paraId="6723BCF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运营期</w:t>
            </w:r>
          </w:p>
        </w:tc>
        <w:tc>
          <w:tcPr>
            <w:tcW w:w="570" w:type="pct"/>
            <w:noWrap/>
            <w:vAlign w:val="center"/>
          </w:tcPr>
          <w:p w14:paraId="6B0321C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物种</w:t>
            </w:r>
          </w:p>
        </w:tc>
        <w:tc>
          <w:tcPr>
            <w:tcW w:w="880" w:type="pct"/>
            <w:noWrap/>
            <w:vAlign w:val="center"/>
          </w:tcPr>
          <w:p w14:paraId="3064B01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分布范围、种群数量、种群结构、行为等</w:t>
            </w:r>
          </w:p>
        </w:tc>
        <w:tc>
          <w:tcPr>
            <w:tcW w:w="2045" w:type="pct"/>
            <w:noWrap w:val="0"/>
            <w:vAlign w:val="center"/>
          </w:tcPr>
          <w:p w14:paraId="7B23872C">
            <w:pPr>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直接影响：运营期放空噪声等对野生动物行为产生干扰</w:t>
            </w:r>
          </w:p>
        </w:tc>
        <w:tc>
          <w:tcPr>
            <w:tcW w:w="695" w:type="pct"/>
            <w:noWrap/>
            <w:vAlign w:val="center"/>
          </w:tcPr>
          <w:p w14:paraId="20A41CF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长期、可逆影响</w:t>
            </w:r>
          </w:p>
        </w:tc>
        <w:tc>
          <w:tcPr>
            <w:tcW w:w="449" w:type="pct"/>
            <w:noWrap/>
            <w:vAlign w:val="center"/>
          </w:tcPr>
          <w:p w14:paraId="6627272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弱</w:t>
            </w:r>
          </w:p>
        </w:tc>
      </w:tr>
      <w:tr w14:paraId="0DC6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noWrap/>
            <w:vAlign w:val="center"/>
          </w:tcPr>
          <w:p w14:paraId="33CE9C51">
            <w:pPr>
              <w:adjustRightInd w:val="0"/>
              <w:snapToGrid w:val="0"/>
              <w:jc w:val="center"/>
              <w:rPr>
                <w:rFonts w:hint="default" w:ascii="Times New Roman" w:hAnsi="Times New Roman" w:eastAsia="宋体" w:cs="Times New Roman"/>
                <w:color w:val="auto"/>
                <w:sz w:val="21"/>
                <w:szCs w:val="21"/>
              </w:rPr>
            </w:pPr>
          </w:p>
        </w:tc>
        <w:tc>
          <w:tcPr>
            <w:tcW w:w="570" w:type="pct"/>
            <w:noWrap/>
            <w:vAlign w:val="center"/>
          </w:tcPr>
          <w:p w14:paraId="4388BAE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生镜</w:t>
            </w:r>
          </w:p>
        </w:tc>
        <w:tc>
          <w:tcPr>
            <w:tcW w:w="880" w:type="pct"/>
            <w:noWrap/>
            <w:vAlign w:val="center"/>
          </w:tcPr>
          <w:p w14:paraId="1576727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生镜面积、质量、连通性等</w:t>
            </w:r>
          </w:p>
        </w:tc>
        <w:tc>
          <w:tcPr>
            <w:tcW w:w="2045" w:type="pct"/>
            <w:noWrap w:val="0"/>
            <w:vAlign w:val="center"/>
          </w:tcPr>
          <w:p w14:paraId="65719EF4">
            <w:pPr>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直接影响：管线中心线两侧5m范围内不能恢复森林植被，森林生境面积减少</w:t>
            </w:r>
          </w:p>
        </w:tc>
        <w:tc>
          <w:tcPr>
            <w:tcW w:w="695" w:type="pct"/>
            <w:noWrap/>
            <w:vAlign w:val="center"/>
          </w:tcPr>
          <w:p w14:paraId="0DA9524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长期、不可逆影响</w:t>
            </w:r>
          </w:p>
        </w:tc>
        <w:tc>
          <w:tcPr>
            <w:tcW w:w="449" w:type="pct"/>
            <w:noWrap/>
            <w:vAlign w:val="center"/>
          </w:tcPr>
          <w:p w14:paraId="23BD765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弱</w:t>
            </w:r>
          </w:p>
        </w:tc>
      </w:tr>
      <w:tr w14:paraId="6EF9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noWrap/>
            <w:vAlign w:val="center"/>
          </w:tcPr>
          <w:p w14:paraId="4B5ADC62">
            <w:pPr>
              <w:adjustRightInd w:val="0"/>
              <w:snapToGrid w:val="0"/>
              <w:jc w:val="center"/>
              <w:rPr>
                <w:rFonts w:hint="default" w:ascii="Times New Roman" w:hAnsi="Times New Roman" w:eastAsia="宋体" w:cs="Times New Roman"/>
                <w:color w:val="auto"/>
                <w:sz w:val="21"/>
                <w:szCs w:val="21"/>
              </w:rPr>
            </w:pPr>
          </w:p>
        </w:tc>
        <w:tc>
          <w:tcPr>
            <w:tcW w:w="570" w:type="pct"/>
            <w:noWrap/>
            <w:vAlign w:val="center"/>
          </w:tcPr>
          <w:p w14:paraId="0A76E9F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生态系统</w:t>
            </w:r>
          </w:p>
        </w:tc>
        <w:tc>
          <w:tcPr>
            <w:tcW w:w="880" w:type="pct"/>
            <w:noWrap/>
            <w:vAlign w:val="center"/>
          </w:tcPr>
          <w:p w14:paraId="1E15B7A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植被覆盖度、生产力、生物量、生态系统功能等</w:t>
            </w:r>
          </w:p>
        </w:tc>
        <w:tc>
          <w:tcPr>
            <w:tcW w:w="2045" w:type="pct"/>
            <w:noWrap w:val="0"/>
            <w:vAlign w:val="center"/>
          </w:tcPr>
          <w:p w14:paraId="4FA3E329">
            <w:pPr>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间接影响：运营期临时占地区植被恢复；生物量有所恢复，生态系统功能进一步恢复</w:t>
            </w:r>
          </w:p>
        </w:tc>
        <w:tc>
          <w:tcPr>
            <w:tcW w:w="695" w:type="pct"/>
            <w:noWrap/>
            <w:vAlign w:val="center"/>
          </w:tcPr>
          <w:p w14:paraId="2736734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长期、可逆影响</w:t>
            </w:r>
          </w:p>
        </w:tc>
        <w:tc>
          <w:tcPr>
            <w:tcW w:w="449" w:type="pct"/>
            <w:noWrap/>
            <w:vAlign w:val="center"/>
          </w:tcPr>
          <w:p w14:paraId="3F7EB6D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w:t>
            </w:r>
          </w:p>
        </w:tc>
      </w:tr>
      <w:tr w14:paraId="5568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noWrap/>
            <w:vAlign w:val="center"/>
          </w:tcPr>
          <w:p w14:paraId="7804003A">
            <w:pPr>
              <w:adjustRightInd w:val="0"/>
              <w:snapToGrid w:val="0"/>
              <w:jc w:val="center"/>
              <w:rPr>
                <w:rFonts w:hint="default" w:ascii="Times New Roman" w:hAnsi="Times New Roman" w:eastAsia="宋体" w:cs="Times New Roman"/>
                <w:color w:val="auto"/>
                <w:sz w:val="21"/>
                <w:szCs w:val="21"/>
              </w:rPr>
            </w:pPr>
          </w:p>
        </w:tc>
        <w:tc>
          <w:tcPr>
            <w:tcW w:w="570" w:type="pct"/>
            <w:noWrap/>
            <w:vAlign w:val="center"/>
          </w:tcPr>
          <w:p w14:paraId="1F26279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生物多样性</w:t>
            </w:r>
          </w:p>
        </w:tc>
        <w:tc>
          <w:tcPr>
            <w:tcW w:w="880" w:type="pct"/>
            <w:noWrap/>
            <w:vAlign w:val="center"/>
          </w:tcPr>
          <w:p w14:paraId="4A2A620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物种丰富度、均匀度、优势度</w:t>
            </w:r>
          </w:p>
        </w:tc>
        <w:tc>
          <w:tcPr>
            <w:tcW w:w="2045" w:type="pct"/>
            <w:noWrap w:val="0"/>
            <w:vAlign w:val="center"/>
          </w:tcPr>
          <w:p w14:paraId="73DD0755">
            <w:pPr>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间接影响：物种丰富度、均匀度、优势度相对施工期有所恢复</w:t>
            </w:r>
          </w:p>
        </w:tc>
        <w:tc>
          <w:tcPr>
            <w:tcW w:w="695" w:type="pct"/>
            <w:noWrap/>
            <w:vAlign w:val="center"/>
          </w:tcPr>
          <w:p w14:paraId="6BE0D8B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长期、可逆影响</w:t>
            </w:r>
          </w:p>
        </w:tc>
        <w:tc>
          <w:tcPr>
            <w:tcW w:w="449" w:type="pct"/>
            <w:noWrap/>
            <w:vAlign w:val="center"/>
          </w:tcPr>
          <w:p w14:paraId="2E6F4A8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弱</w:t>
            </w:r>
          </w:p>
        </w:tc>
      </w:tr>
      <w:tr w14:paraId="6588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noWrap/>
            <w:vAlign w:val="center"/>
          </w:tcPr>
          <w:p w14:paraId="05E77B68">
            <w:pPr>
              <w:adjustRightInd w:val="0"/>
              <w:snapToGrid w:val="0"/>
              <w:jc w:val="center"/>
              <w:rPr>
                <w:rFonts w:hint="default" w:ascii="Times New Roman" w:hAnsi="Times New Roman" w:eastAsia="宋体" w:cs="Times New Roman"/>
                <w:color w:val="auto"/>
                <w:sz w:val="21"/>
                <w:szCs w:val="21"/>
              </w:rPr>
            </w:pPr>
          </w:p>
        </w:tc>
        <w:tc>
          <w:tcPr>
            <w:tcW w:w="570" w:type="pct"/>
            <w:noWrap/>
            <w:vAlign w:val="center"/>
          </w:tcPr>
          <w:p w14:paraId="3626A0F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自然景观</w:t>
            </w:r>
          </w:p>
        </w:tc>
        <w:tc>
          <w:tcPr>
            <w:tcW w:w="880" w:type="pct"/>
            <w:noWrap/>
            <w:vAlign w:val="center"/>
          </w:tcPr>
          <w:p w14:paraId="0DF8545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景观多样性、完整性</w:t>
            </w:r>
          </w:p>
        </w:tc>
        <w:tc>
          <w:tcPr>
            <w:tcW w:w="2045" w:type="pct"/>
            <w:noWrap w:val="0"/>
            <w:vAlign w:val="center"/>
          </w:tcPr>
          <w:p w14:paraId="5AF6FD4C">
            <w:pPr>
              <w:adjustRightInd w:val="0"/>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形成廊道景观；相对施工期对其完整性基本无影响</w:t>
            </w:r>
          </w:p>
        </w:tc>
        <w:tc>
          <w:tcPr>
            <w:tcW w:w="695" w:type="pct"/>
            <w:noWrap/>
            <w:vAlign w:val="center"/>
          </w:tcPr>
          <w:p w14:paraId="6CF269F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长期、不可逆影响</w:t>
            </w:r>
          </w:p>
        </w:tc>
        <w:tc>
          <w:tcPr>
            <w:tcW w:w="449" w:type="pct"/>
            <w:noWrap/>
            <w:vAlign w:val="center"/>
          </w:tcPr>
          <w:p w14:paraId="74772FB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弱</w:t>
            </w:r>
          </w:p>
        </w:tc>
      </w:tr>
    </w:tbl>
    <w:p w14:paraId="10013B0C">
      <w:pPr>
        <w:snapToGrid w:val="0"/>
        <w:rPr>
          <w:rFonts w:hint="default" w:ascii="Times New Roman" w:hAnsi="Times New Roman" w:eastAsia="宋体" w:cs="Times New Roman"/>
          <w:color w:val="auto"/>
          <w:sz w:val="20"/>
          <w:szCs w:val="20"/>
        </w:rPr>
      </w:pPr>
    </w:p>
    <w:p w14:paraId="02806055">
      <w:pPr>
        <w:spacing w:line="460" w:lineRule="exact"/>
        <w:ind w:firstLine="522"/>
        <w:outlineLvl w:val="1"/>
        <w:rPr>
          <w:rFonts w:hint="default" w:ascii="Times New Roman" w:hAnsi="Times New Roman" w:eastAsia="宋体" w:cs="Times New Roman"/>
          <w:b/>
          <w:color w:val="auto"/>
          <w:sz w:val="26"/>
          <w:szCs w:val="26"/>
        </w:rPr>
      </w:pPr>
      <w:bookmarkStart w:id="49" w:name="_Toc26189"/>
      <w:r>
        <w:rPr>
          <w:rFonts w:hint="default" w:ascii="Times New Roman" w:hAnsi="Times New Roman" w:eastAsia="宋体" w:cs="Times New Roman"/>
          <w:b/>
          <w:color w:val="auto"/>
          <w:sz w:val="26"/>
          <w:szCs w:val="26"/>
        </w:rPr>
        <w:t>1.6 环境功能区划</w:t>
      </w:r>
      <w:bookmarkEnd w:id="45"/>
      <w:bookmarkEnd w:id="46"/>
      <w:bookmarkEnd w:id="47"/>
      <w:bookmarkEnd w:id="48"/>
      <w:bookmarkEnd w:id="49"/>
    </w:p>
    <w:p w14:paraId="0A35DBDC">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1.6.1 环境空气</w:t>
      </w:r>
    </w:p>
    <w:p w14:paraId="43C9FC7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根据《环境空气质量标准》（GB3095-2012），本项目</w:t>
      </w:r>
      <w:r>
        <w:rPr>
          <w:rFonts w:hint="default" w:ascii="Times New Roman" w:hAnsi="Times New Roman" w:eastAsia="宋体" w:cs="Times New Roman"/>
          <w:color w:val="auto"/>
          <w:lang w:val="en-US" w:eastAsia="zh-CN"/>
        </w:rPr>
        <w:t>所在地为农村地区，属于</w:t>
      </w:r>
      <w:r>
        <w:rPr>
          <w:rFonts w:hint="default" w:ascii="Times New Roman" w:hAnsi="Times New Roman" w:eastAsia="宋体" w:cs="Times New Roman"/>
          <w:color w:val="auto"/>
        </w:rPr>
        <w:t>环境空气功能区</w:t>
      </w:r>
      <w:r>
        <w:rPr>
          <w:rFonts w:hint="default" w:ascii="Times New Roman" w:hAnsi="Times New Roman" w:eastAsia="宋体" w:cs="Times New Roman"/>
          <w:color w:val="auto"/>
          <w:lang w:val="en-US" w:eastAsia="zh-CN"/>
        </w:rPr>
        <w:t>中的</w:t>
      </w:r>
      <w:r>
        <w:rPr>
          <w:rFonts w:hint="default" w:ascii="Times New Roman" w:hAnsi="Times New Roman" w:eastAsia="宋体" w:cs="Times New Roman"/>
          <w:color w:val="auto"/>
        </w:rPr>
        <w:t>二类</w:t>
      </w:r>
      <w:r>
        <w:rPr>
          <w:rFonts w:hint="default" w:ascii="Times New Roman" w:hAnsi="Times New Roman" w:eastAsia="宋体" w:cs="Times New Roman"/>
          <w:color w:val="auto"/>
          <w:lang w:val="en-US" w:eastAsia="zh-CN"/>
        </w:rPr>
        <w:t>区</w:t>
      </w:r>
      <w:r>
        <w:rPr>
          <w:rFonts w:hint="default" w:ascii="Times New Roman" w:hAnsi="Times New Roman" w:eastAsia="宋体" w:cs="Times New Roman"/>
          <w:color w:val="auto"/>
        </w:rPr>
        <w:t>。</w:t>
      </w:r>
    </w:p>
    <w:p w14:paraId="1AB7B3A9">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1.6.</w:t>
      </w:r>
      <w:r>
        <w:rPr>
          <w:rFonts w:hint="default" w:ascii="Times New Roman" w:hAnsi="Times New Roman" w:eastAsia="宋体" w:cs="Times New Roman"/>
          <w:b/>
          <w:color w:val="auto"/>
          <w:sz w:val="26"/>
          <w:szCs w:val="26"/>
          <w:lang w:val="en-US" w:eastAsia="zh-CN"/>
        </w:rPr>
        <w:t>2</w:t>
      </w:r>
      <w:r>
        <w:rPr>
          <w:rFonts w:hint="default" w:ascii="Times New Roman" w:hAnsi="Times New Roman" w:eastAsia="宋体" w:cs="Times New Roman"/>
          <w:b/>
          <w:color w:val="auto"/>
          <w:sz w:val="26"/>
          <w:szCs w:val="26"/>
        </w:rPr>
        <w:t xml:space="preserve"> 地表水环境</w:t>
      </w:r>
    </w:p>
    <w:p w14:paraId="1BE4EA6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本项目不穿越大中小型河流。项目周边的地表水主要为綦江区文龙街道薄刀岭水库新盛水厂水源地，水体水域功能参照Ⅲ类执行。</w:t>
      </w:r>
    </w:p>
    <w:p w14:paraId="268DC8EC">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1.6.</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 xml:space="preserve"> 地下水环境</w:t>
      </w:r>
    </w:p>
    <w:p w14:paraId="612C5BE1">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本项目所在区域地下水质量分类为Ⅲ类，执行《地下水质量标准》（GB/T14848-2017）Ⅲ类水标准。</w:t>
      </w:r>
    </w:p>
    <w:p w14:paraId="1F25B0FD">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1.6.</w:t>
      </w:r>
      <w:r>
        <w:rPr>
          <w:rFonts w:hint="default" w:ascii="Times New Roman" w:hAnsi="Times New Roman" w:eastAsia="宋体" w:cs="Times New Roman"/>
          <w:b/>
          <w:color w:val="auto"/>
          <w:sz w:val="26"/>
          <w:szCs w:val="26"/>
          <w:lang w:val="en-US" w:eastAsia="zh-CN"/>
        </w:rPr>
        <w:t>4</w:t>
      </w:r>
      <w:r>
        <w:rPr>
          <w:rFonts w:hint="default" w:ascii="Times New Roman" w:hAnsi="Times New Roman" w:eastAsia="宋体" w:cs="Times New Roman"/>
          <w:b/>
          <w:color w:val="auto"/>
          <w:sz w:val="26"/>
          <w:szCs w:val="26"/>
        </w:rPr>
        <w:t xml:space="preserve"> 声环境</w:t>
      </w:r>
    </w:p>
    <w:p w14:paraId="0FE659D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根据《重庆市綦江区人民政府办公室关于印发重庆市綦江区声环境功能区划分调整方案的通知》（綦江府办发〔2023〕36号）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项目所在位置未进行声环境功能区划定，</w:t>
      </w:r>
      <w:r>
        <w:rPr>
          <w:rFonts w:hint="default" w:ascii="Times New Roman" w:hAnsi="Times New Roman" w:eastAsia="宋体" w:cs="Times New Roman"/>
          <w:color w:val="auto"/>
        </w:rPr>
        <w:t>本项目位于</w:t>
      </w:r>
      <w:r>
        <w:rPr>
          <w:rFonts w:hint="default" w:ascii="Times New Roman" w:hAnsi="Times New Roman" w:eastAsia="宋体" w:cs="Times New Roman"/>
          <w:color w:val="auto"/>
          <w:lang w:val="en-US" w:eastAsia="zh-CN"/>
        </w:rPr>
        <w:t>綦江</w:t>
      </w:r>
      <w:r>
        <w:rPr>
          <w:rFonts w:hint="default" w:ascii="Times New Roman" w:hAnsi="Times New Roman" w:eastAsia="宋体" w:cs="Times New Roman"/>
          <w:color w:val="auto"/>
        </w:rPr>
        <w:t>区</w:t>
      </w:r>
      <w:r>
        <w:rPr>
          <w:rFonts w:hint="default" w:ascii="Times New Roman" w:hAnsi="Times New Roman" w:eastAsia="宋体" w:cs="Times New Roman"/>
          <w:color w:val="auto"/>
          <w:lang w:val="en-US" w:eastAsia="zh-CN"/>
        </w:rPr>
        <w:t>文龙街道的农村地区，</w:t>
      </w:r>
      <w:r>
        <w:rPr>
          <w:rFonts w:hint="default" w:ascii="Times New Roman" w:hAnsi="Times New Roman" w:eastAsia="宋体" w:cs="Times New Roman"/>
          <w:color w:val="auto"/>
        </w:rPr>
        <w:t>根据声环境质量标准（GB 3096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2008），本项目评价区声功能区属2类区。</w:t>
      </w:r>
    </w:p>
    <w:p w14:paraId="74B5BD6A">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1.6.5 生态环境</w:t>
      </w:r>
    </w:p>
    <w:p w14:paraId="7B0B6F5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本项目位于</w:t>
      </w:r>
      <w:r>
        <w:rPr>
          <w:rFonts w:hint="default" w:ascii="Times New Roman" w:hAnsi="Times New Roman" w:eastAsia="宋体" w:cs="Times New Roman"/>
          <w:color w:val="auto"/>
          <w:lang w:val="en-US" w:eastAsia="zh-CN"/>
        </w:rPr>
        <w:t>綦江</w:t>
      </w:r>
      <w:r>
        <w:rPr>
          <w:rFonts w:hint="default" w:ascii="Times New Roman" w:hAnsi="Times New Roman" w:eastAsia="宋体" w:cs="Times New Roman"/>
          <w:color w:val="auto"/>
        </w:rPr>
        <w:t>区</w:t>
      </w:r>
      <w:r>
        <w:rPr>
          <w:rFonts w:hint="default" w:ascii="Times New Roman" w:hAnsi="Times New Roman" w:eastAsia="宋体" w:cs="Times New Roman"/>
          <w:color w:val="auto"/>
          <w:lang w:val="en-US" w:eastAsia="zh-CN"/>
        </w:rPr>
        <w:t>文龙街道</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根据</w:t>
      </w:r>
      <w:r>
        <w:rPr>
          <w:rFonts w:hint="default" w:ascii="Times New Roman" w:hAnsi="Times New Roman" w:eastAsia="宋体" w:cs="Times New Roman"/>
          <w:color w:val="auto"/>
          <w:sz w:val="26"/>
          <w:szCs w:val="26"/>
          <w:highlight w:val="none"/>
        </w:rPr>
        <w:t>《重庆市生态功能区划（修编）》，项目区属于</w:t>
      </w:r>
      <w:r>
        <w:rPr>
          <w:rFonts w:hint="default" w:ascii="Times New Roman" w:hAnsi="Times New Roman" w:eastAsia="宋体" w:cs="Times New Roman"/>
          <w:color w:val="auto"/>
          <w:kern w:val="0"/>
          <w:sz w:val="26"/>
          <w:szCs w:val="26"/>
          <w:highlight w:val="none"/>
          <w:lang w:eastAsia="zh-CN"/>
        </w:rPr>
        <w:t>“</w:t>
      </w:r>
      <w:r>
        <w:rPr>
          <w:rFonts w:hint="default" w:ascii="Times New Roman" w:hAnsi="Times New Roman" w:eastAsia="宋体" w:cs="Times New Roman"/>
          <w:color w:val="auto"/>
          <w:kern w:val="0"/>
          <w:sz w:val="26"/>
          <w:szCs w:val="26"/>
          <w:highlight w:val="none"/>
          <w:shd w:val="clear" w:fill="FFFFFF"/>
          <w:lang w:eastAsia="zh-CN"/>
        </w:rPr>
        <w:t>Ⅳ</w:t>
      </w:r>
      <w:r>
        <w:rPr>
          <w:rFonts w:hint="default" w:ascii="Times New Roman" w:hAnsi="Times New Roman" w:eastAsia="宋体" w:cs="Times New Roman"/>
          <w:color w:val="auto"/>
          <w:kern w:val="0"/>
          <w:sz w:val="26"/>
          <w:szCs w:val="26"/>
          <w:highlight w:val="none"/>
          <w:lang w:val="en-US" w:eastAsia="zh-CN"/>
        </w:rPr>
        <w:t>渝中-西丘陵-低山生态区</w:t>
      </w:r>
      <w:r>
        <w:rPr>
          <w:rFonts w:hint="default" w:ascii="Times New Roman" w:hAnsi="Times New Roman" w:eastAsia="宋体" w:cs="Times New Roman"/>
          <w:color w:val="auto"/>
          <w:kern w:val="0"/>
          <w:sz w:val="26"/>
          <w:szCs w:val="26"/>
          <w:highlight w:val="none"/>
          <w:lang w:eastAsia="zh-CN"/>
        </w:rPr>
        <w:t>，</w:t>
      </w:r>
      <w:r>
        <w:rPr>
          <w:rFonts w:hint="default" w:ascii="Times New Roman" w:hAnsi="Times New Roman" w:eastAsia="宋体" w:cs="Times New Roman"/>
          <w:color w:val="auto"/>
          <w:kern w:val="0"/>
          <w:sz w:val="26"/>
          <w:szCs w:val="26"/>
          <w:highlight w:val="none"/>
        </w:rPr>
        <w:t>IV</w:t>
      </w:r>
      <w:r>
        <w:rPr>
          <w:rFonts w:hint="default" w:ascii="Times New Roman" w:hAnsi="Times New Roman" w:eastAsia="宋体" w:cs="Times New Roman"/>
          <w:color w:val="auto"/>
          <w:kern w:val="0"/>
          <w:sz w:val="26"/>
          <w:szCs w:val="26"/>
          <w:highlight w:val="none"/>
          <w:vertAlign w:val="subscript"/>
          <w:lang w:val="en-US" w:eastAsia="zh-CN"/>
        </w:rPr>
        <w:t>2</w:t>
      </w:r>
      <w:r>
        <w:rPr>
          <w:rFonts w:hint="default" w:ascii="Times New Roman" w:hAnsi="Times New Roman" w:eastAsia="宋体" w:cs="Times New Roman"/>
          <w:color w:val="auto"/>
          <w:kern w:val="0"/>
          <w:sz w:val="26"/>
          <w:szCs w:val="26"/>
          <w:highlight w:val="none"/>
          <w:lang w:val="en-US" w:eastAsia="zh-CN"/>
        </w:rPr>
        <w:t>渝西南常绿阔叶林生态亚区，</w:t>
      </w:r>
      <w:r>
        <w:rPr>
          <w:rFonts w:hint="default" w:ascii="Times New Roman" w:hAnsi="Times New Roman" w:eastAsia="宋体" w:cs="Times New Roman"/>
          <w:color w:val="auto"/>
          <w:kern w:val="0"/>
          <w:sz w:val="26"/>
          <w:szCs w:val="26"/>
          <w:highlight w:val="none"/>
        </w:rPr>
        <w:t>IV</w:t>
      </w:r>
      <w:r>
        <w:rPr>
          <w:rFonts w:hint="default" w:ascii="Times New Roman" w:hAnsi="Times New Roman" w:eastAsia="宋体" w:cs="Times New Roman"/>
          <w:color w:val="auto"/>
          <w:kern w:val="0"/>
          <w:sz w:val="26"/>
          <w:szCs w:val="26"/>
          <w:highlight w:val="none"/>
          <w:vertAlign w:val="subscript"/>
          <w:lang w:val="en-US" w:eastAsia="zh-CN"/>
        </w:rPr>
        <w:t>2</w:t>
      </w:r>
      <w:r>
        <w:rPr>
          <w:rFonts w:hint="default" w:ascii="Times New Roman" w:hAnsi="Times New Roman" w:eastAsia="宋体" w:cs="Times New Roman"/>
          <w:color w:val="auto"/>
          <w:kern w:val="0"/>
          <w:sz w:val="26"/>
          <w:szCs w:val="26"/>
          <w:highlight w:val="none"/>
          <w:vertAlign w:val="subscript"/>
        </w:rPr>
        <w:t>-2</w:t>
      </w:r>
      <w:r>
        <w:rPr>
          <w:rFonts w:hint="default" w:ascii="Times New Roman" w:hAnsi="Times New Roman" w:eastAsia="宋体" w:cs="Times New Roman"/>
          <w:color w:val="auto"/>
          <w:kern w:val="0"/>
          <w:sz w:val="26"/>
          <w:szCs w:val="26"/>
          <w:highlight w:val="none"/>
          <w:lang w:val="en-US" w:eastAsia="zh-CN"/>
        </w:rPr>
        <w:t>江津-綦江低山丘陵水文调蓄</w:t>
      </w:r>
      <w:r>
        <w:rPr>
          <w:rFonts w:hint="default" w:ascii="Times New Roman" w:hAnsi="Times New Roman" w:eastAsia="宋体" w:cs="Times New Roman"/>
          <w:color w:val="auto"/>
          <w:kern w:val="0"/>
          <w:sz w:val="26"/>
          <w:szCs w:val="26"/>
          <w:highlight w:val="none"/>
        </w:rPr>
        <w:t>生态功能区</w:t>
      </w:r>
      <w:r>
        <w:rPr>
          <w:rFonts w:hint="default" w:ascii="Times New Roman" w:hAnsi="Times New Roman" w:eastAsia="宋体" w:cs="Times New Roman"/>
          <w:color w:val="auto"/>
          <w:kern w:val="0"/>
          <w:sz w:val="26"/>
          <w:szCs w:val="26"/>
          <w:highlight w:val="none"/>
          <w:lang w:eastAsia="zh-CN"/>
        </w:rPr>
        <w:t>”</w:t>
      </w:r>
      <w:r>
        <w:rPr>
          <w:rFonts w:hint="default" w:ascii="Times New Roman" w:hAnsi="Times New Roman" w:eastAsia="宋体" w:cs="Times New Roman"/>
          <w:color w:val="auto"/>
          <w:sz w:val="26"/>
          <w:szCs w:val="26"/>
          <w:highlight w:val="none"/>
        </w:rPr>
        <w:t>。</w:t>
      </w:r>
    </w:p>
    <w:p w14:paraId="2E5D8BDD">
      <w:pPr>
        <w:spacing w:line="460" w:lineRule="exact"/>
        <w:ind w:firstLine="522"/>
        <w:outlineLvl w:val="1"/>
        <w:rPr>
          <w:rFonts w:hint="default" w:ascii="Times New Roman" w:hAnsi="Times New Roman" w:eastAsia="宋体" w:cs="Times New Roman"/>
          <w:b/>
          <w:color w:val="auto"/>
          <w:sz w:val="26"/>
          <w:szCs w:val="26"/>
        </w:rPr>
      </w:pPr>
      <w:bookmarkStart w:id="50" w:name="_Toc4497"/>
      <w:bookmarkStart w:id="51" w:name="_Toc17997"/>
      <w:bookmarkStart w:id="52" w:name="_Toc60144377"/>
      <w:bookmarkStart w:id="53" w:name="_Toc45551063"/>
      <w:bookmarkStart w:id="54" w:name="_Toc536297606"/>
      <w:r>
        <w:rPr>
          <w:rFonts w:hint="default" w:ascii="Times New Roman" w:hAnsi="Times New Roman" w:eastAsia="宋体" w:cs="Times New Roman"/>
          <w:b/>
          <w:color w:val="auto"/>
          <w:sz w:val="26"/>
          <w:szCs w:val="26"/>
        </w:rPr>
        <w:t>1.7 评价标准</w:t>
      </w:r>
      <w:bookmarkEnd w:id="50"/>
      <w:bookmarkEnd w:id="51"/>
      <w:bookmarkEnd w:id="52"/>
      <w:bookmarkEnd w:id="53"/>
      <w:bookmarkEnd w:id="54"/>
    </w:p>
    <w:p w14:paraId="40BEA1F3">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1.7.1 环境质量标准</w:t>
      </w:r>
    </w:p>
    <w:p w14:paraId="37913D6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（1）环境空气</w:t>
      </w:r>
    </w:p>
    <w:p w14:paraId="496A2A9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执行《环境空气质量标准》（GB3095-2012）二级标准，具体标准限值见表1.7-2。</w:t>
      </w:r>
    </w:p>
    <w:p w14:paraId="72E923BD">
      <w:pPr>
        <w:pStyle w:val="58"/>
        <w:rPr>
          <w:rFonts w:hint="default" w:ascii="Times New Roman" w:hAnsi="Times New Roman" w:eastAsia="宋体" w:cs="Times New Roman"/>
          <w:color w:val="auto"/>
          <w:lang w:val="en-US" w:eastAsia="zh-CN"/>
        </w:rPr>
      </w:pPr>
    </w:p>
    <w:p w14:paraId="66E9FF1C">
      <w:pPr>
        <w:pStyle w:val="58"/>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表1.7-2</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 xml:space="preserve">环境空气质量标准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 xml:space="preserve">   单位：μg/m</w:t>
      </w:r>
      <w:r>
        <w:rPr>
          <w:rFonts w:hint="default" w:ascii="Times New Roman" w:hAnsi="Times New Roman" w:eastAsia="宋体" w:cs="Times New Roman"/>
          <w:color w:val="auto"/>
          <w:vertAlign w:val="superscript"/>
        </w:rPr>
        <w:t>3</w:t>
      </w:r>
    </w:p>
    <w:tbl>
      <w:tblPr>
        <w:tblStyle w:val="29"/>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85" w:type="dxa"/>
          <w:bottom w:w="0" w:type="dxa"/>
          <w:right w:w="85" w:type="dxa"/>
        </w:tblCellMar>
      </w:tblPr>
      <w:tblGrid>
        <w:gridCol w:w="1902"/>
        <w:gridCol w:w="2418"/>
        <w:gridCol w:w="1937"/>
        <w:gridCol w:w="2641"/>
      </w:tblGrid>
      <w:tr w14:paraId="484DEC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0" w:hRule="atLeast"/>
          <w:jc w:val="center"/>
        </w:trPr>
        <w:tc>
          <w:tcPr>
            <w:tcW w:w="1068" w:type="pct"/>
            <w:noWrap w:val="0"/>
            <w:vAlign w:val="center"/>
          </w:tcPr>
          <w:p w14:paraId="082BA727">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污染物名称</w:t>
            </w:r>
          </w:p>
        </w:tc>
        <w:tc>
          <w:tcPr>
            <w:tcW w:w="1358" w:type="pct"/>
            <w:noWrap w:val="0"/>
            <w:vAlign w:val="center"/>
          </w:tcPr>
          <w:p w14:paraId="175CE60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取值时间</w:t>
            </w:r>
          </w:p>
        </w:tc>
        <w:tc>
          <w:tcPr>
            <w:tcW w:w="1088" w:type="pct"/>
            <w:noWrap w:val="0"/>
            <w:vAlign w:val="center"/>
          </w:tcPr>
          <w:p w14:paraId="337E3DD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浓度限值</w:t>
            </w:r>
          </w:p>
        </w:tc>
        <w:tc>
          <w:tcPr>
            <w:tcW w:w="1483" w:type="pct"/>
            <w:noWrap w:val="0"/>
            <w:vAlign w:val="center"/>
          </w:tcPr>
          <w:p w14:paraId="49556867">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来源</w:t>
            </w:r>
          </w:p>
        </w:tc>
      </w:tr>
      <w:tr w14:paraId="04CD42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restart"/>
            <w:noWrap w:val="0"/>
            <w:vAlign w:val="center"/>
          </w:tcPr>
          <w:p w14:paraId="160E66E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p>
        </w:tc>
        <w:tc>
          <w:tcPr>
            <w:tcW w:w="1358" w:type="pct"/>
            <w:noWrap w:val="0"/>
            <w:vAlign w:val="center"/>
          </w:tcPr>
          <w:p w14:paraId="5D8261C0">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088" w:type="pct"/>
            <w:noWrap w:val="0"/>
            <w:vAlign w:val="center"/>
          </w:tcPr>
          <w:p w14:paraId="09C6BBB4">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500</w:t>
            </w:r>
          </w:p>
        </w:tc>
        <w:tc>
          <w:tcPr>
            <w:tcW w:w="1483" w:type="pct"/>
            <w:vMerge w:val="restart"/>
            <w:noWrap w:val="0"/>
            <w:vAlign w:val="center"/>
          </w:tcPr>
          <w:p w14:paraId="5EA50C01">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《环境空气质量标准》（GB 3095-2012）</w:t>
            </w:r>
          </w:p>
        </w:tc>
      </w:tr>
      <w:tr w14:paraId="2FE5C2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continue"/>
            <w:noWrap w:val="0"/>
            <w:vAlign w:val="center"/>
          </w:tcPr>
          <w:p w14:paraId="26AD58B6">
            <w:pPr>
              <w:pStyle w:val="60"/>
              <w:rPr>
                <w:rFonts w:hint="default" w:ascii="Times New Roman" w:hAnsi="Times New Roman" w:eastAsia="宋体" w:cs="Times New Roman"/>
                <w:color w:val="auto"/>
              </w:rPr>
            </w:pPr>
          </w:p>
        </w:tc>
        <w:tc>
          <w:tcPr>
            <w:tcW w:w="1358" w:type="pct"/>
            <w:noWrap w:val="0"/>
            <w:vAlign w:val="center"/>
          </w:tcPr>
          <w:p w14:paraId="64E2BA0C">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088" w:type="pct"/>
            <w:noWrap w:val="0"/>
            <w:vAlign w:val="center"/>
          </w:tcPr>
          <w:p w14:paraId="214DEACF">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150</w:t>
            </w:r>
          </w:p>
        </w:tc>
        <w:tc>
          <w:tcPr>
            <w:tcW w:w="1483" w:type="pct"/>
            <w:vMerge w:val="continue"/>
            <w:noWrap w:val="0"/>
            <w:vAlign w:val="center"/>
          </w:tcPr>
          <w:p w14:paraId="65B39B57">
            <w:pPr>
              <w:pStyle w:val="60"/>
              <w:rPr>
                <w:rFonts w:hint="default" w:ascii="Times New Roman" w:hAnsi="Times New Roman" w:eastAsia="宋体" w:cs="Times New Roman"/>
                <w:color w:val="auto"/>
              </w:rPr>
            </w:pPr>
          </w:p>
        </w:tc>
      </w:tr>
      <w:tr w14:paraId="40F547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continue"/>
            <w:noWrap w:val="0"/>
            <w:vAlign w:val="center"/>
          </w:tcPr>
          <w:p w14:paraId="309674FB">
            <w:pPr>
              <w:pStyle w:val="60"/>
              <w:rPr>
                <w:rFonts w:hint="default" w:ascii="Times New Roman" w:hAnsi="Times New Roman" w:eastAsia="宋体" w:cs="Times New Roman"/>
                <w:color w:val="auto"/>
              </w:rPr>
            </w:pPr>
          </w:p>
        </w:tc>
        <w:tc>
          <w:tcPr>
            <w:tcW w:w="1358" w:type="pct"/>
            <w:noWrap w:val="0"/>
            <w:vAlign w:val="center"/>
          </w:tcPr>
          <w:p w14:paraId="3022284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年均值</w:t>
            </w:r>
          </w:p>
        </w:tc>
        <w:tc>
          <w:tcPr>
            <w:tcW w:w="1088" w:type="pct"/>
            <w:noWrap w:val="0"/>
            <w:vAlign w:val="center"/>
          </w:tcPr>
          <w:p w14:paraId="51DD810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1483" w:type="pct"/>
            <w:vMerge w:val="continue"/>
            <w:noWrap w:val="0"/>
            <w:vAlign w:val="center"/>
          </w:tcPr>
          <w:p w14:paraId="635D0139">
            <w:pPr>
              <w:pStyle w:val="60"/>
              <w:rPr>
                <w:rFonts w:hint="default" w:ascii="Times New Roman" w:hAnsi="Times New Roman" w:eastAsia="宋体" w:cs="Times New Roman"/>
                <w:color w:val="auto"/>
              </w:rPr>
            </w:pPr>
          </w:p>
        </w:tc>
      </w:tr>
      <w:tr w14:paraId="4B7001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restart"/>
            <w:noWrap w:val="0"/>
            <w:vAlign w:val="center"/>
          </w:tcPr>
          <w:p w14:paraId="6F1479E7">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p>
        </w:tc>
        <w:tc>
          <w:tcPr>
            <w:tcW w:w="1358" w:type="pct"/>
            <w:noWrap w:val="0"/>
            <w:vAlign w:val="center"/>
          </w:tcPr>
          <w:p w14:paraId="439AEDE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088" w:type="pct"/>
            <w:noWrap w:val="0"/>
            <w:vAlign w:val="center"/>
          </w:tcPr>
          <w:p w14:paraId="494AC1C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200</w:t>
            </w:r>
          </w:p>
        </w:tc>
        <w:tc>
          <w:tcPr>
            <w:tcW w:w="1483" w:type="pct"/>
            <w:vMerge w:val="continue"/>
            <w:noWrap w:val="0"/>
            <w:vAlign w:val="center"/>
          </w:tcPr>
          <w:p w14:paraId="39D3414D">
            <w:pPr>
              <w:pStyle w:val="60"/>
              <w:rPr>
                <w:rFonts w:hint="default" w:ascii="Times New Roman" w:hAnsi="Times New Roman" w:eastAsia="宋体" w:cs="Times New Roman"/>
                <w:color w:val="auto"/>
              </w:rPr>
            </w:pPr>
          </w:p>
        </w:tc>
      </w:tr>
      <w:tr w14:paraId="6E26E8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continue"/>
            <w:noWrap w:val="0"/>
            <w:vAlign w:val="center"/>
          </w:tcPr>
          <w:p w14:paraId="154D22D5">
            <w:pPr>
              <w:pStyle w:val="60"/>
              <w:rPr>
                <w:rFonts w:hint="default" w:ascii="Times New Roman" w:hAnsi="Times New Roman" w:eastAsia="宋体" w:cs="Times New Roman"/>
                <w:color w:val="auto"/>
              </w:rPr>
            </w:pPr>
          </w:p>
        </w:tc>
        <w:tc>
          <w:tcPr>
            <w:tcW w:w="1358" w:type="pct"/>
            <w:noWrap w:val="0"/>
            <w:vAlign w:val="center"/>
          </w:tcPr>
          <w:p w14:paraId="35EBBF95">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088" w:type="pct"/>
            <w:noWrap w:val="0"/>
            <w:vAlign w:val="center"/>
          </w:tcPr>
          <w:p w14:paraId="26F0334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80</w:t>
            </w:r>
          </w:p>
        </w:tc>
        <w:tc>
          <w:tcPr>
            <w:tcW w:w="1483" w:type="pct"/>
            <w:vMerge w:val="continue"/>
            <w:noWrap w:val="0"/>
            <w:vAlign w:val="center"/>
          </w:tcPr>
          <w:p w14:paraId="5F3A94AB">
            <w:pPr>
              <w:pStyle w:val="60"/>
              <w:rPr>
                <w:rFonts w:hint="default" w:ascii="Times New Roman" w:hAnsi="Times New Roman" w:eastAsia="宋体" w:cs="Times New Roman"/>
                <w:color w:val="auto"/>
              </w:rPr>
            </w:pPr>
          </w:p>
        </w:tc>
      </w:tr>
      <w:tr w14:paraId="057CDA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continue"/>
            <w:noWrap w:val="0"/>
            <w:vAlign w:val="center"/>
          </w:tcPr>
          <w:p w14:paraId="1A854C0B">
            <w:pPr>
              <w:pStyle w:val="60"/>
              <w:rPr>
                <w:rFonts w:hint="default" w:ascii="Times New Roman" w:hAnsi="Times New Roman" w:eastAsia="宋体" w:cs="Times New Roman"/>
                <w:color w:val="auto"/>
              </w:rPr>
            </w:pPr>
          </w:p>
        </w:tc>
        <w:tc>
          <w:tcPr>
            <w:tcW w:w="1358" w:type="pct"/>
            <w:noWrap w:val="0"/>
            <w:vAlign w:val="center"/>
          </w:tcPr>
          <w:p w14:paraId="45C4028B">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年均值</w:t>
            </w:r>
          </w:p>
        </w:tc>
        <w:tc>
          <w:tcPr>
            <w:tcW w:w="1088" w:type="pct"/>
            <w:noWrap w:val="0"/>
            <w:vAlign w:val="center"/>
          </w:tcPr>
          <w:p w14:paraId="5BF92DA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1483" w:type="pct"/>
            <w:vMerge w:val="continue"/>
            <w:noWrap w:val="0"/>
            <w:vAlign w:val="center"/>
          </w:tcPr>
          <w:p w14:paraId="6090FB2F">
            <w:pPr>
              <w:pStyle w:val="60"/>
              <w:rPr>
                <w:rFonts w:hint="default" w:ascii="Times New Roman" w:hAnsi="Times New Roman" w:eastAsia="宋体" w:cs="Times New Roman"/>
                <w:color w:val="auto"/>
              </w:rPr>
            </w:pPr>
          </w:p>
        </w:tc>
      </w:tr>
      <w:tr w14:paraId="2E8441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restart"/>
            <w:noWrap w:val="0"/>
            <w:vAlign w:val="center"/>
          </w:tcPr>
          <w:p w14:paraId="1778D175">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p>
        </w:tc>
        <w:tc>
          <w:tcPr>
            <w:tcW w:w="1358" w:type="pct"/>
            <w:noWrap w:val="0"/>
            <w:vAlign w:val="center"/>
          </w:tcPr>
          <w:p w14:paraId="6A3C6CBA">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088" w:type="pct"/>
            <w:noWrap w:val="0"/>
            <w:vAlign w:val="center"/>
          </w:tcPr>
          <w:p w14:paraId="527B09E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150</w:t>
            </w:r>
          </w:p>
        </w:tc>
        <w:tc>
          <w:tcPr>
            <w:tcW w:w="1483" w:type="pct"/>
            <w:vMerge w:val="continue"/>
            <w:noWrap w:val="0"/>
            <w:vAlign w:val="center"/>
          </w:tcPr>
          <w:p w14:paraId="627E91FC">
            <w:pPr>
              <w:pStyle w:val="60"/>
              <w:rPr>
                <w:rFonts w:hint="default" w:ascii="Times New Roman" w:hAnsi="Times New Roman" w:eastAsia="宋体" w:cs="Times New Roman"/>
                <w:color w:val="auto"/>
              </w:rPr>
            </w:pPr>
          </w:p>
        </w:tc>
      </w:tr>
      <w:tr w14:paraId="5490B0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continue"/>
            <w:noWrap w:val="0"/>
            <w:vAlign w:val="center"/>
          </w:tcPr>
          <w:p w14:paraId="2A0163B0">
            <w:pPr>
              <w:pStyle w:val="60"/>
              <w:rPr>
                <w:rFonts w:hint="default" w:ascii="Times New Roman" w:hAnsi="Times New Roman" w:eastAsia="宋体" w:cs="Times New Roman"/>
                <w:color w:val="auto"/>
              </w:rPr>
            </w:pPr>
          </w:p>
        </w:tc>
        <w:tc>
          <w:tcPr>
            <w:tcW w:w="1358" w:type="pct"/>
            <w:noWrap w:val="0"/>
            <w:vAlign w:val="center"/>
          </w:tcPr>
          <w:p w14:paraId="5CD40734">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年均值</w:t>
            </w:r>
          </w:p>
        </w:tc>
        <w:tc>
          <w:tcPr>
            <w:tcW w:w="1088" w:type="pct"/>
            <w:noWrap w:val="0"/>
            <w:vAlign w:val="center"/>
          </w:tcPr>
          <w:p w14:paraId="04B298B0">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1483" w:type="pct"/>
            <w:vMerge w:val="continue"/>
            <w:noWrap w:val="0"/>
            <w:vAlign w:val="center"/>
          </w:tcPr>
          <w:p w14:paraId="233BAED8">
            <w:pPr>
              <w:pStyle w:val="60"/>
              <w:rPr>
                <w:rFonts w:hint="default" w:ascii="Times New Roman" w:hAnsi="Times New Roman" w:eastAsia="宋体" w:cs="Times New Roman"/>
                <w:color w:val="auto"/>
              </w:rPr>
            </w:pPr>
          </w:p>
        </w:tc>
      </w:tr>
      <w:tr w14:paraId="75A14C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restart"/>
            <w:noWrap w:val="0"/>
            <w:vAlign w:val="center"/>
          </w:tcPr>
          <w:p w14:paraId="677790D0">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p>
        </w:tc>
        <w:tc>
          <w:tcPr>
            <w:tcW w:w="1358" w:type="pct"/>
            <w:noWrap w:val="0"/>
            <w:vAlign w:val="center"/>
          </w:tcPr>
          <w:p w14:paraId="226A665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088" w:type="pct"/>
            <w:noWrap w:val="0"/>
            <w:vAlign w:val="center"/>
          </w:tcPr>
          <w:p w14:paraId="1B3CCE7B">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75</w:t>
            </w:r>
          </w:p>
        </w:tc>
        <w:tc>
          <w:tcPr>
            <w:tcW w:w="1483" w:type="pct"/>
            <w:vMerge w:val="continue"/>
            <w:noWrap w:val="0"/>
            <w:vAlign w:val="center"/>
          </w:tcPr>
          <w:p w14:paraId="5892BB5C">
            <w:pPr>
              <w:pStyle w:val="60"/>
              <w:rPr>
                <w:rFonts w:hint="default" w:ascii="Times New Roman" w:hAnsi="Times New Roman" w:eastAsia="宋体" w:cs="Times New Roman"/>
                <w:color w:val="auto"/>
              </w:rPr>
            </w:pPr>
          </w:p>
        </w:tc>
      </w:tr>
      <w:tr w14:paraId="0E9081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continue"/>
            <w:noWrap w:val="0"/>
            <w:vAlign w:val="center"/>
          </w:tcPr>
          <w:p w14:paraId="42F3EA13">
            <w:pPr>
              <w:pStyle w:val="60"/>
              <w:rPr>
                <w:rFonts w:hint="default" w:ascii="Times New Roman" w:hAnsi="Times New Roman" w:eastAsia="宋体" w:cs="Times New Roman"/>
                <w:color w:val="auto"/>
              </w:rPr>
            </w:pPr>
          </w:p>
        </w:tc>
        <w:tc>
          <w:tcPr>
            <w:tcW w:w="1358" w:type="pct"/>
            <w:noWrap w:val="0"/>
            <w:vAlign w:val="center"/>
          </w:tcPr>
          <w:p w14:paraId="7DC4640B">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年均值</w:t>
            </w:r>
          </w:p>
        </w:tc>
        <w:tc>
          <w:tcPr>
            <w:tcW w:w="1088" w:type="pct"/>
            <w:noWrap w:val="0"/>
            <w:vAlign w:val="center"/>
          </w:tcPr>
          <w:p w14:paraId="7FFA706C">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35</w:t>
            </w:r>
          </w:p>
        </w:tc>
        <w:tc>
          <w:tcPr>
            <w:tcW w:w="1483" w:type="pct"/>
            <w:vMerge w:val="continue"/>
            <w:noWrap w:val="0"/>
            <w:vAlign w:val="center"/>
          </w:tcPr>
          <w:p w14:paraId="03968A3A">
            <w:pPr>
              <w:pStyle w:val="60"/>
              <w:rPr>
                <w:rFonts w:hint="default" w:ascii="Times New Roman" w:hAnsi="Times New Roman" w:eastAsia="宋体" w:cs="Times New Roman"/>
                <w:color w:val="auto"/>
              </w:rPr>
            </w:pPr>
          </w:p>
        </w:tc>
      </w:tr>
      <w:tr w14:paraId="7917F0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restart"/>
            <w:noWrap w:val="0"/>
            <w:vAlign w:val="center"/>
          </w:tcPr>
          <w:p w14:paraId="14F16F4B">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CO（mg/m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1358" w:type="pct"/>
            <w:noWrap w:val="0"/>
            <w:vAlign w:val="center"/>
          </w:tcPr>
          <w:p w14:paraId="4E0611F2">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088" w:type="pct"/>
            <w:noWrap w:val="0"/>
            <w:vAlign w:val="center"/>
          </w:tcPr>
          <w:p w14:paraId="0C640D8F">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483" w:type="pct"/>
            <w:vMerge w:val="continue"/>
            <w:noWrap w:val="0"/>
            <w:vAlign w:val="center"/>
          </w:tcPr>
          <w:p w14:paraId="5F1A574F">
            <w:pPr>
              <w:pStyle w:val="60"/>
              <w:rPr>
                <w:rFonts w:hint="default" w:ascii="Times New Roman" w:hAnsi="Times New Roman" w:eastAsia="宋体" w:cs="Times New Roman"/>
                <w:color w:val="auto"/>
              </w:rPr>
            </w:pPr>
          </w:p>
        </w:tc>
      </w:tr>
      <w:tr w14:paraId="299CDB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continue"/>
            <w:noWrap w:val="0"/>
            <w:vAlign w:val="center"/>
          </w:tcPr>
          <w:p w14:paraId="54BD91A4">
            <w:pPr>
              <w:pStyle w:val="60"/>
              <w:rPr>
                <w:rFonts w:hint="default" w:ascii="Times New Roman" w:hAnsi="Times New Roman" w:eastAsia="宋体" w:cs="Times New Roman"/>
                <w:color w:val="auto"/>
              </w:rPr>
            </w:pPr>
          </w:p>
        </w:tc>
        <w:tc>
          <w:tcPr>
            <w:tcW w:w="1358" w:type="pct"/>
            <w:noWrap w:val="0"/>
            <w:vAlign w:val="center"/>
          </w:tcPr>
          <w:p w14:paraId="3AD6047B">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24小时平均</w:t>
            </w:r>
          </w:p>
        </w:tc>
        <w:tc>
          <w:tcPr>
            <w:tcW w:w="1088" w:type="pct"/>
            <w:noWrap w:val="0"/>
            <w:vAlign w:val="center"/>
          </w:tcPr>
          <w:p w14:paraId="35E9742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483" w:type="pct"/>
            <w:vMerge w:val="continue"/>
            <w:noWrap w:val="0"/>
            <w:vAlign w:val="center"/>
          </w:tcPr>
          <w:p w14:paraId="3BBBE5BE">
            <w:pPr>
              <w:pStyle w:val="60"/>
              <w:rPr>
                <w:rFonts w:hint="default" w:ascii="Times New Roman" w:hAnsi="Times New Roman" w:eastAsia="宋体" w:cs="Times New Roman"/>
                <w:color w:val="auto"/>
              </w:rPr>
            </w:pPr>
          </w:p>
        </w:tc>
      </w:tr>
      <w:tr w14:paraId="55EEF2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restart"/>
            <w:noWrap w:val="0"/>
            <w:vAlign w:val="center"/>
          </w:tcPr>
          <w:p w14:paraId="72BC432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O</w:t>
            </w:r>
            <w:r>
              <w:rPr>
                <w:rFonts w:hint="default" w:ascii="Times New Roman" w:hAnsi="Times New Roman" w:eastAsia="宋体" w:cs="Times New Roman"/>
                <w:color w:val="auto"/>
                <w:vertAlign w:val="subscript"/>
              </w:rPr>
              <w:t>3</w:t>
            </w:r>
          </w:p>
        </w:tc>
        <w:tc>
          <w:tcPr>
            <w:tcW w:w="1358" w:type="pct"/>
            <w:noWrap w:val="0"/>
            <w:vAlign w:val="center"/>
          </w:tcPr>
          <w:p w14:paraId="78CA3301">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日最大8小时平均</w:t>
            </w:r>
          </w:p>
        </w:tc>
        <w:tc>
          <w:tcPr>
            <w:tcW w:w="1088" w:type="pct"/>
            <w:noWrap w:val="0"/>
            <w:vAlign w:val="center"/>
          </w:tcPr>
          <w:p w14:paraId="69A0512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160</w:t>
            </w:r>
          </w:p>
        </w:tc>
        <w:tc>
          <w:tcPr>
            <w:tcW w:w="1483" w:type="pct"/>
            <w:vMerge w:val="continue"/>
            <w:noWrap w:val="0"/>
            <w:vAlign w:val="center"/>
          </w:tcPr>
          <w:p w14:paraId="262723EC">
            <w:pPr>
              <w:pStyle w:val="60"/>
              <w:rPr>
                <w:rFonts w:hint="default" w:ascii="Times New Roman" w:hAnsi="Times New Roman" w:eastAsia="宋体" w:cs="Times New Roman"/>
                <w:color w:val="auto"/>
              </w:rPr>
            </w:pPr>
          </w:p>
        </w:tc>
      </w:tr>
      <w:tr w14:paraId="24FC42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85" w:type="dxa"/>
            <w:bottom w:w="0" w:type="dxa"/>
            <w:right w:w="85" w:type="dxa"/>
          </w:tblCellMar>
        </w:tblPrEx>
        <w:trPr>
          <w:cantSplit/>
          <w:trHeight w:val="340" w:hRule="atLeast"/>
          <w:jc w:val="center"/>
        </w:trPr>
        <w:tc>
          <w:tcPr>
            <w:tcW w:w="1068" w:type="pct"/>
            <w:vMerge w:val="continue"/>
            <w:noWrap w:val="0"/>
            <w:vAlign w:val="center"/>
          </w:tcPr>
          <w:p w14:paraId="732FA7A3">
            <w:pPr>
              <w:pStyle w:val="60"/>
              <w:rPr>
                <w:rFonts w:hint="default" w:ascii="Times New Roman" w:hAnsi="Times New Roman" w:eastAsia="宋体" w:cs="Times New Roman"/>
                <w:color w:val="auto"/>
              </w:rPr>
            </w:pPr>
          </w:p>
        </w:tc>
        <w:tc>
          <w:tcPr>
            <w:tcW w:w="1358" w:type="pct"/>
            <w:noWrap w:val="0"/>
            <w:vAlign w:val="center"/>
          </w:tcPr>
          <w:p w14:paraId="738C74F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1小时平均</w:t>
            </w:r>
          </w:p>
        </w:tc>
        <w:tc>
          <w:tcPr>
            <w:tcW w:w="1088" w:type="pct"/>
            <w:noWrap w:val="0"/>
            <w:vAlign w:val="center"/>
          </w:tcPr>
          <w:p w14:paraId="233EB145">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200</w:t>
            </w:r>
          </w:p>
        </w:tc>
        <w:tc>
          <w:tcPr>
            <w:tcW w:w="1483" w:type="pct"/>
            <w:vMerge w:val="continue"/>
            <w:noWrap w:val="0"/>
            <w:vAlign w:val="center"/>
          </w:tcPr>
          <w:p w14:paraId="25C2037D">
            <w:pPr>
              <w:pStyle w:val="60"/>
              <w:rPr>
                <w:rFonts w:hint="default" w:ascii="Times New Roman" w:hAnsi="Times New Roman" w:eastAsia="宋体" w:cs="Times New Roman"/>
                <w:color w:val="auto"/>
              </w:rPr>
            </w:pPr>
          </w:p>
        </w:tc>
      </w:tr>
    </w:tbl>
    <w:p w14:paraId="5762DEEA">
      <w:pPr>
        <w:pStyle w:val="58"/>
        <w:rPr>
          <w:rFonts w:hint="default" w:ascii="Times New Roman" w:hAnsi="Times New Roman" w:eastAsia="宋体" w:cs="Times New Roman"/>
          <w:color w:val="auto"/>
        </w:rPr>
      </w:pPr>
    </w:p>
    <w:p w14:paraId="37FB90D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）地表水环境</w:t>
      </w:r>
    </w:p>
    <w:p w14:paraId="21AFD0E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执行《地表水环境质量标准》（GB3838-2002）Ⅲ类标准。具体</w:t>
      </w:r>
      <w:r>
        <w:rPr>
          <w:rFonts w:hint="default" w:ascii="Times New Roman" w:hAnsi="Times New Roman" w:eastAsia="宋体" w:cs="Times New Roman"/>
          <w:color w:val="auto"/>
          <w:shd w:val="clear" w:fill="FFFFFF"/>
        </w:rPr>
        <w:t>标准限</w:t>
      </w:r>
      <w:r>
        <w:rPr>
          <w:rFonts w:hint="default" w:ascii="Times New Roman" w:hAnsi="Times New Roman" w:eastAsia="宋体" w:cs="Times New Roman"/>
          <w:color w:val="auto"/>
          <w:shd w:val="clear" w:fill="FFFFFF"/>
          <w:lang w:val="en-US" w:eastAsia="zh-CN"/>
        </w:rPr>
        <w:t>值</w:t>
      </w:r>
      <w:r>
        <w:rPr>
          <w:rFonts w:hint="default" w:ascii="Times New Roman" w:hAnsi="Times New Roman" w:eastAsia="宋体" w:cs="Times New Roman"/>
          <w:color w:val="auto"/>
        </w:rPr>
        <w:t>详见表1.7-3。</w:t>
      </w:r>
    </w:p>
    <w:p w14:paraId="03BE8701">
      <w:pPr>
        <w:pStyle w:val="58"/>
        <w:rPr>
          <w:rFonts w:hint="default" w:ascii="Times New Roman" w:hAnsi="Times New Roman" w:eastAsia="宋体" w:cs="Times New Roman"/>
          <w:color w:val="auto"/>
        </w:rPr>
      </w:pPr>
    </w:p>
    <w:p w14:paraId="773C5FD8">
      <w:pPr>
        <w:pStyle w:val="58"/>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 xml:space="preserve">表1.7-3  地表水环境质量标准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 xml:space="preserve">     单位：mg/L</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61"/>
        <w:gridCol w:w="1956"/>
        <w:gridCol w:w="1047"/>
        <w:gridCol w:w="882"/>
        <w:gridCol w:w="1031"/>
        <w:gridCol w:w="1743"/>
        <w:gridCol w:w="1061"/>
      </w:tblGrid>
      <w:tr w14:paraId="10DF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4" w:type="pct"/>
            <w:noWrap w:val="0"/>
            <w:vAlign w:val="center"/>
          </w:tcPr>
          <w:p w14:paraId="65B47C7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指标</w:t>
            </w:r>
          </w:p>
        </w:tc>
        <w:tc>
          <w:tcPr>
            <w:tcW w:w="1113" w:type="pct"/>
            <w:noWrap w:val="0"/>
            <w:vAlign w:val="center"/>
          </w:tcPr>
          <w:p w14:paraId="05F276C1">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pH（无量纲）</w:t>
            </w:r>
          </w:p>
        </w:tc>
        <w:tc>
          <w:tcPr>
            <w:tcW w:w="596" w:type="pct"/>
            <w:noWrap w:val="0"/>
            <w:vAlign w:val="center"/>
          </w:tcPr>
          <w:p w14:paraId="055EB820">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COD</w:t>
            </w:r>
          </w:p>
        </w:tc>
        <w:tc>
          <w:tcPr>
            <w:tcW w:w="502" w:type="pct"/>
            <w:noWrap w:val="0"/>
            <w:vAlign w:val="center"/>
          </w:tcPr>
          <w:p w14:paraId="36A8118A">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BOD</w:t>
            </w:r>
            <w:r>
              <w:rPr>
                <w:rFonts w:hint="default" w:ascii="Times New Roman" w:hAnsi="Times New Roman" w:eastAsia="宋体" w:cs="Times New Roman"/>
                <w:color w:val="auto"/>
                <w:vertAlign w:val="subscript"/>
              </w:rPr>
              <w:t>5</w:t>
            </w:r>
          </w:p>
        </w:tc>
        <w:tc>
          <w:tcPr>
            <w:tcW w:w="587" w:type="pct"/>
            <w:noWrap w:val="0"/>
            <w:vAlign w:val="center"/>
          </w:tcPr>
          <w:p w14:paraId="1D8A6EE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氨氮</w:t>
            </w:r>
          </w:p>
        </w:tc>
        <w:tc>
          <w:tcPr>
            <w:tcW w:w="992" w:type="pct"/>
            <w:noWrap w:val="0"/>
            <w:vAlign w:val="center"/>
          </w:tcPr>
          <w:p w14:paraId="5CC5AC7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TP</w:t>
            </w:r>
          </w:p>
        </w:tc>
        <w:tc>
          <w:tcPr>
            <w:tcW w:w="603" w:type="pct"/>
            <w:noWrap w:val="0"/>
            <w:vAlign w:val="center"/>
          </w:tcPr>
          <w:p w14:paraId="0A31037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石油类</w:t>
            </w:r>
          </w:p>
        </w:tc>
      </w:tr>
      <w:tr w14:paraId="16A0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4" w:type="pct"/>
            <w:noWrap w:val="0"/>
            <w:vAlign w:val="center"/>
          </w:tcPr>
          <w:p w14:paraId="3980BD0B">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Ⅲ类</w:t>
            </w:r>
          </w:p>
        </w:tc>
        <w:tc>
          <w:tcPr>
            <w:tcW w:w="1113" w:type="pct"/>
            <w:noWrap w:val="0"/>
            <w:vAlign w:val="center"/>
          </w:tcPr>
          <w:p w14:paraId="47A223A5">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c>
          <w:tcPr>
            <w:tcW w:w="596" w:type="pct"/>
            <w:noWrap w:val="0"/>
            <w:vAlign w:val="center"/>
          </w:tcPr>
          <w:p w14:paraId="0BF83190">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502" w:type="pct"/>
            <w:noWrap w:val="0"/>
            <w:vAlign w:val="center"/>
          </w:tcPr>
          <w:p w14:paraId="61911010">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587" w:type="pct"/>
            <w:noWrap w:val="0"/>
            <w:vAlign w:val="center"/>
          </w:tcPr>
          <w:p w14:paraId="54173A0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992" w:type="pct"/>
            <w:noWrap w:val="0"/>
            <w:vAlign w:val="center"/>
          </w:tcPr>
          <w:p w14:paraId="63CBE96D">
            <w:pPr>
              <w:pStyle w:val="60"/>
              <w:keepNext w:val="0"/>
              <w:keepLines w:val="0"/>
              <w:pageBreakBefore w:val="0"/>
              <w:widowControl/>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0.2（湖库0.05）</w:t>
            </w:r>
          </w:p>
        </w:tc>
        <w:tc>
          <w:tcPr>
            <w:tcW w:w="603" w:type="pct"/>
            <w:noWrap w:val="0"/>
            <w:vAlign w:val="center"/>
          </w:tcPr>
          <w:p w14:paraId="1159A16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r>
    </w:tbl>
    <w:p w14:paraId="64249AC4">
      <w:pPr>
        <w:autoSpaceDE w:val="0"/>
        <w:autoSpaceDN w:val="0"/>
        <w:adjustRightInd w:val="0"/>
        <w:ind w:firstLine="522"/>
        <w:rPr>
          <w:rFonts w:hint="default" w:ascii="Times New Roman" w:hAnsi="Times New Roman" w:eastAsia="宋体" w:cs="Times New Roman"/>
          <w:color w:val="auto"/>
          <w:sz w:val="26"/>
          <w:szCs w:val="26"/>
        </w:rPr>
      </w:pPr>
    </w:p>
    <w:p w14:paraId="7CB3AF0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）地下水环境</w:t>
      </w:r>
    </w:p>
    <w:p w14:paraId="52696DC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地下水执行《地下水质量标准》（GB/T14848-2017）Ⅲ类水质标准，标准值见表1.7-4。</w:t>
      </w:r>
    </w:p>
    <w:p w14:paraId="071C87D5">
      <w:pPr>
        <w:pStyle w:val="58"/>
        <w:rPr>
          <w:rFonts w:hint="default" w:ascii="Times New Roman" w:hAnsi="Times New Roman" w:eastAsia="宋体" w:cs="Times New Roman"/>
          <w:color w:val="auto"/>
        </w:rPr>
      </w:pPr>
    </w:p>
    <w:p w14:paraId="3C1343E1">
      <w:pPr>
        <w:pStyle w:val="58"/>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 xml:space="preserve">表1.7-4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 xml:space="preserve">地下水质量标准限值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 xml:space="preserve">    单位：mg/L</w:t>
      </w:r>
    </w:p>
    <w:tbl>
      <w:tblPr>
        <w:tblStyle w:val="29"/>
        <w:tblW w:w="4997" w:type="pct"/>
        <w:jc w:val="center"/>
        <w:tblLayout w:type="fixed"/>
        <w:tblCellMar>
          <w:top w:w="0" w:type="dxa"/>
          <w:left w:w="108" w:type="dxa"/>
          <w:bottom w:w="0" w:type="dxa"/>
          <w:right w:w="108" w:type="dxa"/>
        </w:tblCellMar>
      </w:tblPr>
      <w:tblGrid>
        <w:gridCol w:w="1056"/>
        <w:gridCol w:w="860"/>
        <w:gridCol w:w="621"/>
        <w:gridCol w:w="705"/>
        <w:gridCol w:w="944"/>
        <w:gridCol w:w="1043"/>
        <w:gridCol w:w="862"/>
        <w:gridCol w:w="1281"/>
        <w:gridCol w:w="1569"/>
      </w:tblGrid>
      <w:tr w14:paraId="58057F64">
        <w:trPr>
          <w:trHeight w:val="340" w:hRule="atLeast"/>
          <w:jc w:val="center"/>
        </w:trPr>
        <w:tc>
          <w:tcPr>
            <w:tcW w:w="590" w:type="pct"/>
            <w:tcBorders>
              <w:top w:val="single" w:color="auto" w:sz="4" w:space="0"/>
              <w:left w:val="single" w:color="auto" w:sz="4" w:space="0"/>
              <w:bottom w:val="single" w:color="auto" w:sz="4" w:space="0"/>
              <w:right w:val="single" w:color="auto" w:sz="4" w:space="0"/>
            </w:tcBorders>
            <w:noWrap w:val="0"/>
            <w:vAlign w:val="center"/>
          </w:tcPr>
          <w:p w14:paraId="4903542E">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p>
        </w:tc>
        <w:tc>
          <w:tcPr>
            <w:tcW w:w="480" w:type="pct"/>
            <w:tcBorders>
              <w:top w:val="single" w:color="auto" w:sz="4" w:space="0"/>
              <w:left w:val="nil"/>
              <w:bottom w:val="single" w:color="auto" w:sz="4" w:space="0"/>
              <w:right w:val="single" w:color="auto" w:sz="4" w:space="0"/>
            </w:tcBorders>
            <w:noWrap w:val="0"/>
            <w:vAlign w:val="center"/>
          </w:tcPr>
          <w:p w14:paraId="43C8F606">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pH</w:t>
            </w:r>
          </w:p>
        </w:tc>
        <w:tc>
          <w:tcPr>
            <w:tcW w:w="347" w:type="pct"/>
            <w:tcBorders>
              <w:top w:val="single" w:color="auto" w:sz="4" w:space="0"/>
              <w:left w:val="nil"/>
              <w:bottom w:val="single" w:color="auto" w:sz="4" w:space="0"/>
              <w:right w:val="single" w:color="auto" w:sz="4" w:space="0"/>
            </w:tcBorders>
            <w:noWrap w:val="0"/>
            <w:vAlign w:val="center"/>
          </w:tcPr>
          <w:p w14:paraId="5EC531BA">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锰</w:t>
            </w:r>
          </w:p>
        </w:tc>
        <w:tc>
          <w:tcPr>
            <w:tcW w:w="394" w:type="pct"/>
            <w:tcBorders>
              <w:top w:val="single" w:color="auto" w:sz="4" w:space="0"/>
              <w:left w:val="nil"/>
              <w:bottom w:val="single" w:color="auto" w:sz="4" w:space="0"/>
              <w:right w:val="single" w:color="auto" w:sz="4" w:space="0"/>
            </w:tcBorders>
            <w:noWrap w:val="0"/>
            <w:vAlign w:val="center"/>
          </w:tcPr>
          <w:p w14:paraId="07977E6D">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氨氮</w:t>
            </w:r>
          </w:p>
        </w:tc>
        <w:tc>
          <w:tcPr>
            <w:tcW w:w="527" w:type="pct"/>
            <w:tcBorders>
              <w:top w:val="single" w:color="auto" w:sz="4" w:space="0"/>
              <w:left w:val="nil"/>
              <w:bottom w:val="single" w:color="auto" w:sz="4" w:space="0"/>
              <w:right w:val="single" w:color="auto" w:sz="4" w:space="0"/>
            </w:tcBorders>
            <w:noWrap w:val="0"/>
            <w:vAlign w:val="center"/>
          </w:tcPr>
          <w:p w14:paraId="79550CB1">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硝酸盐</w:t>
            </w:r>
          </w:p>
        </w:tc>
        <w:tc>
          <w:tcPr>
            <w:tcW w:w="583" w:type="pct"/>
            <w:tcBorders>
              <w:top w:val="single" w:color="auto" w:sz="4" w:space="0"/>
              <w:left w:val="nil"/>
              <w:bottom w:val="single" w:color="auto" w:sz="4" w:space="0"/>
              <w:right w:val="single" w:color="auto" w:sz="4" w:space="0"/>
            </w:tcBorders>
            <w:noWrap w:val="0"/>
            <w:vAlign w:val="center"/>
          </w:tcPr>
          <w:p w14:paraId="44E18221">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总硬度</w:t>
            </w:r>
          </w:p>
        </w:tc>
        <w:tc>
          <w:tcPr>
            <w:tcW w:w="482" w:type="pct"/>
            <w:tcBorders>
              <w:top w:val="single" w:color="auto" w:sz="4" w:space="0"/>
              <w:left w:val="nil"/>
              <w:bottom w:val="single" w:color="auto" w:sz="4" w:space="0"/>
              <w:right w:val="single" w:color="auto" w:sz="4" w:space="0"/>
            </w:tcBorders>
            <w:noWrap w:val="0"/>
            <w:vAlign w:val="center"/>
          </w:tcPr>
          <w:p w14:paraId="0AC1D445">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氰化物</w:t>
            </w:r>
          </w:p>
        </w:tc>
        <w:tc>
          <w:tcPr>
            <w:tcW w:w="716" w:type="pct"/>
            <w:tcBorders>
              <w:top w:val="single" w:color="auto" w:sz="4" w:space="0"/>
              <w:left w:val="nil"/>
              <w:bottom w:val="single" w:color="auto" w:sz="4" w:space="0"/>
              <w:right w:val="single" w:color="auto" w:sz="4" w:space="0"/>
            </w:tcBorders>
            <w:noWrap w:val="0"/>
            <w:vAlign w:val="center"/>
          </w:tcPr>
          <w:p w14:paraId="043DE673">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菌落总数</w:t>
            </w:r>
          </w:p>
        </w:tc>
        <w:tc>
          <w:tcPr>
            <w:tcW w:w="877" w:type="pct"/>
            <w:tcBorders>
              <w:top w:val="single" w:color="auto" w:sz="4" w:space="0"/>
              <w:left w:val="nil"/>
              <w:bottom w:val="single" w:color="auto" w:sz="4" w:space="0"/>
              <w:right w:val="single" w:color="auto" w:sz="4" w:space="0"/>
            </w:tcBorders>
            <w:noWrap w:val="0"/>
            <w:vAlign w:val="center"/>
          </w:tcPr>
          <w:p w14:paraId="16AE3F01">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总大肠菌群</w:t>
            </w:r>
          </w:p>
        </w:tc>
      </w:tr>
      <w:tr w14:paraId="7D60BD1C">
        <w:tblPrEx>
          <w:tblCellMar>
            <w:top w:w="0" w:type="dxa"/>
            <w:left w:w="108" w:type="dxa"/>
            <w:bottom w:w="0" w:type="dxa"/>
            <w:right w:w="108" w:type="dxa"/>
          </w:tblCellMar>
        </w:tblPrEx>
        <w:trPr>
          <w:trHeight w:val="340" w:hRule="atLeast"/>
          <w:jc w:val="center"/>
        </w:trPr>
        <w:tc>
          <w:tcPr>
            <w:tcW w:w="590" w:type="pct"/>
            <w:tcBorders>
              <w:top w:val="nil"/>
              <w:left w:val="single" w:color="auto" w:sz="4" w:space="0"/>
              <w:bottom w:val="single" w:color="auto" w:sz="4" w:space="0"/>
              <w:right w:val="single" w:color="auto" w:sz="4" w:space="0"/>
            </w:tcBorders>
            <w:noWrap w:val="0"/>
            <w:vAlign w:val="center"/>
          </w:tcPr>
          <w:p w14:paraId="4ECD8CB7">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浓度限值</w:t>
            </w:r>
          </w:p>
        </w:tc>
        <w:tc>
          <w:tcPr>
            <w:tcW w:w="480" w:type="pct"/>
            <w:tcBorders>
              <w:top w:val="nil"/>
              <w:left w:val="nil"/>
              <w:bottom w:val="single" w:color="auto" w:sz="4" w:space="0"/>
              <w:right w:val="single" w:color="auto" w:sz="4" w:space="0"/>
            </w:tcBorders>
            <w:noWrap w:val="0"/>
            <w:vAlign w:val="center"/>
          </w:tcPr>
          <w:p w14:paraId="252C02AD">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6.5~8.5</w:t>
            </w:r>
          </w:p>
        </w:tc>
        <w:tc>
          <w:tcPr>
            <w:tcW w:w="347" w:type="pct"/>
            <w:tcBorders>
              <w:top w:val="nil"/>
              <w:left w:val="nil"/>
              <w:bottom w:val="single" w:color="auto" w:sz="4" w:space="0"/>
              <w:right w:val="single" w:color="auto" w:sz="4" w:space="0"/>
            </w:tcBorders>
            <w:noWrap w:val="0"/>
            <w:vAlign w:val="center"/>
          </w:tcPr>
          <w:p w14:paraId="6F250EA9">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0.10</w:t>
            </w:r>
          </w:p>
        </w:tc>
        <w:tc>
          <w:tcPr>
            <w:tcW w:w="394" w:type="pct"/>
            <w:tcBorders>
              <w:top w:val="nil"/>
              <w:left w:val="nil"/>
              <w:bottom w:val="single" w:color="auto" w:sz="4" w:space="0"/>
              <w:right w:val="single" w:color="auto" w:sz="4" w:space="0"/>
            </w:tcBorders>
            <w:noWrap w:val="0"/>
            <w:vAlign w:val="center"/>
          </w:tcPr>
          <w:p w14:paraId="0BE4BE66">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0.5</w:t>
            </w:r>
          </w:p>
        </w:tc>
        <w:tc>
          <w:tcPr>
            <w:tcW w:w="527" w:type="pct"/>
            <w:tcBorders>
              <w:top w:val="nil"/>
              <w:left w:val="nil"/>
              <w:bottom w:val="single" w:color="auto" w:sz="4" w:space="0"/>
              <w:right w:val="single" w:color="auto" w:sz="4" w:space="0"/>
            </w:tcBorders>
            <w:noWrap w:val="0"/>
            <w:vAlign w:val="center"/>
          </w:tcPr>
          <w:p w14:paraId="2DA54268">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20</w:t>
            </w:r>
          </w:p>
        </w:tc>
        <w:tc>
          <w:tcPr>
            <w:tcW w:w="583" w:type="pct"/>
            <w:tcBorders>
              <w:top w:val="nil"/>
              <w:left w:val="nil"/>
              <w:bottom w:val="single" w:color="auto" w:sz="4" w:space="0"/>
              <w:right w:val="single" w:color="auto" w:sz="4" w:space="0"/>
            </w:tcBorders>
            <w:noWrap w:val="0"/>
            <w:vAlign w:val="center"/>
          </w:tcPr>
          <w:p w14:paraId="08290F37">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450</w:t>
            </w:r>
          </w:p>
        </w:tc>
        <w:tc>
          <w:tcPr>
            <w:tcW w:w="482" w:type="pct"/>
            <w:tcBorders>
              <w:top w:val="nil"/>
              <w:left w:val="nil"/>
              <w:bottom w:val="single" w:color="auto" w:sz="4" w:space="0"/>
              <w:right w:val="single" w:color="auto" w:sz="4" w:space="0"/>
            </w:tcBorders>
            <w:noWrap w:val="0"/>
            <w:vAlign w:val="center"/>
          </w:tcPr>
          <w:p w14:paraId="4A97BFC8">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c>
          <w:tcPr>
            <w:tcW w:w="716" w:type="pct"/>
            <w:tcBorders>
              <w:top w:val="nil"/>
              <w:left w:val="nil"/>
              <w:bottom w:val="single" w:color="auto" w:sz="4" w:space="0"/>
              <w:right w:val="single" w:color="auto" w:sz="4" w:space="0"/>
            </w:tcBorders>
            <w:noWrap w:val="0"/>
            <w:vAlign w:val="center"/>
          </w:tcPr>
          <w:p w14:paraId="359F7A81">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100</w:t>
            </w:r>
          </w:p>
        </w:tc>
        <w:tc>
          <w:tcPr>
            <w:tcW w:w="877" w:type="pct"/>
            <w:tcBorders>
              <w:top w:val="nil"/>
              <w:left w:val="nil"/>
              <w:bottom w:val="single" w:color="auto" w:sz="4" w:space="0"/>
              <w:right w:val="single" w:color="auto" w:sz="4" w:space="0"/>
            </w:tcBorders>
            <w:noWrap w:val="0"/>
            <w:vAlign w:val="center"/>
          </w:tcPr>
          <w:p w14:paraId="1691351A">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w:t>
            </w:r>
          </w:p>
        </w:tc>
      </w:tr>
      <w:tr w14:paraId="44FB9760">
        <w:tblPrEx>
          <w:tblCellMar>
            <w:top w:w="0" w:type="dxa"/>
            <w:left w:w="108" w:type="dxa"/>
            <w:bottom w:w="0" w:type="dxa"/>
            <w:right w:w="108" w:type="dxa"/>
          </w:tblCellMar>
        </w:tblPrEx>
        <w:trPr>
          <w:trHeight w:val="340" w:hRule="atLeast"/>
          <w:jc w:val="center"/>
        </w:trPr>
        <w:tc>
          <w:tcPr>
            <w:tcW w:w="590" w:type="pct"/>
            <w:tcBorders>
              <w:top w:val="nil"/>
              <w:left w:val="single" w:color="auto" w:sz="4" w:space="0"/>
              <w:bottom w:val="single" w:color="auto" w:sz="4" w:space="0"/>
              <w:right w:val="single" w:color="auto" w:sz="4" w:space="0"/>
            </w:tcBorders>
            <w:noWrap w:val="0"/>
            <w:vAlign w:val="center"/>
          </w:tcPr>
          <w:p w14:paraId="56B57D65">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p>
        </w:tc>
        <w:tc>
          <w:tcPr>
            <w:tcW w:w="480" w:type="pct"/>
            <w:tcBorders>
              <w:top w:val="nil"/>
              <w:left w:val="nil"/>
              <w:bottom w:val="single" w:color="auto" w:sz="4" w:space="0"/>
              <w:right w:val="single" w:color="auto" w:sz="4" w:space="0"/>
            </w:tcBorders>
            <w:noWrap w:val="0"/>
            <w:vAlign w:val="center"/>
          </w:tcPr>
          <w:p w14:paraId="26A30389">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镉</w:t>
            </w:r>
          </w:p>
        </w:tc>
        <w:tc>
          <w:tcPr>
            <w:tcW w:w="347" w:type="pct"/>
            <w:tcBorders>
              <w:top w:val="nil"/>
              <w:left w:val="nil"/>
              <w:bottom w:val="single" w:color="auto" w:sz="4" w:space="0"/>
              <w:right w:val="single" w:color="auto" w:sz="4" w:space="0"/>
            </w:tcBorders>
            <w:noWrap w:val="0"/>
            <w:vAlign w:val="center"/>
          </w:tcPr>
          <w:p w14:paraId="275E41EF">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铁</w:t>
            </w:r>
          </w:p>
        </w:tc>
        <w:tc>
          <w:tcPr>
            <w:tcW w:w="394" w:type="pct"/>
            <w:tcBorders>
              <w:top w:val="nil"/>
              <w:left w:val="nil"/>
              <w:bottom w:val="single" w:color="auto" w:sz="4" w:space="0"/>
              <w:right w:val="single" w:color="auto" w:sz="4" w:space="0"/>
            </w:tcBorders>
            <w:noWrap w:val="0"/>
            <w:vAlign w:val="center"/>
          </w:tcPr>
          <w:p w14:paraId="1CF36703">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铅</w:t>
            </w:r>
          </w:p>
        </w:tc>
        <w:tc>
          <w:tcPr>
            <w:tcW w:w="527" w:type="pct"/>
            <w:tcBorders>
              <w:top w:val="nil"/>
              <w:left w:val="nil"/>
              <w:bottom w:val="single" w:color="auto" w:sz="4" w:space="0"/>
              <w:right w:val="single" w:color="auto" w:sz="4" w:space="0"/>
            </w:tcBorders>
            <w:noWrap w:val="0"/>
            <w:vAlign w:val="center"/>
          </w:tcPr>
          <w:p w14:paraId="441081C5">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硫酸盐</w:t>
            </w:r>
          </w:p>
        </w:tc>
        <w:tc>
          <w:tcPr>
            <w:tcW w:w="583" w:type="pct"/>
            <w:tcBorders>
              <w:top w:val="nil"/>
              <w:left w:val="nil"/>
              <w:bottom w:val="single" w:color="auto" w:sz="4" w:space="0"/>
              <w:right w:val="single" w:color="auto" w:sz="4" w:space="0"/>
            </w:tcBorders>
            <w:noWrap w:val="0"/>
            <w:vAlign w:val="center"/>
          </w:tcPr>
          <w:p w14:paraId="6AC14D01">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石油类</w:t>
            </w:r>
          </w:p>
        </w:tc>
        <w:tc>
          <w:tcPr>
            <w:tcW w:w="482" w:type="pct"/>
            <w:tcBorders>
              <w:top w:val="nil"/>
              <w:left w:val="nil"/>
              <w:bottom w:val="single" w:color="auto" w:sz="4" w:space="0"/>
              <w:right w:val="single" w:color="auto" w:sz="4" w:space="0"/>
            </w:tcBorders>
            <w:noWrap w:val="0"/>
            <w:vAlign w:val="center"/>
          </w:tcPr>
          <w:p w14:paraId="6DBC9529">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氟化物</w:t>
            </w:r>
          </w:p>
        </w:tc>
        <w:tc>
          <w:tcPr>
            <w:tcW w:w="716" w:type="pct"/>
            <w:tcBorders>
              <w:top w:val="nil"/>
              <w:left w:val="nil"/>
              <w:bottom w:val="single" w:color="auto" w:sz="4" w:space="0"/>
              <w:right w:val="single" w:color="auto" w:sz="4" w:space="0"/>
            </w:tcBorders>
            <w:noWrap w:val="0"/>
            <w:vAlign w:val="center"/>
          </w:tcPr>
          <w:p w14:paraId="10148E54">
            <w:pPr>
              <w:pStyle w:val="87"/>
              <w:tabs>
                <w:tab w:val="left" w:pos="372"/>
              </w:tabs>
              <w:jc w:val="left"/>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挥发性酚类</w:t>
            </w:r>
          </w:p>
        </w:tc>
        <w:tc>
          <w:tcPr>
            <w:tcW w:w="877" w:type="pct"/>
            <w:tcBorders>
              <w:top w:val="nil"/>
              <w:left w:val="nil"/>
              <w:bottom w:val="single" w:color="auto" w:sz="4" w:space="0"/>
              <w:right w:val="single" w:color="auto" w:sz="4" w:space="0"/>
            </w:tcBorders>
            <w:noWrap w:val="0"/>
            <w:vAlign w:val="center"/>
          </w:tcPr>
          <w:p w14:paraId="390F4385">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溶解性总固体</w:t>
            </w:r>
          </w:p>
        </w:tc>
      </w:tr>
      <w:tr w14:paraId="3A35E22E">
        <w:tblPrEx>
          <w:tblCellMar>
            <w:top w:w="0" w:type="dxa"/>
            <w:left w:w="108" w:type="dxa"/>
            <w:bottom w:w="0" w:type="dxa"/>
            <w:right w:w="108" w:type="dxa"/>
          </w:tblCellMar>
        </w:tblPrEx>
        <w:trPr>
          <w:trHeight w:val="340" w:hRule="atLeast"/>
          <w:jc w:val="center"/>
        </w:trPr>
        <w:tc>
          <w:tcPr>
            <w:tcW w:w="590" w:type="pct"/>
            <w:tcBorders>
              <w:top w:val="nil"/>
              <w:left w:val="single" w:color="auto" w:sz="4" w:space="0"/>
              <w:bottom w:val="single" w:color="auto" w:sz="4" w:space="0"/>
              <w:right w:val="single" w:color="auto" w:sz="4" w:space="0"/>
            </w:tcBorders>
            <w:noWrap w:val="0"/>
            <w:vAlign w:val="center"/>
          </w:tcPr>
          <w:p w14:paraId="29CB6236">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浓度限值</w:t>
            </w:r>
          </w:p>
        </w:tc>
        <w:tc>
          <w:tcPr>
            <w:tcW w:w="480" w:type="pct"/>
            <w:tcBorders>
              <w:top w:val="nil"/>
              <w:left w:val="nil"/>
              <w:bottom w:val="single" w:color="auto" w:sz="4" w:space="0"/>
              <w:right w:val="single" w:color="auto" w:sz="4" w:space="0"/>
            </w:tcBorders>
            <w:noWrap w:val="0"/>
            <w:vAlign w:val="center"/>
          </w:tcPr>
          <w:p w14:paraId="4F973B9B">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0.005</w:t>
            </w:r>
          </w:p>
        </w:tc>
        <w:tc>
          <w:tcPr>
            <w:tcW w:w="347" w:type="pct"/>
            <w:tcBorders>
              <w:top w:val="nil"/>
              <w:left w:val="nil"/>
              <w:bottom w:val="single" w:color="auto" w:sz="4" w:space="0"/>
              <w:right w:val="single" w:color="auto" w:sz="4" w:space="0"/>
            </w:tcBorders>
            <w:noWrap w:val="0"/>
            <w:vAlign w:val="center"/>
          </w:tcPr>
          <w:p w14:paraId="2EDDDD7B">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0.3</w:t>
            </w:r>
          </w:p>
        </w:tc>
        <w:tc>
          <w:tcPr>
            <w:tcW w:w="394" w:type="pct"/>
            <w:tcBorders>
              <w:top w:val="nil"/>
              <w:left w:val="nil"/>
              <w:bottom w:val="single" w:color="auto" w:sz="4" w:space="0"/>
              <w:right w:val="single" w:color="auto" w:sz="4" w:space="0"/>
            </w:tcBorders>
            <w:noWrap w:val="0"/>
            <w:vAlign w:val="center"/>
          </w:tcPr>
          <w:p w14:paraId="0AC453E3">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0.01</w:t>
            </w:r>
          </w:p>
        </w:tc>
        <w:tc>
          <w:tcPr>
            <w:tcW w:w="527" w:type="pct"/>
            <w:tcBorders>
              <w:top w:val="nil"/>
              <w:left w:val="nil"/>
              <w:bottom w:val="single" w:color="auto" w:sz="4" w:space="0"/>
              <w:right w:val="single" w:color="auto" w:sz="4" w:space="0"/>
            </w:tcBorders>
            <w:noWrap w:val="0"/>
            <w:vAlign w:val="center"/>
          </w:tcPr>
          <w:p w14:paraId="0A1573E9">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250</w:t>
            </w:r>
          </w:p>
        </w:tc>
        <w:tc>
          <w:tcPr>
            <w:tcW w:w="583" w:type="pct"/>
            <w:tcBorders>
              <w:top w:val="nil"/>
              <w:left w:val="nil"/>
              <w:bottom w:val="single" w:color="auto" w:sz="4" w:space="0"/>
              <w:right w:val="single" w:color="auto" w:sz="4" w:space="0"/>
            </w:tcBorders>
            <w:noWrap w:val="0"/>
            <w:vAlign w:val="center"/>
          </w:tcPr>
          <w:p w14:paraId="421DEC3F">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c>
          <w:tcPr>
            <w:tcW w:w="482" w:type="pct"/>
            <w:tcBorders>
              <w:top w:val="nil"/>
              <w:left w:val="nil"/>
              <w:bottom w:val="single" w:color="auto" w:sz="4" w:space="0"/>
              <w:right w:val="single" w:color="auto" w:sz="4" w:space="0"/>
            </w:tcBorders>
            <w:noWrap w:val="0"/>
            <w:vAlign w:val="center"/>
          </w:tcPr>
          <w:p w14:paraId="1A8A0508">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p>
        </w:tc>
        <w:tc>
          <w:tcPr>
            <w:tcW w:w="716" w:type="pct"/>
            <w:tcBorders>
              <w:top w:val="nil"/>
              <w:left w:val="nil"/>
              <w:bottom w:val="single" w:color="auto" w:sz="4" w:space="0"/>
              <w:right w:val="single" w:color="auto" w:sz="4" w:space="0"/>
            </w:tcBorders>
            <w:noWrap w:val="0"/>
            <w:vAlign w:val="center"/>
          </w:tcPr>
          <w:p w14:paraId="5DDB45A6">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0.002</w:t>
            </w:r>
          </w:p>
        </w:tc>
        <w:tc>
          <w:tcPr>
            <w:tcW w:w="877" w:type="pct"/>
            <w:tcBorders>
              <w:top w:val="nil"/>
              <w:left w:val="nil"/>
              <w:bottom w:val="single" w:color="auto" w:sz="4" w:space="0"/>
              <w:right w:val="single" w:color="auto" w:sz="4" w:space="0"/>
            </w:tcBorders>
            <w:noWrap w:val="0"/>
            <w:vAlign w:val="center"/>
          </w:tcPr>
          <w:p w14:paraId="3763C19E">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1000</w:t>
            </w:r>
          </w:p>
        </w:tc>
      </w:tr>
      <w:tr w14:paraId="4C940308">
        <w:tblPrEx>
          <w:tblCellMar>
            <w:top w:w="0" w:type="dxa"/>
            <w:left w:w="108" w:type="dxa"/>
            <w:bottom w:w="0" w:type="dxa"/>
            <w:right w:w="108" w:type="dxa"/>
          </w:tblCellMar>
        </w:tblPrEx>
        <w:trPr>
          <w:trHeight w:val="340" w:hRule="atLeast"/>
          <w:jc w:val="center"/>
        </w:trPr>
        <w:tc>
          <w:tcPr>
            <w:tcW w:w="590" w:type="pct"/>
            <w:tcBorders>
              <w:top w:val="nil"/>
              <w:left w:val="single" w:color="auto" w:sz="4" w:space="0"/>
              <w:bottom w:val="single" w:color="auto" w:sz="4" w:space="0"/>
              <w:right w:val="single" w:color="auto" w:sz="4" w:space="0"/>
            </w:tcBorders>
            <w:noWrap w:val="0"/>
            <w:vAlign w:val="center"/>
          </w:tcPr>
          <w:p w14:paraId="6554DA43">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p>
        </w:tc>
        <w:tc>
          <w:tcPr>
            <w:tcW w:w="480" w:type="pct"/>
            <w:tcBorders>
              <w:top w:val="nil"/>
              <w:left w:val="nil"/>
              <w:bottom w:val="single" w:color="auto" w:sz="4" w:space="0"/>
              <w:right w:val="single" w:color="auto" w:sz="4" w:space="0"/>
            </w:tcBorders>
            <w:noWrap w:val="0"/>
            <w:vAlign w:val="center"/>
          </w:tcPr>
          <w:p w14:paraId="250D666A">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砷</w:t>
            </w:r>
          </w:p>
        </w:tc>
        <w:tc>
          <w:tcPr>
            <w:tcW w:w="347" w:type="pct"/>
            <w:tcBorders>
              <w:top w:val="nil"/>
              <w:left w:val="nil"/>
              <w:bottom w:val="single" w:color="auto" w:sz="4" w:space="0"/>
              <w:right w:val="single" w:color="auto" w:sz="4" w:space="0"/>
            </w:tcBorders>
            <w:noWrap w:val="0"/>
            <w:vAlign w:val="center"/>
          </w:tcPr>
          <w:p w14:paraId="0F9D934C">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钡</w:t>
            </w:r>
          </w:p>
        </w:tc>
        <w:tc>
          <w:tcPr>
            <w:tcW w:w="394" w:type="pct"/>
            <w:tcBorders>
              <w:top w:val="nil"/>
              <w:left w:val="nil"/>
              <w:bottom w:val="single" w:color="auto" w:sz="4" w:space="0"/>
              <w:right w:val="single" w:color="auto" w:sz="4" w:space="0"/>
            </w:tcBorders>
            <w:noWrap w:val="0"/>
            <w:vAlign w:val="center"/>
          </w:tcPr>
          <w:p w14:paraId="66D0AB97">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汞</w:t>
            </w:r>
          </w:p>
        </w:tc>
        <w:tc>
          <w:tcPr>
            <w:tcW w:w="527" w:type="pct"/>
            <w:tcBorders>
              <w:top w:val="nil"/>
              <w:left w:val="nil"/>
              <w:bottom w:val="single" w:color="auto" w:sz="4" w:space="0"/>
              <w:right w:val="single" w:color="auto" w:sz="4" w:space="0"/>
            </w:tcBorders>
            <w:noWrap w:val="0"/>
            <w:vAlign w:val="center"/>
          </w:tcPr>
          <w:p w14:paraId="320020FC">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COD</w:t>
            </w:r>
          </w:p>
        </w:tc>
        <w:tc>
          <w:tcPr>
            <w:tcW w:w="583" w:type="pct"/>
            <w:tcBorders>
              <w:top w:val="nil"/>
              <w:left w:val="nil"/>
              <w:bottom w:val="single" w:color="auto" w:sz="4" w:space="0"/>
              <w:right w:val="single" w:color="auto" w:sz="4" w:space="0"/>
            </w:tcBorders>
            <w:noWrap w:val="0"/>
            <w:vAlign w:val="center"/>
          </w:tcPr>
          <w:p w14:paraId="65FACB05">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铬</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六价</w:t>
            </w:r>
            <w:r>
              <w:rPr>
                <w:rFonts w:hint="default" w:ascii="Times New Roman" w:hAnsi="Times New Roman" w:eastAsia="宋体" w:cs="Times New Roman"/>
                <w:b w:val="0"/>
                <w:bCs w:val="0"/>
                <w:color w:val="auto"/>
                <w:sz w:val="21"/>
                <w:szCs w:val="21"/>
                <w:lang w:val="en-US" w:eastAsia="zh-CN"/>
              </w:rPr>
              <w:t>)</w:t>
            </w:r>
          </w:p>
        </w:tc>
        <w:tc>
          <w:tcPr>
            <w:tcW w:w="482" w:type="pct"/>
            <w:tcBorders>
              <w:top w:val="nil"/>
              <w:left w:val="nil"/>
              <w:bottom w:val="single" w:color="auto" w:sz="4" w:space="0"/>
              <w:right w:val="single" w:color="auto" w:sz="4" w:space="0"/>
            </w:tcBorders>
            <w:noWrap w:val="0"/>
            <w:vAlign w:val="center"/>
          </w:tcPr>
          <w:p w14:paraId="2B18D3F4">
            <w:pPr>
              <w:pStyle w:val="87"/>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氯化物</w:t>
            </w:r>
          </w:p>
        </w:tc>
        <w:tc>
          <w:tcPr>
            <w:tcW w:w="716" w:type="pct"/>
            <w:tcBorders>
              <w:top w:val="nil"/>
              <w:left w:val="nil"/>
              <w:bottom w:val="single" w:color="auto" w:sz="4" w:space="0"/>
              <w:right w:val="single" w:color="auto" w:sz="4" w:space="0"/>
            </w:tcBorders>
            <w:noWrap w:val="0"/>
            <w:vAlign w:val="center"/>
          </w:tcPr>
          <w:p w14:paraId="34C0FDC4">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rPr>
              <w:t>亚硝酸盐</w:t>
            </w:r>
          </w:p>
        </w:tc>
        <w:tc>
          <w:tcPr>
            <w:tcW w:w="877" w:type="pct"/>
            <w:tcBorders>
              <w:top w:val="nil"/>
              <w:left w:val="nil"/>
              <w:bottom w:val="single" w:color="auto" w:sz="4" w:space="0"/>
              <w:right w:val="single" w:color="auto" w:sz="4" w:space="0"/>
            </w:tcBorders>
            <w:noWrap w:val="0"/>
            <w:vAlign w:val="center"/>
          </w:tcPr>
          <w:p w14:paraId="4303084C">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高锰酸盐指数</w:t>
            </w:r>
          </w:p>
        </w:tc>
      </w:tr>
      <w:tr w14:paraId="11B94753">
        <w:tblPrEx>
          <w:tblCellMar>
            <w:top w:w="0" w:type="dxa"/>
            <w:left w:w="108" w:type="dxa"/>
            <w:bottom w:w="0" w:type="dxa"/>
            <w:right w:w="108" w:type="dxa"/>
          </w:tblCellMar>
        </w:tblPrEx>
        <w:trPr>
          <w:trHeight w:val="340" w:hRule="atLeast"/>
          <w:jc w:val="center"/>
        </w:trPr>
        <w:tc>
          <w:tcPr>
            <w:tcW w:w="590" w:type="pct"/>
            <w:tcBorders>
              <w:top w:val="nil"/>
              <w:left w:val="single" w:color="auto" w:sz="4" w:space="0"/>
              <w:bottom w:val="single" w:color="auto" w:sz="4" w:space="0"/>
              <w:right w:val="single" w:color="auto" w:sz="4" w:space="0"/>
            </w:tcBorders>
            <w:noWrap w:val="0"/>
            <w:vAlign w:val="center"/>
          </w:tcPr>
          <w:p w14:paraId="185535F0">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浓度限值</w:t>
            </w:r>
          </w:p>
        </w:tc>
        <w:tc>
          <w:tcPr>
            <w:tcW w:w="480" w:type="pct"/>
            <w:tcBorders>
              <w:top w:val="nil"/>
              <w:left w:val="nil"/>
              <w:bottom w:val="single" w:color="auto" w:sz="4" w:space="0"/>
              <w:right w:val="single" w:color="auto" w:sz="4" w:space="0"/>
            </w:tcBorders>
            <w:noWrap w:val="0"/>
            <w:vAlign w:val="center"/>
          </w:tcPr>
          <w:p w14:paraId="1BB5E08A">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0.01</w:t>
            </w:r>
          </w:p>
        </w:tc>
        <w:tc>
          <w:tcPr>
            <w:tcW w:w="347" w:type="pct"/>
            <w:tcBorders>
              <w:top w:val="nil"/>
              <w:left w:val="nil"/>
              <w:bottom w:val="single" w:color="auto" w:sz="4" w:space="0"/>
              <w:right w:val="single" w:color="auto" w:sz="4" w:space="0"/>
            </w:tcBorders>
            <w:noWrap w:val="0"/>
            <w:vAlign w:val="center"/>
          </w:tcPr>
          <w:p w14:paraId="0C02A0F7">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0.7</w:t>
            </w:r>
          </w:p>
        </w:tc>
        <w:tc>
          <w:tcPr>
            <w:tcW w:w="394" w:type="pct"/>
            <w:tcBorders>
              <w:top w:val="nil"/>
              <w:left w:val="nil"/>
              <w:bottom w:val="single" w:color="auto" w:sz="4" w:space="0"/>
              <w:right w:val="single" w:color="auto" w:sz="4" w:space="0"/>
            </w:tcBorders>
            <w:noWrap w:val="0"/>
            <w:vAlign w:val="center"/>
          </w:tcPr>
          <w:p w14:paraId="54BDC02F">
            <w:pPr>
              <w:pStyle w:val="87"/>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b w:val="0"/>
                <w:bCs w:val="0"/>
                <w:color w:val="auto"/>
                <w:sz w:val="21"/>
                <w:szCs w:val="21"/>
                <w:lang w:val="en-US" w:eastAsia="zh-CN"/>
              </w:rPr>
              <w:t>0.001</w:t>
            </w:r>
          </w:p>
        </w:tc>
        <w:tc>
          <w:tcPr>
            <w:tcW w:w="527" w:type="pct"/>
            <w:tcBorders>
              <w:top w:val="nil"/>
              <w:left w:val="nil"/>
              <w:bottom w:val="single" w:color="auto" w:sz="4" w:space="0"/>
              <w:right w:val="single" w:color="auto" w:sz="4" w:space="0"/>
            </w:tcBorders>
            <w:noWrap w:val="0"/>
            <w:vAlign w:val="center"/>
          </w:tcPr>
          <w:p w14:paraId="6AFDDD53">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w:t>
            </w:r>
          </w:p>
        </w:tc>
        <w:tc>
          <w:tcPr>
            <w:tcW w:w="583" w:type="pct"/>
            <w:tcBorders>
              <w:top w:val="nil"/>
              <w:left w:val="nil"/>
              <w:bottom w:val="single" w:color="auto" w:sz="4" w:space="0"/>
              <w:right w:val="single" w:color="auto" w:sz="4" w:space="0"/>
            </w:tcBorders>
            <w:noWrap w:val="0"/>
            <w:vAlign w:val="center"/>
          </w:tcPr>
          <w:p w14:paraId="53FF2F05">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c>
          <w:tcPr>
            <w:tcW w:w="482" w:type="pct"/>
            <w:tcBorders>
              <w:top w:val="nil"/>
              <w:left w:val="nil"/>
              <w:bottom w:val="single" w:color="auto" w:sz="4" w:space="0"/>
              <w:right w:val="single" w:color="auto" w:sz="4" w:space="0"/>
            </w:tcBorders>
            <w:noWrap w:val="0"/>
            <w:vAlign w:val="center"/>
          </w:tcPr>
          <w:p w14:paraId="56B64760">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250</w:t>
            </w:r>
          </w:p>
        </w:tc>
        <w:tc>
          <w:tcPr>
            <w:tcW w:w="716" w:type="pct"/>
            <w:tcBorders>
              <w:top w:val="nil"/>
              <w:left w:val="nil"/>
              <w:bottom w:val="single" w:color="auto" w:sz="4" w:space="0"/>
              <w:right w:val="single" w:color="auto" w:sz="4" w:space="0"/>
            </w:tcBorders>
            <w:noWrap w:val="0"/>
            <w:vAlign w:val="center"/>
          </w:tcPr>
          <w:p w14:paraId="6BBFFA38">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p>
        </w:tc>
        <w:tc>
          <w:tcPr>
            <w:tcW w:w="877" w:type="pct"/>
            <w:tcBorders>
              <w:top w:val="nil"/>
              <w:left w:val="nil"/>
              <w:bottom w:val="single" w:color="auto" w:sz="4" w:space="0"/>
              <w:right w:val="single" w:color="auto" w:sz="4" w:space="0"/>
            </w:tcBorders>
            <w:noWrap w:val="0"/>
            <w:vAlign w:val="center"/>
          </w:tcPr>
          <w:p w14:paraId="28EF53EE">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w:t>
            </w:r>
          </w:p>
        </w:tc>
      </w:tr>
      <w:tr w14:paraId="2F7071E7">
        <w:tblPrEx>
          <w:tblCellMar>
            <w:top w:w="0" w:type="dxa"/>
            <w:left w:w="108" w:type="dxa"/>
            <w:bottom w:w="0" w:type="dxa"/>
            <w:right w:w="108" w:type="dxa"/>
          </w:tblCellMar>
        </w:tblPrEx>
        <w:trPr>
          <w:trHeight w:val="340" w:hRule="atLeast"/>
          <w:jc w:val="center"/>
        </w:trPr>
        <w:tc>
          <w:tcPr>
            <w:tcW w:w="590" w:type="pct"/>
            <w:tcBorders>
              <w:top w:val="nil"/>
              <w:left w:val="single" w:color="auto" w:sz="4" w:space="0"/>
              <w:bottom w:val="single" w:color="auto" w:sz="4" w:space="0"/>
              <w:right w:val="single" w:color="auto" w:sz="4" w:space="0"/>
            </w:tcBorders>
            <w:noWrap w:val="0"/>
            <w:vAlign w:val="center"/>
          </w:tcPr>
          <w:p w14:paraId="7E98845C">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w:t>
            </w:r>
          </w:p>
        </w:tc>
        <w:tc>
          <w:tcPr>
            <w:tcW w:w="480" w:type="pct"/>
            <w:tcBorders>
              <w:top w:val="nil"/>
              <w:left w:val="nil"/>
              <w:bottom w:val="single" w:color="auto" w:sz="4" w:space="0"/>
              <w:right w:val="single" w:color="auto" w:sz="4" w:space="0"/>
            </w:tcBorders>
            <w:noWrap w:val="0"/>
            <w:vAlign w:val="center"/>
          </w:tcPr>
          <w:p w14:paraId="16C0F643">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K</w:t>
            </w:r>
            <w:r>
              <w:rPr>
                <w:rFonts w:hint="default" w:ascii="Times New Roman" w:hAnsi="Times New Roman" w:eastAsia="宋体" w:cs="Times New Roman"/>
                <w:b w:val="0"/>
                <w:bCs w:val="0"/>
                <w:color w:val="auto"/>
                <w:sz w:val="21"/>
                <w:szCs w:val="21"/>
                <w:vertAlign w:val="superscript"/>
                <w:lang w:val="en-US" w:eastAsia="zh-CN"/>
              </w:rPr>
              <w:t>+</w:t>
            </w:r>
          </w:p>
        </w:tc>
        <w:tc>
          <w:tcPr>
            <w:tcW w:w="347" w:type="pct"/>
            <w:tcBorders>
              <w:top w:val="nil"/>
              <w:left w:val="nil"/>
              <w:bottom w:val="single" w:color="auto" w:sz="4" w:space="0"/>
              <w:right w:val="single" w:color="auto" w:sz="4" w:space="0"/>
            </w:tcBorders>
            <w:noWrap w:val="0"/>
            <w:vAlign w:val="center"/>
          </w:tcPr>
          <w:p w14:paraId="1BB26D44">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Na</w:t>
            </w:r>
            <w:r>
              <w:rPr>
                <w:rFonts w:hint="default" w:ascii="Times New Roman" w:hAnsi="Times New Roman" w:eastAsia="宋体" w:cs="Times New Roman"/>
                <w:b w:val="0"/>
                <w:bCs w:val="0"/>
                <w:color w:val="auto"/>
                <w:sz w:val="21"/>
                <w:szCs w:val="21"/>
                <w:vertAlign w:val="superscript"/>
                <w:lang w:val="en-US" w:eastAsia="zh-CN"/>
              </w:rPr>
              <w:t>+</w:t>
            </w:r>
          </w:p>
        </w:tc>
        <w:tc>
          <w:tcPr>
            <w:tcW w:w="394" w:type="pct"/>
            <w:tcBorders>
              <w:top w:val="nil"/>
              <w:left w:val="nil"/>
              <w:bottom w:val="single" w:color="auto" w:sz="4" w:space="0"/>
              <w:right w:val="single" w:color="auto" w:sz="4" w:space="0"/>
            </w:tcBorders>
            <w:noWrap w:val="0"/>
            <w:vAlign w:val="center"/>
          </w:tcPr>
          <w:p w14:paraId="03E3C5C2">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Ca</w:t>
            </w:r>
            <w:r>
              <w:rPr>
                <w:rFonts w:hint="default" w:ascii="Times New Roman" w:hAnsi="Times New Roman" w:eastAsia="宋体" w:cs="Times New Roman"/>
                <w:b w:val="0"/>
                <w:bCs w:val="0"/>
                <w:color w:val="auto"/>
                <w:sz w:val="21"/>
                <w:szCs w:val="21"/>
                <w:vertAlign w:val="superscript"/>
                <w:lang w:val="en-US" w:eastAsia="zh-CN"/>
              </w:rPr>
              <w:t>2+</w:t>
            </w:r>
          </w:p>
        </w:tc>
        <w:tc>
          <w:tcPr>
            <w:tcW w:w="527" w:type="pct"/>
            <w:tcBorders>
              <w:top w:val="nil"/>
              <w:left w:val="nil"/>
              <w:bottom w:val="single" w:color="auto" w:sz="4" w:space="0"/>
              <w:right w:val="single" w:color="auto" w:sz="4" w:space="0"/>
            </w:tcBorders>
            <w:noWrap w:val="0"/>
            <w:vAlign w:val="center"/>
          </w:tcPr>
          <w:p w14:paraId="60893E39">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Mg</w:t>
            </w:r>
            <w:r>
              <w:rPr>
                <w:rFonts w:hint="default" w:ascii="Times New Roman" w:hAnsi="Times New Roman" w:eastAsia="宋体" w:cs="Times New Roman"/>
                <w:b w:val="0"/>
                <w:bCs w:val="0"/>
                <w:color w:val="auto"/>
                <w:sz w:val="21"/>
                <w:szCs w:val="21"/>
                <w:vertAlign w:val="superscript"/>
                <w:lang w:val="en-US" w:eastAsia="zh-CN"/>
              </w:rPr>
              <w:t>2+</w:t>
            </w:r>
          </w:p>
        </w:tc>
        <w:tc>
          <w:tcPr>
            <w:tcW w:w="583" w:type="pct"/>
            <w:tcBorders>
              <w:top w:val="nil"/>
              <w:left w:val="nil"/>
              <w:bottom w:val="single" w:color="auto" w:sz="4" w:space="0"/>
              <w:right w:val="single" w:color="auto" w:sz="4" w:space="0"/>
            </w:tcBorders>
            <w:noWrap w:val="0"/>
            <w:vAlign w:val="center"/>
          </w:tcPr>
          <w:p w14:paraId="4AA773AE">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Cl</w:t>
            </w:r>
            <w:r>
              <w:rPr>
                <w:rFonts w:hint="default" w:ascii="Times New Roman" w:hAnsi="Times New Roman" w:eastAsia="宋体" w:cs="Times New Roman"/>
                <w:b w:val="0"/>
                <w:bCs w:val="0"/>
                <w:color w:val="auto"/>
                <w:sz w:val="21"/>
                <w:szCs w:val="21"/>
                <w:vertAlign w:val="superscript"/>
                <w:lang w:val="en-US" w:eastAsia="zh-CN"/>
              </w:rPr>
              <w:t>-</w:t>
            </w:r>
          </w:p>
        </w:tc>
        <w:tc>
          <w:tcPr>
            <w:tcW w:w="482" w:type="pct"/>
            <w:tcBorders>
              <w:top w:val="nil"/>
              <w:left w:val="nil"/>
              <w:bottom w:val="single" w:color="auto" w:sz="4" w:space="0"/>
              <w:right w:val="single" w:color="auto" w:sz="4" w:space="0"/>
            </w:tcBorders>
            <w:noWrap w:val="0"/>
            <w:vAlign w:val="center"/>
          </w:tcPr>
          <w:p w14:paraId="57B5E3F8">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superscript"/>
                <w:lang w:val="en-US" w:eastAsia="zh-CN"/>
              </w:rPr>
              <w:t>2-</w:t>
            </w:r>
          </w:p>
        </w:tc>
        <w:tc>
          <w:tcPr>
            <w:tcW w:w="716" w:type="pct"/>
            <w:tcBorders>
              <w:top w:val="nil"/>
              <w:left w:val="nil"/>
              <w:bottom w:val="single" w:color="auto" w:sz="4" w:space="0"/>
              <w:right w:val="single" w:color="auto" w:sz="4" w:space="0"/>
            </w:tcBorders>
            <w:noWrap w:val="0"/>
            <w:vAlign w:val="center"/>
          </w:tcPr>
          <w:p w14:paraId="76F9461E">
            <w:pPr>
              <w:pStyle w:val="87"/>
              <w:rPr>
                <w:rFonts w:hint="default" w:ascii="Times New Roman" w:hAnsi="Times New Roman" w:eastAsia="宋体" w:cs="Times New Roman"/>
                <w:b w:val="0"/>
                <w:bCs w:val="0"/>
                <w:color w:val="auto"/>
                <w:sz w:val="21"/>
                <w:szCs w:val="21"/>
                <w:vertAlign w:val="subscript"/>
                <w:lang w:val="en-US" w:eastAsia="zh-CN"/>
              </w:rPr>
            </w:pPr>
            <w:r>
              <w:rPr>
                <w:rFonts w:hint="default" w:ascii="Times New Roman" w:hAnsi="Times New Roman" w:eastAsia="宋体" w:cs="Times New Roman"/>
                <w:b w:val="0"/>
                <w:bCs w:val="0"/>
                <w:color w:val="auto"/>
                <w:sz w:val="21"/>
                <w:szCs w:val="21"/>
                <w:lang w:val="en-US" w:eastAsia="zh-CN"/>
              </w:rPr>
              <w:t>SO</w:t>
            </w:r>
            <w:r>
              <w:rPr>
                <w:rFonts w:hint="default" w:ascii="Times New Roman" w:hAnsi="Times New Roman" w:eastAsia="宋体" w:cs="Times New Roman"/>
                <w:b w:val="0"/>
                <w:bCs w:val="0"/>
                <w:color w:val="auto"/>
                <w:sz w:val="21"/>
                <w:szCs w:val="21"/>
                <w:vertAlign w:val="subscript"/>
                <w:lang w:val="en-US" w:eastAsia="zh-CN"/>
              </w:rPr>
              <w:t>4</w:t>
            </w:r>
            <w:r>
              <w:rPr>
                <w:rFonts w:hint="default" w:ascii="Times New Roman" w:hAnsi="Times New Roman" w:eastAsia="宋体" w:cs="Times New Roman"/>
                <w:b w:val="0"/>
                <w:bCs w:val="0"/>
                <w:color w:val="auto"/>
                <w:sz w:val="21"/>
                <w:szCs w:val="21"/>
                <w:vertAlign w:val="superscript"/>
                <w:lang w:val="en-US" w:eastAsia="zh-CN"/>
              </w:rPr>
              <w:t>2-</w:t>
            </w:r>
          </w:p>
        </w:tc>
        <w:tc>
          <w:tcPr>
            <w:tcW w:w="877" w:type="pct"/>
            <w:tcBorders>
              <w:top w:val="nil"/>
              <w:left w:val="nil"/>
              <w:bottom w:val="single" w:color="auto" w:sz="4" w:space="0"/>
              <w:right w:val="single" w:color="auto" w:sz="4" w:space="0"/>
            </w:tcBorders>
            <w:noWrap w:val="0"/>
            <w:vAlign w:val="center"/>
          </w:tcPr>
          <w:p w14:paraId="26690155">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HCO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superscript"/>
                <w:lang w:val="en-US" w:eastAsia="zh-CN"/>
              </w:rPr>
              <w:t>-</w:t>
            </w:r>
          </w:p>
        </w:tc>
      </w:tr>
      <w:tr w14:paraId="2308E771">
        <w:tblPrEx>
          <w:tblCellMar>
            <w:top w:w="0" w:type="dxa"/>
            <w:left w:w="108" w:type="dxa"/>
            <w:bottom w:w="0" w:type="dxa"/>
            <w:right w:w="108" w:type="dxa"/>
          </w:tblCellMar>
        </w:tblPrEx>
        <w:trPr>
          <w:trHeight w:val="340" w:hRule="atLeast"/>
          <w:jc w:val="center"/>
        </w:trPr>
        <w:tc>
          <w:tcPr>
            <w:tcW w:w="590" w:type="pct"/>
            <w:tcBorders>
              <w:top w:val="nil"/>
              <w:left w:val="single" w:color="auto" w:sz="4" w:space="0"/>
              <w:bottom w:val="single" w:color="auto" w:sz="4" w:space="0"/>
              <w:right w:val="single" w:color="auto" w:sz="4" w:space="0"/>
            </w:tcBorders>
            <w:noWrap w:val="0"/>
            <w:vAlign w:val="center"/>
          </w:tcPr>
          <w:p w14:paraId="431DD48E">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浓度限值</w:t>
            </w:r>
          </w:p>
        </w:tc>
        <w:tc>
          <w:tcPr>
            <w:tcW w:w="480" w:type="pct"/>
            <w:tcBorders>
              <w:top w:val="nil"/>
              <w:left w:val="nil"/>
              <w:bottom w:val="single" w:color="auto" w:sz="4" w:space="0"/>
              <w:right w:val="single" w:color="auto" w:sz="4" w:space="0"/>
            </w:tcBorders>
            <w:noWrap w:val="0"/>
            <w:vAlign w:val="center"/>
          </w:tcPr>
          <w:p w14:paraId="7922F46B">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347" w:type="pct"/>
            <w:tcBorders>
              <w:top w:val="nil"/>
              <w:left w:val="nil"/>
              <w:bottom w:val="single" w:color="auto" w:sz="4" w:space="0"/>
              <w:right w:val="single" w:color="auto" w:sz="4" w:space="0"/>
            </w:tcBorders>
            <w:noWrap w:val="0"/>
            <w:vAlign w:val="center"/>
          </w:tcPr>
          <w:p w14:paraId="0F451C27">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200</w:t>
            </w:r>
          </w:p>
        </w:tc>
        <w:tc>
          <w:tcPr>
            <w:tcW w:w="394" w:type="pct"/>
            <w:tcBorders>
              <w:top w:val="nil"/>
              <w:left w:val="nil"/>
              <w:bottom w:val="single" w:color="auto" w:sz="4" w:space="0"/>
              <w:right w:val="single" w:color="auto" w:sz="4" w:space="0"/>
            </w:tcBorders>
            <w:noWrap w:val="0"/>
            <w:vAlign w:val="center"/>
          </w:tcPr>
          <w:p w14:paraId="7E36355A">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27" w:type="pct"/>
            <w:tcBorders>
              <w:top w:val="nil"/>
              <w:left w:val="nil"/>
              <w:bottom w:val="single" w:color="auto" w:sz="4" w:space="0"/>
              <w:right w:val="single" w:color="auto" w:sz="4" w:space="0"/>
            </w:tcBorders>
            <w:noWrap w:val="0"/>
            <w:vAlign w:val="center"/>
          </w:tcPr>
          <w:p w14:paraId="0F1D6E1C">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83" w:type="pct"/>
            <w:tcBorders>
              <w:top w:val="nil"/>
              <w:left w:val="nil"/>
              <w:bottom w:val="single" w:color="auto" w:sz="4" w:space="0"/>
              <w:right w:val="single" w:color="auto" w:sz="4" w:space="0"/>
            </w:tcBorders>
            <w:noWrap w:val="0"/>
            <w:vAlign w:val="center"/>
          </w:tcPr>
          <w:p w14:paraId="7F0D3837">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250</w:t>
            </w:r>
          </w:p>
        </w:tc>
        <w:tc>
          <w:tcPr>
            <w:tcW w:w="482" w:type="pct"/>
            <w:tcBorders>
              <w:top w:val="nil"/>
              <w:left w:val="nil"/>
              <w:bottom w:val="single" w:color="auto" w:sz="4" w:space="0"/>
              <w:right w:val="single" w:color="auto" w:sz="4" w:space="0"/>
            </w:tcBorders>
            <w:noWrap w:val="0"/>
            <w:vAlign w:val="center"/>
          </w:tcPr>
          <w:p w14:paraId="132B725D">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16" w:type="pct"/>
            <w:tcBorders>
              <w:top w:val="nil"/>
              <w:left w:val="nil"/>
              <w:bottom w:val="single" w:color="auto" w:sz="4" w:space="0"/>
              <w:right w:val="single" w:color="auto" w:sz="4" w:space="0"/>
            </w:tcBorders>
            <w:noWrap w:val="0"/>
            <w:vAlign w:val="center"/>
          </w:tcPr>
          <w:p w14:paraId="2A5694BC">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250</w:t>
            </w:r>
          </w:p>
        </w:tc>
        <w:tc>
          <w:tcPr>
            <w:tcW w:w="877" w:type="pct"/>
            <w:tcBorders>
              <w:top w:val="nil"/>
              <w:left w:val="nil"/>
              <w:bottom w:val="single" w:color="auto" w:sz="4" w:space="0"/>
              <w:right w:val="single" w:color="auto" w:sz="4" w:space="0"/>
            </w:tcBorders>
            <w:noWrap w:val="0"/>
            <w:vAlign w:val="center"/>
          </w:tcPr>
          <w:p w14:paraId="542EA501">
            <w:pPr>
              <w:pStyle w:val="87"/>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5DC4F5E5">
        <w:tblPrEx>
          <w:tblCellMar>
            <w:top w:w="0" w:type="dxa"/>
            <w:left w:w="108" w:type="dxa"/>
            <w:bottom w:w="0" w:type="dxa"/>
            <w:right w:w="108" w:type="dxa"/>
          </w:tblCellMar>
        </w:tblPrEx>
        <w:trPr>
          <w:trHeight w:val="340" w:hRule="atLeast"/>
          <w:jc w:val="center"/>
        </w:trPr>
        <w:tc>
          <w:tcPr>
            <w:tcW w:w="590" w:type="pct"/>
            <w:tcBorders>
              <w:top w:val="nil"/>
              <w:left w:val="single" w:color="auto" w:sz="4" w:space="0"/>
              <w:bottom w:val="single" w:color="auto" w:sz="4" w:space="0"/>
              <w:right w:val="single" w:color="auto" w:sz="4" w:space="0"/>
            </w:tcBorders>
            <w:noWrap w:val="0"/>
            <w:vAlign w:val="center"/>
          </w:tcPr>
          <w:p w14:paraId="54AFE0E8">
            <w:pPr>
              <w:pStyle w:val="87"/>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备注</w:t>
            </w:r>
          </w:p>
        </w:tc>
        <w:tc>
          <w:tcPr>
            <w:tcW w:w="4409" w:type="pct"/>
            <w:gridSpan w:val="8"/>
            <w:tcBorders>
              <w:top w:val="single" w:color="auto" w:sz="4" w:space="0"/>
              <w:left w:val="nil"/>
              <w:bottom w:val="single" w:color="auto" w:sz="4" w:space="0"/>
              <w:right w:val="single" w:color="auto" w:sz="4" w:space="0"/>
            </w:tcBorders>
            <w:noWrap w:val="0"/>
            <w:vAlign w:val="center"/>
          </w:tcPr>
          <w:p w14:paraId="19DB3EF0">
            <w:pPr>
              <w:pStyle w:val="87"/>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18"/>
                <w:szCs w:val="18"/>
              </w:rPr>
              <w:t>石油类</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lang w:val="en-US" w:eastAsia="zh-CN"/>
              </w:rPr>
              <w:t>COD</w:t>
            </w:r>
            <w:r>
              <w:rPr>
                <w:rFonts w:hint="default" w:ascii="Times New Roman" w:hAnsi="Times New Roman" w:eastAsia="宋体" w:cs="Times New Roman"/>
                <w:b w:val="0"/>
                <w:bCs w:val="0"/>
                <w:color w:val="auto"/>
                <w:sz w:val="18"/>
                <w:szCs w:val="18"/>
              </w:rPr>
              <w:t>执行《地表水环境质量标准》（GB3838-2002）Ⅲ类水标准；pH无量纲</w:t>
            </w:r>
          </w:p>
        </w:tc>
      </w:tr>
    </w:tbl>
    <w:p w14:paraId="7BB61168">
      <w:pPr>
        <w:autoSpaceDE w:val="0"/>
        <w:autoSpaceDN w:val="0"/>
        <w:adjustRightInd w:val="0"/>
        <w:ind w:firstLine="520"/>
        <w:rPr>
          <w:rFonts w:hint="default" w:ascii="Times New Roman" w:hAnsi="Times New Roman" w:eastAsia="宋体" w:cs="Times New Roman"/>
          <w:color w:val="auto"/>
          <w:sz w:val="26"/>
          <w:szCs w:val="26"/>
        </w:rPr>
      </w:pPr>
    </w:p>
    <w:p w14:paraId="5D110681">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声环境</w:t>
      </w:r>
    </w:p>
    <w:p w14:paraId="3A85A12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执行《声环境质量标准》（GB3096-2008）中2类标准，具体标准限值见表1.7-</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p>
    <w:p w14:paraId="70123AF9">
      <w:pPr>
        <w:pStyle w:val="58"/>
        <w:rPr>
          <w:rFonts w:hint="default" w:ascii="Times New Roman" w:hAnsi="Times New Roman" w:eastAsia="宋体" w:cs="Times New Roman"/>
          <w:color w:val="auto"/>
        </w:rPr>
      </w:pPr>
    </w:p>
    <w:p w14:paraId="6B7A032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表1.7-</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 xml:space="preserve">                 声环境标准限值               单位：dB</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3150"/>
        <w:gridCol w:w="3279"/>
      </w:tblGrid>
      <w:tr w14:paraId="37BD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pct"/>
            <w:noWrap w:val="0"/>
            <w:vAlign w:val="center"/>
          </w:tcPr>
          <w:p w14:paraId="412ED65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1760" w:type="pct"/>
            <w:noWrap w:val="0"/>
            <w:vAlign w:val="center"/>
          </w:tcPr>
          <w:p w14:paraId="171C4E30">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1832" w:type="pct"/>
            <w:noWrap w:val="0"/>
            <w:vAlign w:val="center"/>
          </w:tcPr>
          <w:p w14:paraId="48F794B2">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夜间</w:t>
            </w:r>
          </w:p>
        </w:tc>
      </w:tr>
      <w:tr w14:paraId="07566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pct"/>
            <w:noWrap w:val="0"/>
            <w:vAlign w:val="center"/>
          </w:tcPr>
          <w:p w14:paraId="5EC9778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2类</w:t>
            </w:r>
          </w:p>
        </w:tc>
        <w:tc>
          <w:tcPr>
            <w:tcW w:w="1760" w:type="pct"/>
            <w:noWrap w:val="0"/>
            <w:vAlign w:val="center"/>
          </w:tcPr>
          <w:p w14:paraId="16384560">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1832" w:type="pct"/>
            <w:noWrap w:val="0"/>
            <w:vAlign w:val="center"/>
          </w:tcPr>
          <w:p w14:paraId="351CA86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r>
    </w:tbl>
    <w:p w14:paraId="2E704697">
      <w:pPr>
        <w:pStyle w:val="58"/>
        <w:rPr>
          <w:rFonts w:hint="default" w:ascii="Times New Roman" w:hAnsi="Times New Roman" w:eastAsia="宋体" w:cs="Times New Roman"/>
          <w:color w:val="auto"/>
        </w:rPr>
      </w:pPr>
    </w:p>
    <w:p w14:paraId="6EA63529">
      <w:pPr>
        <w:spacing w:line="460" w:lineRule="atLeas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1.7.2 污染物排放标准</w:t>
      </w:r>
    </w:p>
    <w:p w14:paraId="35BDBD0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（1）废气</w:t>
      </w:r>
    </w:p>
    <w:p w14:paraId="5D0579B9">
      <w:pPr>
        <w:keepNext w:val="0"/>
        <w:keepLines w:val="0"/>
        <w:pageBreakBefore w:val="0"/>
        <w:widowControl w:val="0"/>
        <w:kinsoku/>
        <w:wordWrap/>
        <w:overflowPunct/>
        <w:topLinePunct w:val="0"/>
        <w:autoSpaceDE w:val="0"/>
        <w:autoSpaceDN w:val="0"/>
        <w:bidi w:val="0"/>
        <w:adjustRightInd w:val="0"/>
        <w:snapToGrid/>
        <w:spacing w:line="500" w:lineRule="exact"/>
        <w:ind w:firstLine="52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2"/>
          <w:highlight w:val="none"/>
          <w:lang w:bidi="ar"/>
        </w:rPr>
        <w:t>施工期</w:t>
      </w:r>
      <w:r>
        <w:rPr>
          <w:rFonts w:hint="default" w:ascii="Times New Roman" w:hAnsi="Times New Roman" w:eastAsia="宋体" w:cs="Times New Roman"/>
          <w:color w:val="auto"/>
          <w:sz w:val="26"/>
          <w:szCs w:val="26"/>
          <w:highlight w:val="none"/>
          <w:lang w:val="en-US" w:eastAsia="zh-CN"/>
        </w:rPr>
        <w:t>废气</w:t>
      </w:r>
      <w:r>
        <w:rPr>
          <w:rFonts w:hint="default" w:ascii="Times New Roman" w:hAnsi="Times New Roman" w:eastAsia="宋体" w:cs="Times New Roman"/>
          <w:color w:val="auto"/>
          <w:sz w:val="26"/>
          <w:szCs w:val="22"/>
          <w:highlight w:val="none"/>
          <w:lang w:bidi="ar"/>
        </w:rPr>
        <w:t>排放执行重庆市地方标准《大气污染物综合排放标准》（DB50/418-2016）中</w:t>
      </w:r>
      <w:r>
        <w:rPr>
          <w:rFonts w:hint="default" w:ascii="Times New Roman" w:hAnsi="Times New Roman" w:eastAsia="宋体" w:cs="Times New Roman"/>
          <w:color w:val="auto"/>
          <w:sz w:val="26"/>
          <w:szCs w:val="22"/>
          <w:highlight w:val="none"/>
          <w:lang w:eastAsia="zh-CN" w:bidi="ar"/>
        </w:rPr>
        <w:t>“其他</w:t>
      </w:r>
      <w:r>
        <w:rPr>
          <w:rFonts w:hint="default" w:ascii="Times New Roman" w:hAnsi="Times New Roman" w:eastAsia="宋体" w:cs="Times New Roman"/>
          <w:color w:val="auto"/>
          <w:sz w:val="26"/>
          <w:szCs w:val="22"/>
          <w:highlight w:val="none"/>
          <w:lang w:bidi="ar"/>
        </w:rPr>
        <w:t>区域</w:t>
      </w:r>
      <w:r>
        <w:rPr>
          <w:rFonts w:hint="default" w:ascii="Times New Roman" w:hAnsi="Times New Roman" w:eastAsia="宋体" w:cs="Times New Roman"/>
          <w:color w:val="auto"/>
          <w:sz w:val="26"/>
          <w:szCs w:val="22"/>
          <w:highlight w:val="none"/>
          <w:lang w:eastAsia="zh-CN" w:bidi="ar"/>
        </w:rPr>
        <w:t>”</w:t>
      </w:r>
      <w:r>
        <w:rPr>
          <w:rFonts w:hint="default" w:ascii="Times New Roman" w:hAnsi="Times New Roman" w:eastAsia="宋体" w:cs="Times New Roman"/>
          <w:color w:val="auto"/>
          <w:sz w:val="26"/>
          <w:szCs w:val="22"/>
          <w:highlight w:val="none"/>
          <w:lang w:bidi="ar"/>
        </w:rPr>
        <w:t>标准，详见下表</w:t>
      </w:r>
      <w:r>
        <w:rPr>
          <w:rFonts w:hint="default" w:ascii="Times New Roman" w:hAnsi="Times New Roman" w:eastAsia="宋体" w:cs="Times New Roman"/>
          <w:color w:val="auto"/>
          <w:sz w:val="26"/>
          <w:szCs w:val="22"/>
          <w:highlight w:val="none"/>
          <w:lang w:val="en-US" w:eastAsia="zh-CN" w:bidi="ar"/>
        </w:rPr>
        <w:t>1.7-6</w:t>
      </w:r>
      <w:r>
        <w:rPr>
          <w:rFonts w:hint="default" w:ascii="Times New Roman" w:hAnsi="Times New Roman" w:eastAsia="宋体" w:cs="Times New Roman"/>
          <w:color w:val="auto"/>
          <w:sz w:val="26"/>
          <w:szCs w:val="22"/>
          <w:highlight w:val="none"/>
          <w:lang w:bidi="ar"/>
        </w:rPr>
        <w:t>。</w:t>
      </w:r>
    </w:p>
    <w:p w14:paraId="41A736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6"/>
          <w:szCs w:val="26"/>
          <w:highlight w:val="none"/>
        </w:rPr>
      </w:pPr>
    </w:p>
    <w:p w14:paraId="2B06DD7A">
      <w:pPr>
        <w:pStyle w:val="58"/>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表1.7-6 大气污染综合排放标准</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62"/>
        <w:gridCol w:w="2440"/>
        <w:gridCol w:w="2607"/>
        <w:gridCol w:w="2832"/>
      </w:tblGrid>
      <w:tr w14:paraId="56443C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594" w:type="pct"/>
            <w:tcBorders>
              <w:tl2br w:val="nil"/>
              <w:tr2bl w:val="nil"/>
            </w:tcBorders>
            <w:noWrap w:val="0"/>
            <w:vAlign w:val="center"/>
          </w:tcPr>
          <w:p w14:paraId="5BC31B41">
            <w:pPr>
              <w:adjustRightInd w:val="0"/>
              <w:snapToGri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污染物</w:t>
            </w:r>
          </w:p>
        </w:tc>
        <w:tc>
          <w:tcPr>
            <w:tcW w:w="1364" w:type="pct"/>
            <w:tcBorders>
              <w:tl2br w:val="nil"/>
              <w:tr2bl w:val="nil"/>
            </w:tcBorders>
            <w:noWrap w:val="0"/>
            <w:vAlign w:val="center"/>
          </w:tcPr>
          <w:p w14:paraId="2C90FE7C">
            <w:pPr>
              <w:spacing w:line="240" w:lineRule="auto"/>
              <w:ind w:firstLine="0" w:firstLineChars="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snapToGrid w:val="0"/>
                <w:color w:val="auto"/>
                <w:sz w:val="22"/>
                <w:szCs w:val="22"/>
              </w:rPr>
              <w:t>适用区域</w:t>
            </w:r>
          </w:p>
        </w:tc>
        <w:tc>
          <w:tcPr>
            <w:tcW w:w="1457" w:type="pct"/>
            <w:tcBorders>
              <w:tl2br w:val="nil"/>
              <w:tr2bl w:val="nil"/>
            </w:tcBorders>
            <w:noWrap w:val="0"/>
            <w:vAlign w:val="center"/>
          </w:tcPr>
          <w:p w14:paraId="2A18E7AE">
            <w:pPr>
              <w:spacing w:line="240" w:lineRule="auto"/>
              <w:ind w:firstLine="0" w:firstLineChars="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snapToGrid w:val="0"/>
                <w:color w:val="auto"/>
                <w:sz w:val="22"/>
                <w:szCs w:val="22"/>
              </w:rPr>
              <w:t>大气污染物最高允许排放浓度，mg/m³</w:t>
            </w:r>
          </w:p>
        </w:tc>
        <w:tc>
          <w:tcPr>
            <w:tcW w:w="1583" w:type="pct"/>
            <w:tcBorders>
              <w:tl2br w:val="nil"/>
              <w:tr2bl w:val="nil"/>
            </w:tcBorders>
            <w:noWrap w:val="0"/>
            <w:vAlign w:val="center"/>
          </w:tcPr>
          <w:p w14:paraId="636AF7EF">
            <w:pPr>
              <w:spacing w:line="240" w:lineRule="auto"/>
              <w:ind w:firstLine="0" w:firstLineChars="0"/>
              <w:jc w:val="center"/>
              <w:rPr>
                <w:rFonts w:hint="default" w:ascii="Times New Roman" w:hAnsi="Times New Roman" w:eastAsia="宋体" w:cs="Times New Roman"/>
                <w:snapToGrid w:val="0"/>
                <w:color w:val="auto"/>
                <w:sz w:val="22"/>
                <w:szCs w:val="22"/>
              </w:rPr>
            </w:pPr>
            <w:r>
              <w:rPr>
                <w:rFonts w:hint="default" w:ascii="Times New Roman" w:hAnsi="Times New Roman" w:eastAsia="宋体" w:cs="Times New Roman"/>
                <w:snapToGrid w:val="0"/>
                <w:color w:val="auto"/>
                <w:sz w:val="22"/>
                <w:szCs w:val="22"/>
              </w:rPr>
              <w:t>无组织排放监控点浓度限值</w:t>
            </w:r>
            <w:r>
              <w:rPr>
                <w:rFonts w:hint="default" w:ascii="Times New Roman" w:hAnsi="Times New Roman" w:eastAsia="宋体" w:cs="Times New Roman"/>
                <w:snapToGrid w:val="0"/>
                <w:color w:val="auto"/>
                <w:sz w:val="22"/>
                <w:szCs w:val="22"/>
                <w:lang w:eastAsia="zh-CN"/>
              </w:rPr>
              <w:t>，</w:t>
            </w:r>
            <w:r>
              <w:rPr>
                <w:rFonts w:hint="default" w:ascii="Times New Roman" w:hAnsi="Times New Roman" w:eastAsia="宋体" w:cs="Times New Roman"/>
                <w:snapToGrid w:val="0"/>
                <w:color w:val="auto"/>
                <w:sz w:val="22"/>
                <w:szCs w:val="22"/>
              </w:rPr>
              <w:t>mg/m³</w:t>
            </w:r>
          </w:p>
        </w:tc>
      </w:tr>
      <w:tr w14:paraId="5A8E30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4" w:type="pct"/>
            <w:tcBorders>
              <w:tl2br w:val="nil"/>
              <w:tr2bl w:val="nil"/>
            </w:tcBorders>
            <w:noWrap w:val="0"/>
            <w:vAlign w:val="center"/>
          </w:tcPr>
          <w:p w14:paraId="163F23E0">
            <w:pPr>
              <w:adjustRightInd w:val="0"/>
              <w:snapToGri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NO</w:t>
            </w:r>
            <w:r>
              <w:rPr>
                <w:rFonts w:hint="default" w:ascii="Times New Roman" w:hAnsi="Times New Roman" w:eastAsia="宋体" w:cs="Times New Roman"/>
                <w:color w:val="auto"/>
                <w:sz w:val="22"/>
                <w:szCs w:val="22"/>
                <w:highlight w:val="none"/>
                <w:vertAlign w:val="subscript"/>
              </w:rPr>
              <w:t>x</w:t>
            </w:r>
          </w:p>
        </w:tc>
        <w:tc>
          <w:tcPr>
            <w:tcW w:w="1364" w:type="pct"/>
            <w:vMerge w:val="restart"/>
            <w:tcBorders>
              <w:tl2br w:val="nil"/>
              <w:tr2bl w:val="nil"/>
            </w:tcBorders>
            <w:noWrap w:val="0"/>
            <w:vAlign w:val="center"/>
          </w:tcPr>
          <w:p w14:paraId="5C0616F1">
            <w:pPr>
              <w:adjustRightInd w:val="0"/>
              <w:snapToGri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snapToGrid w:val="0"/>
                <w:color w:val="auto"/>
                <w:sz w:val="22"/>
                <w:szCs w:val="22"/>
              </w:rPr>
              <w:t>其他区域</w:t>
            </w:r>
          </w:p>
        </w:tc>
        <w:tc>
          <w:tcPr>
            <w:tcW w:w="1457" w:type="pct"/>
            <w:tcBorders>
              <w:tl2br w:val="nil"/>
              <w:tr2bl w:val="nil"/>
            </w:tcBorders>
            <w:noWrap w:val="0"/>
            <w:vAlign w:val="center"/>
          </w:tcPr>
          <w:p w14:paraId="69A842D6">
            <w:pPr>
              <w:spacing w:line="240" w:lineRule="auto"/>
              <w:ind w:firstLine="0" w:firstLineChars="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snapToGrid w:val="0"/>
                <w:color w:val="auto"/>
                <w:sz w:val="22"/>
                <w:szCs w:val="22"/>
              </w:rPr>
              <w:t>240</w:t>
            </w:r>
          </w:p>
        </w:tc>
        <w:tc>
          <w:tcPr>
            <w:tcW w:w="1583" w:type="pct"/>
            <w:tcBorders>
              <w:tl2br w:val="nil"/>
              <w:tr2bl w:val="nil"/>
            </w:tcBorders>
            <w:noWrap w:val="0"/>
            <w:vAlign w:val="center"/>
          </w:tcPr>
          <w:p w14:paraId="2FF1BD93">
            <w:pPr>
              <w:spacing w:line="240" w:lineRule="auto"/>
              <w:ind w:firstLine="0" w:firstLineChars="0"/>
              <w:jc w:val="center"/>
              <w:rPr>
                <w:rFonts w:hint="default" w:ascii="Times New Roman" w:hAnsi="Times New Roman" w:eastAsia="宋体" w:cs="Times New Roman"/>
                <w:snapToGrid w:val="0"/>
                <w:color w:val="auto"/>
                <w:sz w:val="22"/>
                <w:szCs w:val="22"/>
                <w:lang w:val="en-US" w:eastAsia="zh-CN"/>
              </w:rPr>
            </w:pPr>
            <w:r>
              <w:rPr>
                <w:rFonts w:hint="default" w:ascii="Times New Roman" w:hAnsi="Times New Roman" w:eastAsia="宋体" w:cs="Times New Roman"/>
                <w:snapToGrid w:val="0"/>
                <w:color w:val="auto"/>
                <w:sz w:val="22"/>
                <w:szCs w:val="22"/>
                <w:lang w:val="en-US" w:eastAsia="zh-CN"/>
              </w:rPr>
              <w:t>0.12</w:t>
            </w:r>
          </w:p>
        </w:tc>
      </w:tr>
      <w:tr w14:paraId="1FFCEA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4" w:type="pct"/>
            <w:tcBorders>
              <w:bottom w:val="single" w:color="auto" w:sz="4" w:space="0"/>
              <w:tl2br w:val="nil"/>
              <w:tr2bl w:val="nil"/>
            </w:tcBorders>
            <w:noWrap w:val="0"/>
            <w:vAlign w:val="center"/>
          </w:tcPr>
          <w:p w14:paraId="601EBCCD">
            <w:pPr>
              <w:adjustRightInd w:val="0"/>
              <w:snapToGri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颗粒物</w:t>
            </w:r>
          </w:p>
        </w:tc>
        <w:tc>
          <w:tcPr>
            <w:tcW w:w="1364" w:type="pct"/>
            <w:vMerge w:val="continue"/>
            <w:tcBorders>
              <w:bottom w:val="single" w:color="auto" w:sz="4" w:space="0"/>
              <w:tl2br w:val="nil"/>
              <w:tr2bl w:val="nil"/>
            </w:tcBorders>
            <w:noWrap w:val="0"/>
            <w:vAlign w:val="center"/>
          </w:tcPr>
          <w:p w14:paraId="5C839ADB">
            <w:pPr>
              <w:adjustRightInd w:val="0"/>
              <w:snapToGrid w:val="0"/>
              <w:jc w:val="center"/>
              <w:rPr>
                <w:rFonts w:hint="default" w:ascii="Times New Roman" w:hAnsi="Times New Roman" w:eastAsia="宋体" w:cs="Times New Roman"/>
                <w:color w:val="auto"/>
                <w:sz w:val="22"/>
                <w:szCs w:val="22"/>
                <w:highlight w:val="none"/>
              </w:rPr>
            </w:pPr>
          </w:p>
        </w:tc>
        <w:tc>
          <w:tcPr>
            <w:tcW w:w="1457" w:type="pct"/>
            <w:tcBorders>
              <w:tl2br w:val="nil"/>
              <w:tr2bl w:val="nil"/>
            </w:tcBorders>
            <w:noWrap w:val="0"/>
            <w:vAlign w:val="center"/>
          </w:tcPr>
          <w:p w14:paraId="7069A1E2">
            <w:pPr>
              <w:spacing w:line="240" w:lineRule="auto"/>
              <w:ind w:firstLine="0" w:firstLineChars="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snapToGrid w:val="0"/>
                <w:color w:val="auto"/>
                <w:sz w:val="22"/>
                <w:szCs w:val="22"/>
              </w:rPr>
              <w:t>120</w:t>
            </w:r>
          </w:p>
        </w:tc>
        <w:tc>
          <w:tcPr>
            <w:tcW w:w="1583" w:type="pct"/>
            <w:tcBorders>
              <w:tl2br w:val="nil"/>
              <w:tr2bl w:val="nil"/>
            </w:tcBorders>
            <w:noWrap w:val="0"/>
            <w:vAlign w:val="center"/>
          </w:tcPr>
          <w:p w14:paraId="20CA9327">
            <w:pPr>
              <w:spacing w:line="240" w:lineRule="auto"/>
              <w:ind w:firstLine="0" w:firstLineChars="0"/>
              <w:jc w:val="center"/>
              <w:rPr>
                <w:rFonts w:hint="default" w:ascii="Times New Roman" w:hAnsi="Times New Roman" w:eastAsia="宋体" w:cs="Times New Roman"/>
                <w:snapToGrid w:val="0"/>
                <w:color w:val="auto"/>
                <w:sz w:val="22"/>
                <w:szCs w:val="22"/>
                <w:lang w:val="en-US" w:eastAsia="zh-CN"/>
              </w:rPr>
            </w:pPr>
            <w:r>
              <w:rPr>
                <w:rFonts w:hint="default" w:ascii="Times New Roman" w:hAnsi="Times New Roman" w:eastAsia="宋体" w:cs="Times New Roman"/>
                <w:snapToGrid w:val="0"/>
                <w:color w:val="auto"/>
                <w:sz w:val="22"/>
                <w:szCs w:val="22"/>
                <w:lang w:val="en-US" w:eastAsia="zh-CN"/>
              </w:rPr>
              <w:t>1</w:t>
            </w:r>
          </w:p>
        </w:tc>
      </w:tr>
    </w:tbl>
    <w:p w14:paraId="7168A031">
      <w:pPr>
        <w:keepNext w:val="0"/>
        <w:keepLines w:val="0"/>
        <w:pageBreakBefore w:val="0"/>
        <w:widowControl w:val="0"/>
        <w:kinsoku/>
        <w:wordWrap/>
        <w:overflowPunct/>
        <w:topLinePunct w:val="0"/>
        <w:autoSpaceDE w:val="0"/>
        <w:autoSpaceDN w:val="0"/>
        <w:bidi w:val="0"/>
        <w:adjustRightInd w:val="0"/>
        <w:snapToGrid/>
        <w:spacing w:line="240" w:lineRule="auto"/>
        <w:ind w:firstLine="0"/>
        <w:textAlignment w:val="auto"/>
        <w:rPr>
          <w:rFonts w:hint="default" w:ascii="Times New Roman" w:hAnsi="Times New Roman" w:eastAsia="宋体" w:cs="Times New Roman"/>
          <w:color w:val="auto"/>
          <w:highlight w:val="none"/>
        </w:rPr>
      </w:pPr>
    </w:p>
    <w:p w14:paraId="3109285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（2）废水</w:t>
      </w:r>
    </w:p>
    <w:p w14:paraId="51332B76">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本项目不设施工营地，施工人员租住于当地农户，施工期生活污水主要依托当地现有生活污水处理系统，运营期无污废水排放。</w:t>
      </w:r>
    </w:p>
    <w:p w14:paraId="159148AC">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（3）噪声</w:t>
      </w:r>
    </w:p>
    <w:p w14:paraId="54EBFF8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施工期噪声执行《建筑施工场界环境噪声排放标准》（GB12523-2011）标准，详见表1.7-</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w:t>
      </w:r>
    </w:p>
    <w:p w14:paraId="73BFF668">
      <w:pPr>
        <w:pStyle w:val="58"/>
        <w:rPr>
          <w:rFonts w:hint="default" w:ascii="Times New Roman" w:hAnsi="Times New Roman" w:eastAsia="宋体" w:cs="Times New Roman"/>
          <w:color w:val="auto"/>
        </w:rPr>
      </w:pPr>
    </w:p>
    <w:p w14:paraId="1F91E9CE">
      <w:pPr>
        <w:pStyle w:val="58"/>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表1.7-</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 xml:space="preserve"> 建筑施工场界环境噪声排放标准         </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单位：dB</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2684"/>
        <w:gridCol w:w="2684"/>
      </w:tblGrid>
      <w:tr w14:paraId="76BF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8" w:type="pct"/>
            <w:noWrap w:val="0"/>
            <w:vAlign w:val="center"/>
          </w:tcPr>
          <w:p w14:paraId="4842589E">
            <w:pPr>
              <w:adjustRightInd w:val="0"/>
              <w:snapToGrid w:val="0"/>
              <w:ind w:firstLine="44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时段</w:t>
            </w:r>
          </w:p>
        </w:tc>
        <w:tc>
          <w:tcPr>
            <w:tcW w:w="1500" w:type="pct"/>
            <w:noWrap w:val="0"/>
            <w:vAlign w:val="center"/>
          </w:tcPr>
          <w:p w14:paraId="794AF95C">
            <w:pPr>
              <w:adjustRightInd w:val="0"/>
              <w:snapToGrid w:val="0"/>
              <w:ind w:firstLine="44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昼间</w:t>
            </w:r>
          </w:p>
        </w:tc>
        <w:tc>
          <w:tcPr>
            <w:tcW w:w="1500" w:type="pct"/>
            <w:noWrap w:val="0"/>
            <w:vAlign w:val="center"/>
          </w:tcPr>
          <w:p w14:paraId="5658DF3C">
            <w:pPr>
              <w:adjustRightInd w:val="0"/>
              <w:snapToGrid w:val="0"/>
              <w:ind w:firstLine="44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夜间</w:t>
            </w:r>
          </w:p>
        </w:tc>
      </w:tr>
      <w:tr w14:paraId="517A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8" w:type="pct"/>
            <w:noWrap w:val="0"/>
            <w:vAlign w:val="center"/>
          </w:tcPr>
          <w:p w14:paraId="68217A2A">
            <w:pPr>
              <w:adjustRightInd w:val="0"/>
              <w:snapToGrid w:val="0"/>
              <w:spacing w:line="460" w:lineRule="exact"/>
              <w:ind w:firstLine="44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标准限值</w:t>
            </w:r>
          </w:p>
        </w:tc>
        <w:tc>
          <w:tcPr>
            <w:tcW w:w="1500" w:type="pct"/>
            <w:noWrap w:val="0"/>
            <w:vAlign w:val="center"/>
          </w:tcPr>
          <w:p w14:paraId="13FF13E1">
            <w:pPr>
              <w:adjustRightInd w:val="0"/>
              <w:snapToGrid w:val="0"/>
              <w:spacing w:line="460" w:lineRule="exact"/>
              <w:ind w:firstLine="44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70</w:t>
            </w:r>
          </w:p>
        </w:tc>
        <w:tc>
          <w:tcPr>
            <w:tcW w:w="1500" w:type="pct"/>
            <w:noWrap w:val="0"/>
            <w:vAlign w:val="center"/>
          </w:tcPr>
          <w:p w14:paraId="290E6226">
            <w:pPr>
              <w:adjustRightInd w:val="0"/>
              <w:snapToGrid w:val="0"/>
              <w:spacing w:line="460" w:lineRule="exact"/>
              <w:ind w:firstLine="44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55</w:t>
            </w:r>
          </w:p>
        </w:tc>
      </w:tr>
    </w:tbl>
    <w:p w14:paraId="09DABA63">
      <w:pPr>
        <w:pStyle w:val="58"/>
        <w:rPr>
          <w:rFonts w:hint="default" w:ascii="Times New Roman" w:hAnsi="Times New Roman" w:eastAsia="宋体" w:cs="Times New Roman"/>
          <w:color w:val="auto"/>
        </w:rPr>
      </w:pPr>
    </w:p>
    <w:p w14:paraId="6277E68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本项目运营期无噪声排放。</w:t>
      </w:r>
    </w:p>
    <w:p w14:paraId="42025C9D">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（4）固体废物</w:t>
      </w:r>
    </w:p>
    <w:p w14:paraId="18B5563C">
      <w:pPr>
        <w:pStyle w:val="93"/>
        <w:ind w:firstLine="520"/>
        <w:rPr>
          <w:rFonts w:hint="default" w:ascii="Times New Roman" w:hAnsi="Times New Roman" w:eastAsia="宋体" w:cs="Times New Roman"/>
          <w:color w:val="auto"/>
        </w:rPr>
      </w:pPr>
      <w:r>
        <w:rPr>
          <w:rStyle w:val="96"/>
          <w:rFonts w:hint="default" w:ascii="Times New Roman" w:hAnsi="Times New Roman" w:eastAsia="宋体" w:cs="Times New Roman"/>
          <w:color w:val="auto"/>
        </w:rPr>
        <w:t>一般工业固体废物执行《一般工业固体废物贮存和填埋污染控制标准》（GB 18599-2020）。</w:t>
      </w:r>
    </w:p>
    <w:p w14:paraId="0834C45E">
      <w:pPr>
        <w:adjustRightInd w:val="0"/>
        <w:snapToGrid w:val="0"/>
        <w:spacing w:line="460" w:lineRule="exact"/>
        <w:ind w:firstLine="522" w:firstLineChars="200"/>
        <w:outlineLvl w:val="1"/>
        <w:rPr>
          <w:rFonts w:hint="default" w:ascii="Times New Roman" w:hAnsi="Times New Roman" w:eastAsia="宋体" w:cs="Times New Roman"/>
          <w:b/>
          <w:color w:val="auto"/>
          <w:sz w:val="26"/>
          <w:szCs w:val="26"/>
        </w:rPr>
      </w:pPr>
      <w:bookmarkStart w:id="55" w:name="_Toc496535113"/>
      <w:bookmarkStart w:id="56" w:name="_Toc26525"/>
      <w:bookmarkStart w:id="57" w:name="_Toc45551064"/>
      <w:bookmarkStart w:id="58" w:name="_Toc22107"/>
      <w:bookmarkStart w:id="59" w:name="_Toc60144378"/>
      <w:r>
        <w:rPr>
          <w:rFonts w:hint="default" w:ascii="Times New Roman" w:hAnsi="Times New Roman" w:eastAsia="宋体" w:cs="Times New Roman"/>
          <w:b/>
          <w:color w:val="auto"/>
          <w:sz w:val="26"/>
          <w:szCs w:val="26"/>
        </w:rPr>
        <w:t>1.8 评价等级</w:t>
      </w:r>
      <w:bookmarkEnd w:id="55"/>
      <w:bookmarkEnd w:id="56"/>
      <w:bookmarkEnd w:id="57"/>
      <w:bookmarkEnd w:id="58"/>
      <w:bookmarkEnd w:id="59"/>
    </w:p>
    <w:p w14:paraId="169A7430">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1.8.</w:t>
      </w:r>
      <w:r>
        <w:rPr>
          <w:rFonts w:hint="default" w:ascii="Times New Roman" w:hAnsi="Times New Roman" w:eastAsia="宋体" w:cs="Times New Roman"/>
          <w:b/>
          <w:color w:val="auto"/>
          <w:sz w:val="26"/>
          <w:szCs w:val="26"/>
          <w:lang w:val="en-US" w:eastAsia="zh-CN"/>
        </w:rPr>
        <w:t>1</w:t>
      </w:r>
      <w:r>
        <w:rPr>
          <w:rFonts w:hint="default" w:ascii="Times New Roman" w:hAnsi="Times New Roman" w:eastAsia="宋体" w:cs="Times New Roman"/>
          <w:b/>
          <w:color w:val="auto"/>
          <w:sz w:val="26"/>
          <w:szCs w:val="26"/>
        </w:rPr>
        <w:t xml:space="preserve"> 环境空气</w:t>
      </w:r>
    </w:p>
    <w:p w14:paraId="0CE2CB2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本项目施工期环境空气影响为施工机械、施工车辆的尾气，扬尘，少量焊接烟尘以及点火放空废气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运营期正常工况下无工艺废气。按照《环境影响评价技术导则 大气环境》（HJ2.2-2018）中关于“评</w:t>
      </w:r>
      <w:r>
        <w:rPr>
          <w:rFonts w:hint="default" w:ascii="Times New Roman" w:hAnsi="Times New Roman" w:eastAsia="宋体" w:cs="Times New Roman"/>
          <w:color w:val="auto"/>
          <w:lang w:val="en-US" w:eastAsia="zh-CN"/>
        </w:rPr>
        <w:t>价</w:t>
      </w:r>
      <w:r>
        <w:rPr>
          <w:rFonts w:hint="default" w:ascii="Times New Roman" w:hAnsi="Times New Roman" w:eastAsia="宋体" w:cs="Times New Roman"/>
          <w:color w:val="auto"/>
        </w:rPr>
        <w:t>工作等级的确定”的相关规定，确定本次大气环境评价等级为三级。</w:t>
      </w:r>
    </w:p>
    <w:p w14:paraId="20C02F6B">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1.8.</w:t>
      </w:r>
      <w:r>
        <w:rPr>
          <w:rFonts w:hint="default" w:ascii="Times New Roman" w:hAnsi="Times New Roman" w:eastAsia="宋体" w:cs="Times New Roman"/>
          <w:b/>
          <w:color w:val="auto"/>
          <w:sz w:val="26"/>
          <w:szCs w:val="26"/>
          <w:lang w:val="en-US" w:eastAsia="zh-CN"/>
        </w:rPr>
        <w:t>2</w:t>
      </w:r>
      <w:r>
        <w:rPr>
          <w:rFonts w:hint="default" w:ascii="Times New Roman" w:hAnsi="Times New Roman" w:eastAsia="宋体" w:cs="Times New Roman"/>
          <w:b/>
          <w:color w:val="auto"/>
          <w:sz w:val="26"/>
          <w:szCs w:val="26"/>
        </w:rPr>
        <w:t xml:space="preserve"> 地表水环境</w:t>
      </w:r>
    </w:p>
    <w:p w14:paraId="6608C611">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根据导则中关于评价项目分级判据的规定及工程分析，项目施工期污废水均得到妥善处理，不外排。依据《环境影响评价技术导则 地表水环境》（HJ2.3-2018），地表水环境影响评价等级定为三级B。</w:t>
      </w:r>
    </w:p>
    <w:p w14:paraId="5634228F">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1.8.</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 xml:space="preserve"> 地下水环境</w:t>
      </w:r>
    </w:p>
    <w:p w14:paraId="16D54C1C">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本项目根据《环境影响评价技术导则 地下水环境》（HJ610-2016）的等级划分标准，在进行工程分析和水文地质勘查的基础上，按照项目的分类和地下水敏感性，并结合建设项目场地的水文地质条件、污染物数量、污染物类别等指标特征，对本项目地下水环境影响评价等级进行了划分。</w:t>
      </w:r>
    </w:p>
    <w:p w14:paraId="4BF4345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（1）建设项目行业分类</w:t>
      </w:r>
    </w:p>
    <w:p w14:paraId="17F4A44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依据《环境影响评价技术导则 地下水环境》（HJ610-2016）附录A，本项目属于F：石油 天然气（41、石油、天然气、成品油管线</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不含城市天然气管线</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）。因此，本项目按照Ⅲ类建设项目进行评价。</w:t>
      </w:r>
    </w:p>
    <w:p w14:paraId="4AD00A7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（2）地下水环境影响评价工作等级</w:t>
      </w:r>
    </w:p>
    <w:p w14:paraId="6E305743">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通过现场的调查结果和收集的相关资料表明，项目建设场地不在任何地下水集中式饮用水源保护区内，周边零星分布有分散式饮用水水源（水井）。通过查询地下水环境影响评价工作等级分级表（表1.8-1）可知，本项目所在地区地下水环境敏感程度属于“较敏感”程度。</w:t>
      </w:r>
    </w:p>
    <w:p w14:paraId="768A292D">
      <w:pPr>
        <w:pStyle w:val="58"/>
        <w:rPr>
          <w:rFonts w:hint="default" w:ascii="Times New Roman" w:hAnsi="Times New Roman" w:eastAsia="宋体" w:cs="Times New Roman"/>
          <w:color w:val="auto"/>
        </w:rPr>
      </w:pPr>
    </w:p>
    <w:p w14:paraId="2D6BF97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表1.8-1  地下水环境敏感程度分级表</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68"/>
        <w:gridCol w:w="7774"/>
      </w:tblGrid>
      <w:tr w14:paraId="7314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04" w:type="pct"/>
            <w:noWrap w:val="0"/>
            <w:vAlign w:val="center"/>
          </w:tcPr>
          <w:p w14:paraId="4706AA4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敏感程度</w:t>
            </w:r>
          </w:p>
        </w:tc>
        <w:tc>
          <w:tcPr>
            <w:tcW w:w="4395" w:type="pct"/>
            <w:noWrap w:val="0"/>
            <w:vAlign w:val="center"/>
          </w:tcPr>
          <w:p w14:paraId="0DC2D39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地下水环境敏感程度分级表</w:t>
            </w:r>
          </w:p>
        </w:tc>
      </w:tr>
      <w:tr w14:paraId="4E14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04" w:type="pct"/>
            <w:noWrap w:val="0"/>
            <w:vAlign w:val="center"/>
          </w:tcPr>
          <w:p w14:paraId="79D94B6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敏感</w:t>
            </w:r>
          </w:p>
        </w:tc>
        <w:tc>
          <w:tcPr>
            <w:tcW w:w="4395" w:type="pct"/>
            <w:noWrap w:val="0"/>
            <w:vAlign w:val="center"/>
          </w:tcPr>
          <w:p w14:paraId="5D8F6502">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4587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04" w:type="pct"/>
            <w:noWrap w:val="0"/>
            <w:vAlign w:val="center"/>
          </w:tcPr>
          <w:p w14:paraId="27C1BF6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较敏感</w:t>
            </w:r>
          </w:p>
          <w:p w14:paraId="163162F1">
            <w:pPr>
              <w:pStyle w:val="60"/>
              <w:rPr>
                <w:rFonts w:hint="default" w:ascii="Times New Roman" w:hAnsi="Times New Roman" w:eastAsia="宋体" w:cs="Times New Roman"/>
                <w:color w:val="auto"/>
              </w:rPr>
            </w:pP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shd w:val="clear" w:fill="FFFFFF"/>
              </w:rPr>
              <w:sym w:font="Wingdings 2" w:char="F050"/>
            </w:r>
            <w:r>
              <w:rPr>
                <w:rFonts w:hint="default" w:ascii="Times New Roman" w:hAnsi="Times New Roman" w:eastAsia="宋体" w:cs="Times New Roman"/>
                <w:color w:val="auto"/>
              </w:rPr>
              <w:t>）</w:t>
            </w:r>
          </w:p>
        </w:tc>
        <w:tc>
          <w:tcPr>
            <w:tcW w:w="4395" w:type="pct"/>
            <w:noWrap w:val="0"/>
            <w:vAlign w:val="center"/>
          </w:tcPr>
          <w:p w14:paraId="1E67F179">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集中式饮用水水源（包括已建成的在用、备用、应急水源，在建和规划的饮用水水源）准保护区以外的补给径流区；未划定准保护区的</w:t>
            </w:r>
            <w:r>
              <w:rPr>
                <w:rFonts w:hint="default" w:ascii="Times New Roman" w:hAnsi="Times New Roman" w:eastAsia="宋体" w:cs="Times New Roman"/>
                <w:color w:val="auto"/>
                <w:shd w:val="clear" w:fill="FFFFFF"/>
              </w:rPr>
              <w:t>集中水</w:t>
            </w:r>
            <w:r>
              <w:rPr>
                <w:rFonts w:hint="default" w:ascii="Times New Roman" w:hAnsi="Times New Roman" w:eastAsia="宋体" w:cs="Times New Roman"/>
                <w:color w:val="auto"/>
              </w:rPr>
              <w:t>式饮用水水源，其保护区以外的补给径流区；</w:t>
            </w:r>
            <w:r>
              <w:rPr>
                <w:rFonts w:hint="default" w:ascii="Times New Roman" w:hAnsi="Times New Roman" w:eastAsia="宋体" w:cs="Times New Roman"/>
                <w:b/>
                <w:bCs/>
                <w:color w:val="auto"/>
              </w:rPr>
              <w:t>分散式饮用水水源地</w:t>
            </w:r>
            <w:r>
              <w:rPr>
                <w:rFonts w:hint="default" w:ascii="Times New Roman" w:hAnsi="Times New Roman" w:eastAsia="宋体" w:cs="Times New Roman"/>
                <w:color w:val="auto"/>
              </w:rPr>
              <w:t>，特殊</w:t>
            </w:r>
            <w:r>
              <w:rPr>
                <w:rFonts w:hint="default" w:ascii="Times New Roman" w:hAnsi="Times New Roman" w:eastAsia="宋体" w:cs="Times New Roman"/>
                <w:color w:val="auto"/>
                <w:shd w:val="clear" w:fill="FFFFFF"/>
              </w:rPr>
              <w:t>地下水水资源</w:t>
            </w:r>
            <w:r>
              <w:rPr>
                <w:rFonts w:hint="default" w:ascii="Times New Roman" w:hAnsi="Times New Roman" w:eastAsia="宋体" w:cs="Times New Roman"/>
                <w:color w:val="auto"/>
              </w:rPr>
              <w:t>（如矿泉水、温泉等）保护区以外的分布区等其他未列入上述敏感分级的环境敏感区。</w:t>
            </w:r>
          </w:p>
        </w:tc>
      </w:tr>
      <w:tr w14:paraId="2F12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04" w:type="pct"/>
            <w:noWrap w:val="0"/>
            <w:vAlign w:val="center"/>
          </w:tcPr>
          <w:p w14:paraId="3934D6CF">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不敏感</w:t>
            </w:r>
          </w:p>
        </w:tc>
        <w:tc>
          <w:tcPr>
            <w:tcW w:w="4395" w:type="pct"/>
            <w:noWrap w:val="0"/>
            <w:vAlign w:val="center"/>
          </w:tcPr>
          <w:p w14:paraId="3ED5249C">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上述地区之外的其他地区。</w:t>
            </w:r>
          </w:p>
        </w:tc>
      </w:tr>
      <w:tr w14:paraId="1AF1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5000" w:type="pct"/>
            <w:gridSpan w:val="2"/>
            <w:noWrap w:val="0"/>
            <w:vAlign w:val="center"/>
          </w:tcPr>
          <w:p w14:paraId="110A32EF">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注：a“环境敏感区”是指《建设项目环境影响评价分类管理名录》中所界定的涉及地下水的环境敏感区。</w:t>
            </w:r>
          </w:p>
        </w:tc>
      </w:tr>
    </w:tbl>
    <w:p w14:paraId="65AFF837">
      <w:pPr>
        <w:pStyle w:val="58"/>
        <w:rPr>
          <w:rFonts w:hint="default" w:ascii="Times New Roman" w:hAnsi="Times New Roman" w:eastAsia="宋体" w:cs="Times New Roman"/>
          <w:color w:val="auto"/>
        </w:rPr>
      </w:pPr>
    </w:p>
    <w:p w14:paraId="4BA7D42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表1.</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-2 建设项目评价工作等级分级表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5"/>
        <w:gridCol w:w="2203"/>
        <w:gridCol w:w="2507"/>
        <w:gridCol w:w="2321"/>
      </w:tblGrid>
      <w:tr w14:paraId="74B6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tcBorders>
              <w:top w:val="single" w:color="auto" w:sz="4" w:space="0"/>
              <w:left w:val="single" w:color="auto" w:sz="4" w:space="0"/>
              <w:bottom w:val="single" w:color="auto" w:sz="4" w:space="0"/>
              <w:right w:val="single" w:color="auto" w:sz="4" w:space="0"/>
            </w:tcBorders>
            <w:noWrap w:val="0"/>
            <w:vAlign w:val="center"/>
          </w:tcPr>
          <w:p w14:paraId="47D42861">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敏感程度</w:t>
            </w:r>
          </w:p>
        </w:tc>
        <w:tc>
          <w:tcPr>
            <w:tcW w:w="1231" w:type="pct"/>
            <w:tcBorders>
              <w:top w:val="single" w:color="auto" w:sz="4" w:space="0"/>
              <w:left w:val="single" w:color="auto" w:sz="4" w:space="0"/>
              <w:bottom w:val="single" w:color="auto" w:sz="4" w:space="0"/>
              <w:right w:val="single" w:color="auto" w:sz="4" w:space="0"/>
            </w:tcBorders>
            <w:noWrap w:val="0"/>
            <w:vAlign w:val="center"/>
          </w:tcPr>
          <w:p w14:paraId="6D295872">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Ⅰ类项目</w:t>
            </w:r>
          </w:p>
        </w:tc>
        <w:tc>
          <w:tcPr>
            <w:tcW w:w="1401" w:type="pct"/>
            <w:tcBorders>
              <w:top w:val="single" w:color="auto" w:sz="4" w:space="0"/>
              <w:left w:val="single" w:color="auto" w:sz="4" w:space="0"/>
              <w:bottom w:val="single" w:color="auto" w:sz="4" w:space="0"/>
              <w:right w:val="single" w:color="auto" w:sz="4" w:space="0"/>
            </w:tcBorders>
            <w:noWrap w:val="0"/>
            <w:vAlign w:val="center"/>
          </w:tcPr>
          <w:p w14:paraId="6565992C">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Ⅱ类项目</w:t>
            </w:r>
          </w:p>
        </w:tc>
        <w:tc>
          <w:tcPr>
            <w:tcW w:w="1297" w:type="pct"/>
            <w:tcBorders>
              <w:top w:val="single" w:color="auto" w:sz="4" w:space="0"/>
              <w:left w:val="single" w:color="auto" w:sz="4" w:space="0"/>
              <w:bottom w:val="single" w:color="auto" w:sz="4" w:space="0"/>
              <w:right w:val="single" w:color="auto" w:sz="4" w:space="0"/>
            </w:tcBorders>
            <w:noWrap w:val="0"/>
            <w:vAlign w:val="center"/>
          </w:tcPr>
          <w:p w14:paraId="62212B3D">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Ⅲ类项目</w:t>
            </w:r>
          </w:p>
        </w:tc>
      </w:tr>
      <w:tr w14:paraId="7F5E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tcBorders>
              <w:top w:val="single" w:color="auto" w:sz="4" w:space="0"/>
              <w:left w:val="single" w:color="auto" w:sz="4" w:space="0"/>
              <w:bottom w:val="single" w:color="auto" w:sz="4" w:space="0"/>
              <w:right w:val="single" w:color="auto" w:sz="4" w:space="0"/>
            </w:tcBorders>
            <w:noWrap w:val="0"/>
            <w:vAlign w:val="center"/>
          </w:tcPr>
          <w:p w14:paraId="023DECED">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敏感</w:t>
            </w:r>
          </w:p>
        </w:tc>
        <w:tc>
          <w:tcPr>
            <w:tcW w:w="1231" w:type="pct"/>
            <w:tcBorders>
              <w:top w:val="single" w:color="auto" w:sz="4" w:space="0"/>
              <w:left w:val="single" w:color="auto" w:sz="4" w:space="0"/>
              <w:bottom w:val="single" w:color="auto" w:sz="4" w:space="0"/>
              <w:right w:val="single" w:color="auto" w:sz="4" w:space="0"/>
            </w:tcBorders>
            <w:noWrap w:val="0"/>
            <w:vAlign w:val="center"/>
          </w:tcPr>
          <w:p w14:paraId="014C6417">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一</w:t>
            </w:r>
          </w:p>
        </w:tc>
        <w:tc>
          <w:tcPr>
            <w:tcW w:w="1401" w:type="pct"/>
            <w:tcBorders>
              <w:top w:val="single" w:color="auto" w:sz="4" w:space="0"/>
              <w:left w:val="single" w:color="auto" w:sz="4" w:space="0"/>
              <w:bottom w:val="single" w:color="auto" w:sz="4" w:space="0"/>
              <w:right w:val="single" w:color="auto" w:sz="4" w:space="0"/>
            </w:tcBorders>
            <w:noWrap w:val="0"/>
            <w:vAlign w:val="center"/>
          </w:tcPr>
          <w:p w14:paraId="3BCE10D1">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一</w:t>
            </w:r>
          </w:p>
        </w:tc>
        <w:tc>
          <w:tcPr>
            <w:tcW w:w="1297" w:type="pct"/>
            <w:tcBorders>
              <w:top w:val="single" w:color="auto" w:sz="4" w:space="0"/>
              <w:left w:val="single" w:color="auto" w:sz="4" w:space="0"/>
              <w:bottom w:val="single" w:color="auto" w:sz="4" w:space="0"/>
              <w:right w:val="single" w:color="auto" w:sz="4" w:space="0"/>
            </w:tcBorders>
            <w:noWrap w:val="0"/>
            <w:vAlign w:val="center"/>
          </w:tcPr>
          <w:p w14:paraId="7CE14621">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二</w:t>
            </w:r>
          </w:p>
        </w:tc>
      </w:tr>
      <w:tr w14:paraId="5E64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0C4C8C">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较敏感</w:t>
            </w:r>
          </w:p>
        </w:tc>
        <w:tc>
          <w:tcPr>
            <w:tcW w:w="123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D8EF81">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一</w:t>
            </w:r>
          </w:p>
        </w:tc>
        <w:tc>
          <w:tcPr>
            <w:tcW w:w="14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0445DF">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二</w:t>
            </w:r>
          </w:p>
        </w:tc>
        <w:tc>
          <w:tcPr>
            <w:tcW w:w="1297" w:type="pct"/>
            <w:tcBorders>
              <w:top w:val="single" w:color="auto" w:sz="4" w:space="0"/>
              <w:left w:val="single" w:color="auto" w:sz="4" w:space="0"/>
              <w:bottom w:val="single" w:color="auto" w:sz="4" w:space="0"/>
              <w:right w:val="single" w:color="auto" w:sz="4" w:space="0"/>
            </w:tcBorders>
            <w:shd w:val="clear" w:color="auto" w:fill="D7D7D7"/>
            <w:noWrap w:val="0"/>
            <w:vAlign w:val="center"/>
          </w:tcPr>
          <w:p w14:paraId="7002D303">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三（√）</w:t>
            </w:r>
          </w:p>
        </w:tc>
      </w:tr>
      <w:tr w14:paraId="06EA9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tcBorders>
              <w:top w:val="single" w:color="auto" w:sz="4" w:space="0"/>
              <w:left w:val="single" w:color="auto" w:sz="4" w:space="0"/>
              <w:bottom w:val="single" w:color="auto" w:sz="4" w:space="0"/>
              <w:right w:val="single" w:color="auto" w:sz="4" w:space="0"/>
            </w:tcBorders>
            <w:noWrap w:val="0"/>
            <w:vAlign w:val="center"/>
          </w:tcPr>
          <w:p w14:paraId="4AD5E7EA">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不敏感</w:t>
            </w:r>
          </w:p>
        </w:tc>
        <w:tc>
          <w:tcPr>
            <w:tcW w:w="1231" w:type="pct"/>
            <w:tcBorders>
              <w:top w:val="single" w:color="auto" w:sz="4" w:space="0"/>
              <w:left w:val="single" w:color="auto" w:sz="4" w:space="0"/>
              <w:bottom w:val="single" w:color="auto" w:sz="4" w:space="0"/>
              <w:right w:val="single" w:color="auto" w:sz="4" w:space="0"/>
            </w:tcBorders>
            <w:noWrap w:val="0"/>
            <w:vAlign w:val="center"/>
          </w:tcPr>
          <w:p w14:paraId="430A4D7A">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二</w:t>
            </w:r>
          </w:p>
        </w:tc>
        <w:tc>
          <w:tcPr>
            <w:tcW w:w="1401" w:type="pct"/>
            <w:tcBorders>
              <w:top w:val="single" w:color="auto" w:sz="4" w:space="0"/>
              <w:left w:val="single" w:color="auto" w:sz="4" w:space="0"/>
              <w:bottom w:val="single" w:color="auto" w:sz="4" w:space="0"/>
              <w:right w:val="single" w:color="auto" w:sz="4" w:space="0"/>
            </w:tcBorders>
            <w:noWrap w:val="0"/>
            <w:vAlign w:val="center"/>
          </w:tcPr>
          <w:p w14:paraId="5EF832CC">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三</w:t>
            </w:r>
          </w:p>
        </w:tc>
        <w:tc>
          <w:tcPr>
            <w:tcW w:w="1297" w:type="pct"/>
            <w:tcBorders>
              <w:top w:val="single" w:color="auto" w:sz="4" w:space="0"/>
              <w:left w:val="single" w:color="auto" w:sz="4" w:space="0"/>
              <w:bottom w:val="single" w:color="auto" w:sz="4" w:space="0"/>
              <w:right w:val="single" w:color="auto" w:sz="4" w:space="0"/>
            </w:tcBorders>
            <w:noWrap w:val="0"/>
            <w:vAlign w:val="center"/>
          </w:tcPr>
          <w:p w14:paraId="69F064D8">
            <w:pPr>
              <w:autoSpaceDE w:val="0"/>
              <w:autoSpaceDN w:val="0"/>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2"/>
                <w:szCs w:val="21"/>
                <w:lang w:bidi="ar"/>
              </w:rPr>
              <w:t>三</w:t>
            </w:r>
          </w:p>
        </w:tc>
      </w:tr>
    </w:tbl>
    <w:p w14:paraId="2A6C1F40">
      <w:pPr>
        <w:pStyle w:val="58"/>
        <w:rPr>
          <w:rFonts w:hint="default" w:ascii="Times New Roman" w:hAnsi="Times New Roman" w:eastAsia="宋体" w:cs="Times New Roman"/>
          <w:color w:val="auto"/>
        </w:rPr>
      </w:pPr>
    </w:p>
    <w:p w14:paraId="1F585C37">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bidi="ar"/>
        </w:rPr>
        <w:t>综上所述，本项目环境影响评价工作等级应划分为“三级”评价。</w:t>
      </w:r>
    </w:p>
    <w:p w14:paraId="0F8574FB">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1.8.</w:t>
      </w:r>
      <w:r>
        <w:rPr>
          <w:rFonts w:hint="default" w:ascii="Times New Roman" w:hAnsi="Times New Roman" w:eastAsia="宋体" w:cs="Times New Roman"/>
          <w:b/>
          <w:color w:val="auto"/>
          <w:sz w:val="26"/>
          <w:szCs w:val="26"/>
          <w:lang w:val="en-US" w:eastAsia="zh-CN"/>
        </w:rPr>
        <w:t>4</w:t>
      </w:r>
      <w:r>
        <w:rPr>
          <w:rFonts w:hint="default" w:ascii="Times New Roman" w:hAnsi="Times New Roman" w:eastAsia="宋体" w:cs="Times New Roman"/>
          <w:b/>
          <w:color w:val="auto"/>
          <w:sz w:val="26"/>
          <w:szCs w:val="26"/>
        </w:rPr>
        <w:t xml:space="preserve"> 声环境</w:t>
      </w:r>
    </w:p>
    <w:p w14:paraId="328369A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本项目沿线所处的声环境功能区以2类区为主，项目为</w:t>
      </w:r>
      <w:r>
        <w:rPr>
          <w:rFonts w:hint="default" w:ascii="Times New Roman" w:hAnsi="Times New Roman" w:eastAsia="宋体" w:cs="Times New Roman"/>
          <w:color w:val="auto"/>
          <w:lang w:eastAsia="zh-CN"/>
        </w:rPr>
        <w:t>天然气管道改建工程</w:t>
      </w:r>
      <w:r>
        <w:rPr>
          <w:rFonts w:hint="default" w:ascii="Times New Roman" w:hAnsi="Times New Roman" w:eastAsia="宋体" w:cs="Times New Roman"/>
          <w:color w:val="auto"/>
        </w:rPr>
        <w:t>，运营期无噪声，根据《环境影响评价技术导则 声环境》（HJ2.4-2021）中声环境影响评价工作等级划分的基本原则，本次声环境影响评价级别定为二级。</w:t>
      </w:r>
    </w:p>
    <w:p w14:paraId="4A012143">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1.8.</w:t>
      </w:r>
      <w:r>
        <w:rPr>
          <w:rFonts w:hint="default" w:ascii="Times New Roman" w:hAnsi="Times New Roman" w:eastAsia="宋体" w:cs="Times New Roman"/>
          <w:b/>
          <w:color w:val="auto"/>
          <w:sz w:val="26"/>
          <w:szCs w:val="26"/>
          <w:lang w:val="en-US" w:eastAsia="zh-CN"/>
        </w:rPr>
        <w:t>5</w:t>
      </w:r>
      <w:r>
        <w:rPr>
          <w:rFonts w:hint="default" w:ascii="Times New Roman" w:hAnsi="Times New Roman" w:eastAsia="宋体" w:cs="Times New Roman"/>
          <w:b/>
          <w:color w:val="auto"/>
          <w:sz w:val="26"/>
          <w:szCs w:val="26"/>
        </w:rPr>
        <w:t xml:space="preserve"> 生态环境</w:t>
      </w:r>
    </w:p>
    <w:p w14:paraId="2A006567">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迁改</w:t>
      </w:r>
      <w:r>
        <w:rPr>
          <w:rFonts w:hint="default" w:ascii="Times New Roman" w:hAnsi="Times New Roman" w:eastAsia="宋体" w:cs="Times New Roman"/>
          <w:color w:val="auto"/>
        </w:rPr>
        <w:t>管道长度为</w:t>
      </w:r>
      <w:r>
        <w:rPr>
          <w:rFonts w:hint="default" w:ascii="Times New Roman" w:hAnsi="Times New Roman" w:eastAsia="宋体" w:cs="Times New Roman"/>
          <w:color w:val="auto"/>
          <w:lang w:val="en-US" w:eastAsia="zh-CN"/>
        </w:rPr>
        <w:t>1451.9</w:t>
      </w:r>
      <w:r>
        <w:rPr>
          <w:rFonts w:hint="default" w:ascii="Times New Roman" w:hAnsi="Times New Roman" w:eastAsia="宋体" w:cs="Times New Roman"/>
          <w:color w:val="auto"/>
        </w:rPr>
        <w:t>m，无永久占地，不会造成区域土地利用类型发生明显改变</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根据《环境影响评价技术导则生态影响》（HJ19-2022）对生态环境评价等级的划分规定，本项目不涉及法定生态保护区域、重要生境以及其他具有重要生态功能、对保护生物多样性具有重要意义的区域等</w:t>
      </w:r>
      <w:r>
        <w:rPr>
          <w:rFonts w:hint="default" w:ascii="Times New Roman" w:hAnsi="Times New Roman" w:eastAsia="宋体" w:cs="Times New Roman"/>
          <w:color w:val="auto"/>
          <w:lang w:eastAsia="zh-CN"/>
        </w:rPr>
        <w:t>。判定</w:t>
      </w:r>
      <w:r>
        <w:rPr>
          <w:rFonts w:hint="default" w:ascii="Times New Roman" w:hAnsi="Times New Roman" w:eastAsia="宋体" w:cs="Times New Roman"/>
          <w:color w:val="auto"/>
          <w:lang w:val="en-US" w:eastAsia="zh-CN"/>
        </w:rPr>
        <w:t>情况详见下</w:t>
      </w:r>
      <w:r>
        <w:rPr>
          <w:rFonts w:hint="default" w:ascii="Times New Roman" w:hAnsi="Times New Roman" w:eastAsia="宋体" w:cs="Times New Roman"/>
          <w:color w:val="auto"/>
          <w:lang w:eastAsia="zh-CN"/>
        </w:rPr>
        <w:t>表。</w:t>
      </w:r>
    </w:p>
    <w:p w14:paraId="418B13F1">
      <w:pPr>
        <w:pStyle w:val="88"/>
        <w:rPr>
          <w:rFonts w:hint="default" w:ascii="Times New Roman" w:hAnsi="Times New Roman" w:eastAsia="宋体" w:cs="Times New Roman"/>
          <w:color w:val="auto"/>
        </w:rPr>
      </w:pPr>
    </w:p>
    <w:p w14:paraId="73A9238F">
      <w:pPr>
        <w:pStyle w:val="85"/>
        <w:rPr>
          <w:rFonts w:hint="default" w:ascii="Times New Roman" w:hAnsi="Times New Roman" w:eastAsia="宋体" w:cs="Times New Roman"/>
          <w:color w:val="auto"/>
        </w:rPr>
      </w:pPr>
      <w:r>
        <w:rPr>
          <w:rFonts w:hint="default" w:ascii="Times New Roman" w:hAnsi="Times New Roman" w:eastAsia="宋体" w:cs="Times New Roman"/>
          <w:color w:val="auto"/>
        </w:rPr>
        <w:t>表1.</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rPr>
        <w:t>生态影响评价工作等级</w:t>
      </w:r>
      <w:r>
        <w:rPr>
          <w:rFonts w:hint="default" w:ascii="Times New Roman" w:hAnsi="Times New Roman" w:eastAsia="宋体" w:cs="Times New Roman"/>
          <w:color w:val="auto"/>
          <w:lang w:val="en-US" w:eastAsia="zh-CN"/>
        </w:rPr>
        <w:t>判定</w:t>
      </w:r>
      <w:r>
        <w:rPr>
          <w:rFonts w:hint="default" w:ascii="Times New Roman" w:hAnsi="Times New Roman" w:eastAsia="宋体" w:cs="Times New Roman"/>
          <w:color w:val="auto"/>
        </w:rPr>
        <w:t xml:space="preserve">表 </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402"/>
        <w:gridCol w:w="4996"/>
        <w:gridCol w:w="1708"/>
        <w:gridCol w:w="1179"/>
      </w:tblGrid>
      <w:tr w14:paraId="3DAC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91" w:type="pct"/>
            <w:gridSpan w:val="2"/>
            <w:noWrap w:val="0"/>
            <w:vAlign w:val="center"/>
          </w:tcPr>
          <w:p w14:paraId="32995ADE">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793" w:type="pct"/>
            <w:noWrap w:val="0"/>
            <w:vAlign w:val="center"/>
          </w:tcPr>
          <w:p w14:paraId="339AFC13">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导则评价等级判定原则</w:t>
            </w:r>
          </w:p>
        </w:tc>
        <w:tc>
          <w:tcPr>
            <w:tcW w:w="955" w:type="pct"/>
            <w:noWrap w:val="0"/>
            <w:vAlign w:val="center"/>
          </w:tcPr>
          <w:p w14:paraId="49020590">
            <w:pPr>
              <w:pStyle w:val="87"/>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w:t>
            </w:r>
            <w:r>
              <w:rPr>
                <w:rFonts w:hint="default" w:ascii="Times New Roman" w:hAnsi="Times New Roman" w:eastAsia="宋体" w:cs="Times New Roman"/>
                <w:color w:val="auto"/>
              </w:rPr>
              <w:t>项目概况</w:t>
            </w:r>
          </w:p>
        </w:tc>
        <w:tc>
          <w:tcPr>
            <w:tcW w:w="659" w:type="pct"/>
            <w:noWrap w:val="0"/>
            <w:vAlign w:val="center"/>
          </w:tcPr>
          <w:p w14:paraId="26ECE419">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判定结果</w:t>
            </w:r>
          </w:p>
        </w:tc>
      </w:tr>
      <w:tr w14:paraId="3F86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restart"/>
            <w:noWrap w:val="0"/>
            <w:vAlign w:val="center"/>
          </w:tcPr>
          <w:p w14:paraId="2808B7B1">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6.1.2</w:t>
            </w:r>
          </w:p>
        </w:tc>
        <w:tc>
          <w:tcPr>
            <w:tcW w:w="224" w:type="pct"/>
            <w:noWrap w:val="0"/>
            <w:vAlign w:val="center"/>
          </w:tcPr>
          <w:p w14:paraId="66CDDFE0">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a)</w:t>
            </w:r>
          </w:p>
        </w:tc>
        <w:tc>
          <w:tcPr>
            <w:tcW w:w="2793" w:type="pct"/>
            <w:noWrap w:val="0"/>
            <w:vAlign w:val="center"/>
          </w:tcPr>
          <w:p w14:paraId="10C698D0">
            <w:pPr>
              <w:pStyle w:val="87"/>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涉及国家公园、自然保护区、世界自然遗产、重要生境时，评价等级为一级</w:t>
            </w:r>
            <w:r>
              <w:rPr>
                <w:rFonts w:hint="default" w:ascii="Times New Roman" w:hAnsi="Times New Roman" w:eastAsia="宋体" w:cs="Times New Roman"/>
                <w:color w:val="auto"/>
                <w:lang w:eastAsia="zh-CN"/>
              </w:rPr>
              <w:t>；</w:t>
            </w:r>
          </w:p>
        </w:tc>
        <w:tc>
          <w:tcPr>
            <w:tcW w:w="955" w:type="pct"/>
            <w:noWrap w:val="0"/>
            <w:vAlign w:val="center"/>
          </w:tcPr>
          <w:p w14:paraId="46CB696E">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不涉及</w:t>
            </w:r>
          </w:p>
        </w:tc>
        <w:tc>
          <w:tcPr>
            <w:tcW w:w="659" w:type="pct"/>
            <w:noWrap w:val="0"/>
            <w:vAlign w:val="center"/>
          </w:tcPr>
          <w:p w14:paraId="5BDF23D3">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66D8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noWrap w:val="0"/>
            <w:vAlign w:val="center"/>
          </w:tcPr>
          <w:p w14:paraId="731773A0">
            <w:pPr>
              <w:pStyle w:val="87"/>
              <w:rPr>
                <w:rFonts w:hint="default" w:ascii="Times New Roman" w:hAnsi="Times New Roman" w:eastAsia="宋体" w:cs="Times New Roman"/>
                <w:color w:val="auto"/>
              </w:rPr>
            </w:pPr>
          </w:p>
        </w:tc>
        <w:tc>
          <w:tcPr>
            <w:tcW w:w="224" w:type="pct"/>
            <w:noWrap w:val="0"/>
            <w:vAlign w:val="center"/>
          </w:tcPr>
          <w:p w14:paraId="712DD53F">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b)</w:t>
            </w:r>
          </w:p>
        </w:tc>
        <w:tc>
          <w:tcPr>
            <w:tcW w:w="2793" w:type="pct"/>
            <w:noWrap w:val="0"/>
            <w:vAlign w:val="center"/>
          </w:tcPr>
          <w:p w14:paraId="1E86F0BE">
            <w:pPr>
              <w:pStyle w:val="87"/>
              <w:jc w:val="both"/>
              <w:rPr>
                <w:rFonts w:hint="default" w:ascii="Times New Roman" w:hAnsi="Times New Roman" w:eastAsia="宋体" w:cs="Times New Roman"/>
                <w:color w:val="auto"/>
              </w:rPr>
            </w:pPr>
            <w:r>
              <w:rPr>
                <w:rFonts w:hint="default" w:ascii="Times New Roman" w:hAnsi="Times New Roman" w:eastAsia="宋体" w:cs="Times New Roman"/>
                <w:color w:val="auto"/>
              </w:rPr>
              <w:t>涉及自然公园时，评价等级为二级；</w:t>
            </w:r>
          </w:p>
        </w:tc>
        <w:tc>
          <w:tcPr>
            <w:tcW w:w="955" w:type="pct"/>
            <w:noWrap w:val="0"/>
            <w:vAlign w:val="center"/>
          </w:tcPr>
          <w:p w14:paraId="7BDD3E0D">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不涉及</w:t>
            </w:r>
          </w:p>
        </w:tc>
        <w:tc>
          <w:tcPr>
            <w:tcW w:w="659" w:type="pct"/>
            <w:noWrap w:val="0"/>
            <w:vAlign w:val="center"/>
          </w:tcPr>
          <w:p w14:paraId="51E17AE7">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501C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noWrap w:val="0"/>
            <w:vAlign w:val="center"/>
          </w:tcPr>
          <w:p w14:paraId="4E6300B3">
            <w:pPr>
              <w:pStyle w:val="87"/>
              <w:rPr>
                <w:rFonts w:hint="default" w:ascii="Times New Roman" w:hAnsi="Times New Roman" w:eastAsia="宋体" w:cs="Times New Roman"/>
                <w:color w:val="auto"/>
              </w:rPr>
            </w:pPr>
          </w:p>
        </w:tc>
        <w:tc>
          <w:tcPr>
            <w:tcW w:w="224" w:type="pct"/>
            <w:noWrap w:val="0"/>
            <w:vAlign w:val="center"/>
          </w:tcPr>
          <w:p w14:paraId="176FAC3A">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c)</w:t>
            </w:r>
          </w:p>
        </w:tc>
        <w:tc>
          <w:tcPr>
            <w:tcW w:w="2793" w:type="pct"/>
            <w:noWrap w:val="0"/>
            <w:vAlign w:val="center"/>
          </w:tcPr>
          <w:p w14:paraId="5DA45988">
            <w:pPr>
              <w:pStyle w:val="87"/>
              <w:jc w:val="both"/>
              <w:rPr>
                <w:rFonts w:hint="default" w:ascii="Times New Roman" w:hAnsi="Times New Roman" w:eastAsia="宋体" w:cs="Times New Roman"/>
                <w:color w:val="auto"/>
              </w:rPr>
            </w:pPr>
            <w:r>
              <w:rPr>
                <w:rFonts w:hint="default" w:ascii="Times New Roman" w:hAnsi="Times New Roman" w:eastAsia="宋体" w:cs="Times New Roman"/>
                <w:color w:val="auto"/>
              </w:rPr>
              <w:t>涉及生态保护红线时，评价等级不低于二级；</w:t>
            </w:r>
          </w:p>
        </w:tc>
        <w:tc>
          <w:tcPr>
            <w:tcW w:w="955" w:type="pct"/>
            <w:noWrap w:val="0"/>
            <w:vAlign w:val="center"/>
          </w:tcPr>
          <w:p w14:paraId="01A78FF5">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不涉及</w:t>
            </w:r>
          </w:p>
        </w:tc>
        <w:tc>
          <w:tcPr>
            <w:tcW w:w="659" w:type="pct"/>
            <w:noWrap w:val="0"/>
            <w:vAlign w:val="center"/>
          </w:tcPr>
          <w:p w14:paraId="0A845102">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1593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noWrap w:val="0"/>
            <w:vAlign w:val="center"/>
          </w:tcPr>
          <w:p w14:paraId="1EDB776A">
            <w:pPr>
              <w:pStyle w:val="87"/>
              <w:rPr>
                <w:rFonts w:hint="default" w:ascii="Times New Roman" w:hAnsi="Times New Roman" w:eastAsia="宋体" w:cs="Times New Roman"/>
                <w:color w:val="auto"/>
              </w:rPr>
            </w:pPr>
          </w:p>
        </w:tc>
        <w:tc>
          <w:tcPr>
            <w:tcW w:w="224" w:type="pct"/>
            <w:noWrap w:val="0"/>
            <w:vAlign w:val="center"/>
          </w:tcPr>
          <w:p w14:paraId="2551F1A7">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d)</w:t>
            </w:r>
          </w:p>
        </w:tc>
        <w:tc>
          <w:tcPr>
            <w:tcW w:w="2793" w:type="pct"/>
            <w:noWrap w:val="0"/>
            <w:vAlign w:val="center"/>
          </w:tcPr>
          <w:p w14:paraId="15C839E8">
            <w:pPr>
              <w:pStyle w:val="87"/>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 HJ 2.3 判断属于水文要素影响型且地表水评价等级不低于二级的建设项目，生态影响评价等级不低于二级；</w:t>
            </w:r>
          </w:p>
        </w:tc>
        <w:tc>
          <w:tcPr>
            <w:tcW w:w="955" w:type="pct"/>
            <w:noWrap w:val="0"/>
            <w:vAlign w:val="center"/>
          </w:tcPr>
          <w:p w14:paraId="64F9042A">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项目不属于水文要素影响型</w:t>
            </w:r>
          </w:p>
        </w:tc>
        <w:tc>
          <w:tcPr>
            <w:tcW w:w="659" w:type="pct"/>
            <w:noWrap w:val="0"/>
            <w:vAlign w:val="center"/>
          </w:tcPr>
          <w:p w14:paraId="55D152F4">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440D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noWrap w:val="0"/>
            <w:vAlign w:val="center"/>
          </w:tcPr>
          <w:p w14:paraId="3CB85A03">
            <w:pPr>
              <w:pStyle w:val="87"/>
              <w:rPr>
                <w:rFonts w:hint="default" w:ascii="Times New Roman" w:hAnsi="Times New Roman" w:eastAsia="宋体" w:cs="Times New Roman"/>
                <w:color w:val="auto"/>
              </w:rPr>
            </w:pPr>
          </w:p>
        </w:tc>
        <w:tc>
          <w:tcPr>
            <w:tcW w:w="224" w:type="pct"/>
            <w:noWrap w:val="0"/>
            <w:vAlign w:val="center"/>
          </w:tcPr>
          <w:p w14:paraId="4141143B">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e)</w:t>
            </w:r>
          </w:p>
        </w:tc>
        <w:tc>
          <w:tcPr>
            <w:tcW w:w="2793" w:type="pct"/>
            <w:noWrap w:val="0"/>
            <w:vAlign w:val="center"/>
          </w:tcPr>
          <w:p w14:paraId="46D76214">
            <w:pPr>
              <w:pStyle w:val="87"/>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根据HJ 610、HJ 964判断地下水水位或土壤影响范围内分布有天然林、公益林、湿地等生态保护目标的建设项目，生态影响评价等级不低于二级；</w:t>
            </w:r>
          </w:p>
        </w:tc>
        <w:tc>
          <w:tcPr>
            <w:tcW w:w="955" w:type="pct"/>
            <w:noWrap w:val="0"/>
            <w:vAlign w:val="center"/>
          </w:tcPr>
          <w:p w14:paraId="234BC186">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本项目涉及天然林</w:t>
            </w:r>
          </w:p>
        </w:tc>
        <w:tc>
          <w:tcPr>
            <w:tcW w:w="659" w:type="pct"/>
            <w:noWrap w:val="0"/>
            <w:vAlign w:val="center"/>
          </w:tcPr>
          <w:p w14:paraId="010445BF">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二级</w:t>
            </w:r>
          </w:p>
        </w:tc>
      </w:tr>
      <w:tr w14:paraId="0AED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noWrap w:val="0"/>
            <w:vAlign w:val="center"/>
          </w:tcPr>
          <w:p w14:paraId="73589DD3">
            <w:pPr>
              <w:pStyle w:val="87"/>
              <w:rPr>
                <w:rFonts w:hint="default" w:ascii="Times New Roman" w:hAnsi="Times New Roman" w:eastAsia="宋体" w:cs="Times New Roman"/>
                <w:color w:val="auto"/>
              </w:rPr>
            </w:pPr>
          </w:p>
        </w:tc>
        <w:tc>
          <w:tcPr>
            <w:tcW w:w="224" w:type="pct"/>
            <w:noWrap w:val="0"/>
            <w:vAlign w:val="center"/>
          </w:tcPr>
          <w:p w14:paraId="42D93CB5">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f)</w:t>
            </w:r>
          </w:p>
        </w:tc>
        <w:tc>
          <w:tcPr>
            <w:tcW w:w="2793" w:type="pct"/>
            <w:noWrap w:val="0"/>
            <w:vAlign w:val="center"/>
          </w:tcPr>
          <w:p w14:paraId="27F70901">
            <w:pPr>
              <w:pStyle w:val="87"/>
              <w:jc w:val="both"/>
              <w:rPr>
                <w:rFonts w:hint="default" w:ascii="Times New Roman" w:hAnsi="Times New Roman" w:eastAsia="宋体" w:cs="Times New Roman"/>
                <w:color w:val="auto"/>
              </w:rPr>
            </w:pPr>
            <w:r>
              <w:rPr>
                <w:rFonts w:hint="default" w:ascii="Times New Roman" w:hAnsi="Times New Roman" w:eastAsia="宋体" w:cs="Times New Roman"/>
                <w:color w:val="auto"/>
              </w:rPr>
              <w:t>当工程占地规模大于20km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时（包括永久和临时占用陆域和水域），评价等级不低于二级；改扩建项目的占地范围以新增占地（包括陆域和水域）确定</w:t>
            </w:r>
          </w:p>
        </w:tc>
        <w:tc>
          <w:tcPr>
            <w:tcW w:w="955" w:type="pct"/>
            <w:noWrap w:val="0"/>
            <w:vAlign w:val="center"/>
          </w:tcPr>
          <w:p w14:paraId="72334FAD">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临时占地面积</w:t>
            </w:r>
            <w:r>
              <w:rPr>
                <w:rFonts w:hint="default" w:ascii="Times New Roman" w:hAnsi="Times New Roman" w:eastAsia="宋体" w:cs="Times New Roman"/>
                <w:color w:val="auto"/>
                <w:lang w:val="en-US" w:eastAsia="zh-CN"/>
              </w:rPr>
              <w:t>0.94h</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＜20km</w:t>
            </w:r>
            <w:r>
              <w:rPr>
                <w:rFonts w:hint="default" w:ascii="Times New Roman" w:hAnsi="Times New Roman" w:eastAsia="宋体" w:cs="Times New Roman"/>
                <w:color w:val="auto"/>
                <w:vertAlign w:val="superscript"/>
              </w:rPr>
              <w:t>2</w:t>
            </w:r>
          </w:p>
        </w:tc>
        <w:tc>
          <w:tcPr>
            <w:tcW w:w="659" w:type="pct"/>
            <w:noWrap w:val="0"/>
            <w:vAlign w:val="center"/>
          </w:tcPr>
          <w:p w14:paraId="7B6EE0CA">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6D39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noWrap w:val="0"/>
            <w:vAlign w:val="center"/>
          </w:tcPr>
          <w:p w14:paraId="6BF3CA84">
            <w:pPr>
              <w:pStyle w:val="87"/>
              <w:rPr>
                <w:rFonts w:hint="default" w:ascii="Times New Roman" w:hAnsi="Times New Roman" w:eastAsia="宋体" w:cs="Times New Roman"/>
                <w:color w:val="auto"/>
              </w:rPr>
            </w:pPr>
          </w:p>
        </w:tc>
        <w:tc>
          <w:tcPr>
            <w:tcW w:w="224" w:type="pct"/>
            <w:noWrap w:val="0"/>
            <w:vAlign w:val="center"/>
          </w:tcPr>
          <w:p w14:paraId="226D8631">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g)</w:t>
            </w:r>
          </w:p>
        </w:tc>
        <w:tc>
          <w:tcPr>
            <w:tcW w:w="2793" w:type="pct"/>
            <w:noWrap w:val="0"/>
            <w:vAlign w:val="center"/>
          </w:tcPr>
          <w:p w14:paraId="3942E5FB">
            <w:pPr>
              <w:pStyle w:val="87"/>
              <w:jc w:val="both"/>
              <w:rPr>
                <w:rFonts w:hint="default" w:ascii="Times New Roman" w:hAnsi="Times New Roman" w:eastAsia="宋体" w:cs="Times New Roman"/>
                <w:color w:val="auto"/>
              </w:rPr>
            </w:pPr>
            <w:r>
              <w:rPr>
                <w:rFonts w:hint="default" w:ascii="Times New Roman" w:hAnsi="Times New Roman" w:eastAsia="宋体" w:cs="Times New Roman"/>
                <w:color w:val="auto"/>
              </w:rPr>
              <w:t>除本条 a</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、b</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、c</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、d</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、e</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、f</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以外的情况，评价等级为三级；</w:t>
            </w:r>
          </w:p>
        </w:tc>
        <w:tc>
          <w:tcPr>
            <w:tcW w:w="955" w:type="pct"/>
            <w:noWrap w:val="0"/>
            <w:vAlign w:val="center"/>
          </w:tcPr>
          <w:p w14:paraId="5F0150F3">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659" w:type="pct"/>
            <w:noWrap w:val="0"/>
            <w:vAlign w:val="center"/>
          </w:tcPr>
          <w:p w14:paraId="066EBD4C">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0DB0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vMerge w:val="continue"/>
            <w:noWrap w:val="0"/>
            <w:vAlign w:val="center"/>
          </w:tcPr>
          <w:p w14:paraId="3FF15571">
            <w:pPr>
              <w:pStyle w:val="87"/>
              <w:rPr>
                <w:rFonts w:hint="default" w:ascii="Times New Roman" w:hAnsi="Times New Roman" w:eastAsia="宋体" w:cs="Times New Roman"/>
                <w:color w:val="auto"/>
              </w:rPr>
            </w:pPr>
          </w:p>
        </w:tc>
        <w:tc>
          <w:tcPr>
            <w:tcW w:w="224" w:type="pct"/>
            <w:noWrap w:val="0"/>
            <w:vAlign w:val="center"/>
          </w:tcPr>
          <w:p w14:paraId="0C0B34AC">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h)</w:t>
            </w:r>
          </w:p>
        </w:tc>
        <w:tc>
          <w:tcPr>
            <w:tcW w:w="2793" w:type="pct"/>
            <w:noWrap w:val="0"/>
            <w:vAlign w:val="center"/>
          </w:tcPr>
          <w:p w14:paraId="0331A511">
            <w:pPr>
              <w:pStyle w:val="87"/>
              <w:jc w:val="both"/>
              <w:rPr>
                <w:rFonts w:hint="default" w:ascii="Times New Roman" w:hAnsi="Times New Roman" w:eastAsia="宋体" w:cs="Times New Roman"/>
                <w:color w:val="auto"/>
              </w:rPr>
            </w:pPr>
            <w:r>
              <w:rPr>
                <w:rFonts w:hint="default" w:ascii="Times New Roman" w:hAnsi="Times New Roman" w:eastAsia="宋体" w:cs="Times New Roman"/>
                <w:color w:val="auto"/>
              </w:rPr>
              <w:t>当评价等级判定同时符合上述多种情况时，应采用其中最高的评价等级。</w:t>
            </w:r>
          </w:p>
        </w:tc>
        <w:tc>
          <w:tcPr>
            <w:tcW w:w="955" w:type="pct"/>
            <w:noWrap w:val="0"/>
            <w:vAlign w:val="center"/>
          </w:tcPr>
          <w:p w14:paraId="4950AE45">
            <w:pPr>
              <w:pStyle w:val="8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二级</w:t>
            </w:r>
          </w:p>
        </w:tc>
        <w:tc>
          <w:tcPr>
            <w:tcW w:w="659" w:type="pct"/>
            <w:noWrap w:val="0"/>
            <w:vAlign w:val="center"/>
          </w:tcPr>
          <w:p w14:paraId="459E31EF">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二级评价</w:t>
            </w:r>
          </w:p>
        </w:tc>
      </w:tr>
    </w:tbl>
    <w:p w14:paraId="5815FB12">
      <w:pPr>
        <w:pStyle w:val="88"/>
        <w:rPr>
          <w:rFonts w:hint="default" w:ascii="Times New Roman" w:hAnsi="Times New Roman" w:eastAsia="宋体" w:cs="Times New Roman"/>
          <w:color w:val="auto"/>
          <w:lang w:eastAsia="zh-CN"/>
        </w:rPr>
      </w:pPr>
    </w:p>
    <w:p w14:paraId="73D98512">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综上</w:t>
      </w:r>
      <w:r>
        <w:rPr>
          <w:rFonts w:hint="default" w:ascii="Times New Roman" w:hAnsi="Times New Roman" w:eastAsia="宋体" w:cs="Times New Roman"/>
          <w:color w:val="auto"/>
          <w:shd w:val="clear" w:fill="FFFFFF"/>
        </w:rPr>
        <w:t>分析</w:t>
      </w:r>
      <w:r>
        <w:rPr>
          <w:rFonts w:hint="default" w:ascii="Times New Roman" w:hAnsi="Times New Roman" w:eastAsia="宋体" w:cs="Times New Roman"/>
          <w:color w:val="auto"/>
        </w:rPr>
        <w:t>，本项目生态评价等级为二级</w:t>
      </w:r>
      <w:r>
        <w:rPr>
          <w:rFonts w:hint="default" w:ascii="Times New Roman" w:hAnsi="Times New Roman" w:eastAsia="宋体" w:cs="Times New Roman"/>
          <w:color w:val="auto"/>
          <w:lang w:eastAsia="zh-CN"/>
        </w:rPr>
        <w:t>。</w:t>
      </w:r>
    </w:p>
    <w:p w14:paraId="220D2140">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1.8.</w:t>
      </w:r>
      <w:r>
        <w:rPr>
          <w:rFonts w:hint="default" w:ascii="Times New Roman" w:hAnsi="Times New Roman" w:eastAsia="宋体" w:cs="Times New Roman"/>
          <w:b/>
          <w:color w:val="auto"/>
          <w:sz w:val="26"/>
          <w:szCs w:val="26"/>
          <w:lang w:val="en-US" w:eastAsia="zh-CN"/>
        </w:rPr>
        <w:t xml:space="preserve">6 </w:t>
      </w:r>
      <w:r>
        <w:rPr>
          <w:rFonts w:hint="default" w:ascii="Times New Roman" w:hAnsi="Times New Roman" w:eastAsia="宋体" w:cs="Times New Roman"/>
          <w:b/>
          <w:color w:val="auto"/>
          <w:sz w:val="26"/>
          <w:szCs w:val="26"/>
        </w:rPr>
        <w:t>土壤</w:t>
      </w:r>
    </w:p>
    <w:p w14:paraId="34CA978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shd w:val="clear" w:fill="FFFFFF"/>
        </w:rPr>
        <w:t>属</w:t>
      </w:r>
      <w:r>
        <w:rPr>
          <w:rFonts w:hint="default" w:ascii="Times New Roman" w:hAnsi="Times New Roman" w:eastAsia="宋体" w:cs="Times New Roman"/>
          <w:color w:val="auto"/>
        </w:rPr>
        <w:t>天然气管线工程，行业类别中的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交通运输仓储邮政业</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，项目类别中的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其他</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，根据《环境影响评价技术导则-土壤环境（试行）》（HJ649-2018），本项目为Ⅳ类项目，可不开展土壤环境影响评价。</w:t>
      </w:r>
    </w:p>
    <w:p w14:paraId="40321447">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1.8.</w:t>
      </w:r>
      <w:r>
        <w:rPr>
          <w:rFonts w:hint="default" w:ascii="Times New Roman" w:hAnsi="Times New Roman" w:eastAsia="宋体" w:cs="Times New Roman"/>
          <w:b/>
          <w:color w:val="auto"/>
          <w:sz w:val="26"/>
          <w:szCs w:val="26"/>
          <w:lang w:val="en-US" w:eastAsia="zh-CN"/>
        </w:rPr>
        <w:t>7</w:t>
      </w:r>
      <w:r>
        <w:rPr>
          <w:rFonts w:hint="default" w:ascii="Times New Roman" w:hAnsi="Times New Roman" w:eastAsia="宋体" w:cs="Times New Roman"/>
          <w:b/>
          <w:color w:val="auto"/>
          <w:sz w:val="26"/>
          <w:szCs w:val="26"/>
        </w:rPr>
        <w:t xml:space="preserve"> 环境风险</w:t>
      </w:r>
    </w:p>
    <w:p w14:paraId="164FB142">
      <w:pPr>
        <w:pStyle w:val="56"/>
        <w:rPr>
          <w:rFonts w:hint="default" w:ascii="Times New Roman" w:hAnsi="Times New Roman" w:eastAsia="宋体" w:cs="Times New Roman"/>
          <w:color w:val="auto"/>
        </w:rPr>
      </w:pPr>
      <w:r>
        <w:rPr>
          <w:rFonts w:hint="default" w:ascii="Times New Roman" w:hAnsi="Times New Roman" w:eastAsia="宋体" w:cs="Times New Roman"/>
          <w:bCs/>
          <w:color w:val="auto"/>
        </w:rPr>
        <w:t>根据《建设项目环境风险评价技术导则》（HJ 169-2018），</w:t>
      </w:r>
      <w:r>
        <w:rPr>
          <w:rFonts w:hint="default" w:ascii="Times New Roman" w:hAnsi="Times New Roman" w:eastAsia="宋体" w:cs="Times New Roman"/>
          <w:color w:val="auto"/>
        </w:rPr>
        <w:t>本项目</w:t>
      </w:r>
      <w:r>
        <w:rPr>
          <w:rFonts w:hint="default" w:ascii="Times New Roman" w:hAnsi="Times New Roman" w:eastAsia="宋体" w:cs="Times New Roman"/>
          <w:bCs/>
          <w:color w:val="auto"/>
        </w:rPr>
        <w:t>最大在线量与临界量的比值</w:t>
      </w:r>
      <w:r>
        <w:rPr>
          <w:rFonts w:hint="default" w:ascii="Times New Roman" w:hAnsi="Times New Roman" w:eastAsia="宋体" w:cs="Times New Roman"/>
          <w:color w:val="auto"/>
        </w:rPr>
        <w:t>Q＜1，本项目环境风险潜势为Ⅰ，确定环境风险评价等级为“简单分析”（判定过程详见7.1章节）。</w:t>
      </w:r>
    </w:p>
    <w:p w14:paraId="11A18E2B">
      <w:pPr>
        <w:adjustRightInd w:val="0"/>
        <w:snapToGrid w:val="0"/>
        <w:spacing w:line="500" w:lineRule="exact"/>
        <w:ind w:firstLine="522" w:firstLineChars="200"/>
        <w:outlineLvl w:val="1"/>
        <w:rPr>
          <w:rFonts w:hint="default" w:ascii="Times New Roman" w:hAnsi="Times New Roman" w:eastAsia="宋体" w:cs="Times New Roman"/>
          <w:b/>
          <w:color w:val="auto"/>
          <w:sz w:val="26"/>
          <w:szCs w:val="26"/>
        </w:rPr>
      </w:pPr>
      <w:bookmarkStart w:id="60" w:name="_Toc496535114"/>
      <w:bookmarkStart w:id="61" w:name="_Toc45551065"/>
      <w:bookmarkStart w:id="62" w:name="_Toc6836"/>
      <w:bookmarkStart w:id="63" w:name="_Toc23903"/>
      <w:bookmarkStart w:id="64" w:name="_Toc60144379"/>
      <w:r>
        <w:rPr>
          <w:rFonts w:hint="default" w:ascii="Times New Roman" w:hAnsi="Times New Roman" w:eastAsia="宋体" w:cs="Times New Roman"/>
          <w:b/>
          <w:color w:val="auto"/>
          <w:sz w:val="26"/>
          <w:szCs w:val="26"/>
        </w:rPr>
        <w:t>1.9 评价范围</w:t>
      </w:r>
      <w:bookmarkEnd w:id="60"/>
      <w:bookmarkEnd w:id="61"/>
      <w:bookmarkEnd w:id="62"/>
      <w:bookmarkEnd w:id="63"/>
      <w:bookmarkEnd w:id="64"/>
    </w:p>
    <w:p w14:paraId="2E8A07C1">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根据环境影响评价技术导则及上述评价工作等级分析和项目施工期、运营期对</w:t>
      </w:r>
      <w:r>
        <w:rPr>
          <w:rFonts w:hint="default" w:ascii="Times New Roman" w:hAnsi="Times New Roman" w:eastAsia="宋体" w:cs="Times New Roman"/>
          <w:color w:val="auto"/>
          <w:shd w:val="clear" w:fill="FFFFFF"/>
        </w:rPr>
        <w:t>环境</w:t>
      </w:r>
      <w:r>
        <w:rPr>
          <w:rFonts w:hint="default" w:ascii="Times New Roman" w:hAnsi="Times New Roman" w:eastAsia="宋体" w:cs="Times New Roman"/>
          <w:color w:val="auto"/>
        </w:rPr>
        <w:t>影响的特点及沿线自然环境特征，结合以往类似工程环评工作及监测数据的实践经验，确定本项目的环境影响评价范围。</w:t>
      </w:r>
    </w:p>
    <w:p w14:paraId="37DEAF35">
      <w:pPr>
        <w:pStyle w:val="58"/>
        <w:rPr>
          <w:rFonts w:hint="default" w:ascii="Times New Roman" w:hAnsi="Times New Roman" w:eastAsia="宋体" w:cs="Times New Roman"/>
          <w:color w:val="auto"/>
        </w:rPr>
      </w:pPr>
    </w:p>
    <w:p w14:paraId="5FD4FBE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default" w:ascii="Times New Roman" w:hAnsi="Times New Roman" w:eastAsia="宋体" w:cs="Times New Roman"/>
          <w:bCs/>
          <w:color w:val="auto"/>
        </w:rPr>
        <w:t>1.</w:t>
      </w:r>
      <w:r>
        <w:rPr>
          <w:rFonts w:hint="default" w:ascii="Times New Roman" w:hAnsi="Times New Roman" w:eastAsia="宋体" w:cs="Times New Roman"/>
          <w:bCs/>
          <w:color w:val="auto"/>
          <w:lang w:val="en-US" w:eastAsia="zh-CN"/>
        </w:rPr>
        <w:t>9</w:t>
      </w:r>
      <w:r>
        <w:rPr>
          <w:rFonts w:hint="default" w:ascii="Times New Roman" w:hAnsi="Times New Roman" w:eastAsia="宋体" w:cs="Times New Roman"/>
          <w:bCs/>
          <w:color w:val="auto"/>
        </w:rPr>
        <w:t xml:space="preserve">-1     </w:t>
      </w:r>
      <w:r>
        <w:rPr>
          <w:rFonts w:hint="default" w:ascii="Times New Roman" w:hAnsi="Times New Roman" w:eastAsia="宋体" w:cs="Times New Roman"/>
          <w:color w:val="auto"/>
        </w:rPr>
        <w:t>本项目环境影响评价范围</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7052"/>
      </w:tblGrid>
      <w:tr w14:paraId="7B7F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56" w:type="pct"/>
            <w:noWrap w:val="0"/>
            <w:vAlign w:val="center"/>
          </w:tcPr>
          <w:p w14:paraId="2C93AB43">
            <w:pPr>
              <w:pStyle w:val="6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环境要素</w:t>
            </w:r>
          </w:p>
        </w:tc>
        <w:tc>
          <w:tcPr>
            <w:tcW w:w="3943" w:type="pct"/>
            <w:noWrap w:val="0"/>
            <w:vAlign w:val="center"/>
          </w:tcPr>
          <w:p w14:paraId="6566018C">
            <w:pPr>
              <w:pStyle w:val="6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评价范围</w:t>
            </w:r>
          </w:p>
        </w:tc>
      </w:tr>
      <w:tr w14:paraId="4A7F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pct"/>
            <w:noWrap w:val="0"/>
            <w:vAlign w:val="center"/>
          </w:tcPr>
          <w:p w14:paraId="378BCE77">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大气环境</w:t>
            </w:r>
          </w:p>
        </w:tc>
        <w:tc>
          <w:tcPr>
            <w:tcW w:w="3943" w:type="pct"/>
            <w:noWrap w:val="0"/>
            <w:vAlign w:val="center"/>
          </w:tcPr>
          <w:p w14:paraId="52F6E2F4">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项目大气环境评价等级为三级，不设置评价范围</w:t>
            </w:r>
          </w:p>
        </w:tc>
      </w:tr>
      <w:tr w14:paraId="7188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pct"/>
            <w:noWrap w:val="0"/>
            <w:vAlign w:val="center"/>
          </w:tcPr>
          <w:p w14:paraId="1D0C2F13">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地表水</w:t>
            </w:r>
          </w:p>
        </w:tc>
        <w:tc>
          <w:tcPr>
            <w:tcW w:w="3943" w:type="pct"/>
            <w:noWrap w:val="0"/>
            <w:vAlign w:val="center"/>
          </w:tcPr>
          <w:p w14:paraId="17D0D77B">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项目地表水环境评价等级为三级B，不设置评价范围</w:t>
            </w:r>
          </w:p>
        </w:tc>
      </w:tr>
      <w:tr w14:paraId="1B82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pct"/>
            <w:noWrap w:val="0"/>
            <w:vAlign w:val="center"/>
          </w:tcPr>
          <w:p w14:paraId="0B9C614F">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地下水</w:t>
            </w:r>
          </w:p>
        </w:tc>
        <w:tc>
          <w:tcPr>
            <w:tcW w:w="3943" w:type="pct"/>
            <w:noWrap w:val="0"/>
            <w:vAlign w:val="center"/>
          </w:tcPr>
          <w:p w14:paraId="74C5FC9B">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线路中心线向两侧外延</w:t>
            </w:r>
            <w:r>
              <w:rPr>
                <w:rFonts w:hint="default" w:ascii="Times New Roman" w:hAnsi="Times New Roman" w:eastAsia="宋体" w:cs="Times New Roman"/>
                <w:color w:val="auto"/>
                <w:lang w:bidi="ar"/>
              </w:rPr>
              <w:t>200m</w:t>
            </w:r>
          </w:p>
        </w:tc>
      </w:tr>
      <w:tr w14:paraId="196A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pct"/>
            <w:noWrap w:val="0"/>
            <w:vAlign w:val="center"/>
          </w:tcPr>
          <w:p w14:paraId="39F10482">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声环境</w:t>
            </w:r>
          </w:p>
        </w:tc>
        <w:tc>
          <w:tcPr>
            <w:tcW w:w="3943" w:type="pct"/>
            <w:noWrap w:val="0"/>
            <w:vAlign w:val="center"/>
          </w:tcPr>
          <w:p w14:paraId="7EA2E299">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线路中心线向两侧外延200m</w:t>
            </w:r>
          </w:p>
        </w:tc>
      </w:tr>
      <w:tr w14:paraId="1AA5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89" w:type="dxa"/>
            <w:noWrap w:val="0"/>
            <w:vAlign w:val="center"/>
          </w:tcPr>
          <w:p w14:paraId="75BCED1B">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生态环境</w:t>
            </w:r>
          </w:p>
        </w:tc>
        <w:tc>
          <w:tcPr>
            <w:tcW w:w="7052" w:type="dxa"/>
            <w:noWrap w:val="0"/>
            <w:vAlign w:val="center"/>
          </w:tcPr>
          <w:p w14:paraId="2BD42D47">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线路中心线向两侧外延300m</w:t>
            </w:r>
          </w:p>
        </w:tc>
      </w:tr>
      <w:tr w14:paraId="05EB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6" w:type="pct"/>
            <w:noWrap w:val="0"/>
            <w:vAlign w:val="center"/>
          </w:tcPr>
          <w:p w14:paraId="73D0FC7A">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环境风险</w:t>
            </w:r>
          </w:p>
        </w:tc>
        <w:tc>
          <w:tcPr>
            <w:tcW w:w="3943" w:type="pct"/>
            <w:noWrap w:val="0"/>
            <w:vAlign w:val="center"/>
          </w:tcPr>
          <w:p w14:paraId="3A136A83">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环境风险评价等级为“简单分析”</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不设置评价范围</w:t>
            </w:r>
          </w:p>
        </w:tc>
      </w:tr>
    </w:tbl>
    <w:p w14:paraId="7FA89804">
      <w:pPr>
        <w:adjustRightInd w:val="0"/>
        <w:snapToGrid w:val="0"/>
        <w:spacing w:line="500" w:lineRule="exact"/>
        <w:ind w:firstLine="522" w:firstLineChars="200"/>
        <w:outlineLvl w:val="1"/>
        <w:rPr>
          <w:rFonts w:hint="default" w:ascii="Times New Roman" w:hAnsi="Times New Roman" w:eastAsia="宋体" w:cs="Times New Roman"/>
          <w:b/>
          <w:color w:val="auto"/>
          <w:sz w:val="26"/>
          <w:szCs w:val="26"/>
        </w:rPr>
      </w:pPr>
      <w:bookmarkStart w:id="65" w:name="_Toc22042"/>
      <w:bookmarkStart w:id="66" w:name="_Toc60144380"/>
      <w:bookmarkStart w:id="67" w:name="_Toc164084304"/>
      <w:bookmarkStart w:id="68" w:name="_Toc45551066"/>
      <w:bookmarkStart w:id="69" w:name="_Toc28754"/>
      <w:bookmarkStart w:id="70" w:name="_Toc220170970"/>
      <w:bookmarkStart w:id="71" w:name="_Toc158006775"/>
      <w:r>
        <w:rPr>
          <w:rFonts w:hint="default" w:ascii="Times New Roman" w:hAnsi="Times New Roman" w:eastAsia="宋体" w:cs="Times New Roman"/>
          <w:b/>
          <w:color w:val="auto"/>
          <w:sz w:val="26"/>
          <w:szCs w:val="26"/>
        </w:rPr>
        <w:t>1.10 环境保护目标</w:t>
      </w:r>
      <w:bookmarkEnd w:id="65"/>
      <w:bookmarkEnd w:id="66"/>
      <w:bookmarkEnd w:id="67"/>
      <w:bookmarkEnd w:id="68"/>
      <w:bookmarkEnd w:id="69"/>
      <w:bookmarkEnd w:id="70"/>
      <w:bookmarkEnd w:id="71"/>
    </w:p>
    <w:p w14:paraId="7EFEECBD">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w:t>
      </w:r>
      <w:r>
        <w:rPr>
          <w:rFonts w:hint="default" w:ascii="Times New Roman" w:hAnsi="Times New Roman" w:eastAsia="宋体" w:cs="Times New Roman"/>
          <w:b/>
          <w:color w:val="auto"/>
          <w:sz w:val="26"/>
          <w:szCs w:val="26"/>
          <w:lang w:val="en-US" w:eastAsia="zh-CN"/>
        </w:rPr>
        <w:t>10</w:t>
      </w:r>
      <w:r>
        <w:rPr>
          <w:rFonts w:hint="default" w:ascii="Times New Roman" w:hAnsi="Times New Roman" w:eastAsia="宋体" w:cs="Times New Roman"/>
          <w:b/>
          <w:color w:val="auto"/>
          <w:sz w:val="26"/>
          <w:szCs w:val="26"/>
        </w:rPr>
        <w:t>.</w:t>
      </w:r>
      <w:r>
        <w:rPr>
          <w:rFonts w:hint="default" w:ascii="Times New Roman" w:hAnsi="Times New Roman" w:eastAsia="宋体" w:cs="Times New Roman"/>
          <w:b/>
          <w:color w:val="auto"/>
          <w:sz w:val="26"/>
          <w:szCs w:val="26"/>
          <w:lang w:val="en-US" w:eastAsia="zh-CN"/>
        </w:rPr>
        <w:t>1</w:t>
      </w:r>
      <w:r>
        <w:rPr>
          <w:rFonts w:hint="default" w:ascii="Times New Roman" w:hAnsi="Times New Roman" w:eastAsia="宋体" w:cs="Times New Roman"/>
          <w:b/>
          <w:color w:val="auto"/>
          <w:sz w:val="26"/>
          <w:szCs w:val="26"/>
        </w:rPr>
        <w:t xml:space="preserve"> 大气环境保护目标</w:t>
      </w:r>
    </w:p>
    <w:p w14:paraId="39B2F7B0">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本项目大气评价为三级评价，根据导则要求</w:t>
      </w:r>
      <w:r>
        <w:rPr>
          <w:rFonts w:hint="default" w:ascii="Times New Roman" w:hAnsi="Times New Roman" w:eastAsia="宋体" w:cs="Times New Roman"/>
          <w:color w:val="auto"/>
          <w:shd w:val="clear" w:fill="FFFFFF"/>
        </w:rPr>
        <w:t>无需设置</w:t>
      </w:r>
      <w:r>
        <w:rPr>
          <w:rFonts w:hint="default" w:ascii="Times New Roman" w:hAnsi="Times New Roman" w:eastAsia="宋体" w:cs="Times New Roman"/>
          <w:color w:val="auto"/>
        </w:rPr>
        <w:t>评价范围，因此本次评价不进行大气环境保护目标的统计。</w:t>
      </w:r>
    </w:p>
    <w:p w14:paraId="3CF79A3F">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1.10.</w:t>
      </w:r>
      <w:r>
        <w:rPr>
          <w:rFonts w:hint="default" w:ascii="Times New Roman" w:hAnsi="Times New Roman" w:eastAsia="宋体" w:cs="Times New Roman"/>
          <w:b/>
          <w:color w:val="auto"/>
          <w:sz w:val="26"/>
          <w:szCs w:val="26"/>
          <w:lang w:val="en-US" w:eastAsia="zh-CN"/>
        </w:rPr>
        <w:t>2</w:t>
      </w:r>
      <w:r>
        <w:rPr>
          <w:rFonts w:hint="default" w:ascii="Times New Roman" w:hAnsi="Times New Roman" w:eastAsia="宋体" w:cs="Times New Roman"/>
          <w:b/>
          <w:color w:val="auto"/>
          <w:sz w:val="26"/>
          <w:szCs w:val="26"/>
        </w:rPr>
        <w:t xml:space="preserve"> 地表水环境保护目标</w:t>
      </w:r>
    </w:p>
    <w:p w14:paraId="63E56EBC">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项目不穿越大中小型河流。项目周边的200m范围内</w:t>
      </w:r>
      <w:r>
        <w:rPr>
          <w:rFonts w:hint="default" w:ascii="Times New Roman" w:hAnsi="Times New Roman" w:eastAsia="宋体" w:cs="Times New Roman"/>
          <w:color w:val="auto"/>
          <w:lang w:val="en-US" w:eastAsia="zh-CN"/>
        </w:rPr>
        <w:t>分布有</w:t>
      </w:r>
      <w:r>
        <w:rPr>
          <w:rFonts w:hint="default" w:ascii="Times New Roman" w:hAnsi="Times New Roman" w:eastAsia="宋体" w:cs="Times New Roman"/>
          <w:color w:val="auto"/>
        </w:rPr>
        <w:t>綦江区文龙街道薄刀岭水库新盛水厂水源地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金钗湖水库、堰塘泉点、无名沟渠</w:t>
      </w:r>
      <w:r>
        <w:rPr>
          <w:rFonts w:hint="default" w:ascii="Times New Roman" w:hAnsi="Times New Roman" w:eastAsia="宋体" w:cs="Times New Roman"/>
          <w:color w:val="auto"/>
        </w:rPr>
        <w:t>。项目主要地表水环境保护目标详见表1.10-</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w:t>
      </w:r>
    </w:p>
    <w:p w14:paraId="258542C2">
      <w:pPr>
        <w:rPr>
          <w:rFonts w:hint="default" w:ascii="Times New Roman" w:hAnsi="Times New Roman" w:eastAsia="宋体" w:cs="Times New Roman"/>
          <w:color w:val="auto"/>
        </w:rPr>
      </w:pPr>
    </w:p>
    <w:p w14:paraId="12891E89">
      <w:pPr>
        <w:pStyle w:val="85"/>
        <w:rPr>
          <w:rFonts w:hint="default" w:ascii="Times New Roman" w:hAnsi="Times New Roman" w:eastAsia="宋体" w:cs="Times New Roman"/>
          <w:color w:val="auto"/>
        </w:rPr>
      </w:pPr>
      <w:r>
        <w:rPr>
          <w:rFonts w:hint="default" w:ascii="Times New Roman" w:hAnsi="Times New Roman" w:eastAsia="宋体" w:cs="Times New Roman"/>
          <w:color w:val="auto"/>
        </w:rPr>
        <w:t>表1.10-</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地表水</w:t>
      </w:r>
      <w:r>
        <w:rPr>
          <w:rFonts w:hint="default" w:ascii="Times New Roman" w:hAnsi="Times New Roman" w:eastAsia="宋体" w:cs="Times New Roman"/>
          <w:color w:val="auto"/>
        </w:rPr>
        <w:t>保护目标基本情况表</w:t>
      </w:r>
    </w:p>
    <w:tbl>
      <w:tblPr>
        <w:tblStyle w:val="29"/>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8"/>
        <w:gridCol w:w="2778"/>
        <w:gridCol w:w="2972"/>
        <w:gridCol w:w="1766"/>
      </w:tblGrid>
      <w:tr w14:paraId="6A0D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12" w:type="pct"/>
            <w:noWrap w:val="0"/>
            <w:vAlign w:val="center"/>
          </w:tcPr>
          <w:p w14:paraId="63FFCE59">
            <w:pPr>
              <w:pStyle w:val="8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保护目标</w:t>
            </w:r>
          </w:p>
        </w:tc>
        <w:tc>
          <w:tcPr>
            <w:tcW w:w="1584" w:type="pct"/>
            <w:noWrap w:val="0"/>
            <w:vAlign w:val="center"/>
          </w:tcPr>
          <w:p w14:paraId="32E3DEB1">
            <w:pPr>
              <w:pStyle w:val="8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基本情况</w:t>
            </w:r>
          </w:p>
        </w:tc>
        <w:tc>
          <w:tcPr>
            <w:tcW w:w="1695" w:type="pct"/>
            <w:noWrap w:val="0"/>
            <w:vAlign w:val="center"/>
          </w:tcPr>
          <w:p w14:paraId="78D0FFF0">
            <w:pPr>
              <w:pStyle w:val="8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与项目的位置关系</w:t>
            </w:r>
          </w:p>
        </w:tc>
        <w:tc>
          <w:tcPr>
            <w:tcW w:w="1007" w:type="pct"/>
            <w:noWrap w:val="0"/>
            <w:vAlign w:val="center"/>
          </w:tcPr>
          <w:p w14:paraId="520B5100">
            <w:pPr>
              <w:pStyle w:val="87"/>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主要功能</w:t>
            </w:r>
          </w:p>
        </w:tc>
      </w:tr>
      <w:tr w14:paraId="01C7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pct"/>
            <w:noWrap w:val="0"/>
            <w:vAlign w:val="center"/>
          </w:tcPr>
          <w:p w14:paraId="7D340200">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薄刀岭水库新盛水厂水源地</w:t>
            </w:r>
          </w:p>
        </w:tc>
        <w:tc>
          <w:tcPr>
            <w:tcW w:w="1584" w:type="pct"/>
            <w:noWrap w:val="0"/>
            <w:vAlign w:val="center"/>
          </w:tcPr>
          <w:p w14:paraId="265304A3">
            <w:pPr>
              <w:pStyle w:val="87"/>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一级保护区</w:t>
            </w:r>
          </w:p>
          <w:p w14:paraId="255D557C">
            <w:pPr>
              <w:pStyle w:val="87"/>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水域：整个水库正常水位线以下的全部水域面积；</w:t>
            </w:r>
          </w:p>
          <w:p w14:paraId="0238D1DA">
            <w:pPr>
              <w:pStyle w:val="87"/>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陆域：库岸边缘纵深30米至正常水位线以上的全部陆域</w:t>
            </w:r>
          </w:p>
        </w:tc>
        <w:tc>
          <w:tcPr>
            <w:tcW w:w="1695" w:type="pct"/>
            <w:noWrap w:val="0"/>
            <w:vAlign w:val="center"/>
          </w:tcPr>
          <w:p w14:paraId="2F942FE2">
            <w:pPr>
              <w:pStyle w:val="87"/>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改建段</w:t>
            </w:r>
            <w:r>
              <w:rPr>
                <w:rFonts w:hint="default" w:ascii="Times New Roman" w:hAnsi="Times New Roman" w:eastAsia="宋体" w:cs="Times New Roman"/>
                <w:color w:val="auto"/>
                <w:sz w:val="21"/>
                <w:szCs w:val="21"/>
              </w:rPr>
              <w:t>位于饮用水源保护区</w:t>
            </w:r>
            <w:r>
              <w:rPr>
                <w:rFonts w:hint="default" w:ascii="Times New Roman" w:hAnsi="Times New Roman" w:eastAsia="宋体" w:cs="Times New Roman"/>
                <w:color w:val="auto"/>
                <w:sz w:val="21"/>
                <w:szCs w:val="21"/>
                <w:lang w:val="en-US" w:eastAsia="zh-CN"/>
              </w:rPr>
              <w:t>上游</w:t>
            </w:r>
            <w:r>
              <w:rPr>
                <w:rFonts w:hint="default" w:ascii="Times New Roman" w:hAnsi="Times New Roman" w:eastAsia="宋体" w:cs="Times New Roman"/>
                <w:color w:val="auto"/>
                <w:sz w:val="21"/>
                <w:szCs w:val="21"/>
              </w:rPr>
              <w:t>，距离饮用水水源保护区</w:t>
            </w:r>
            <w:r>
              <w:rPr>
                <w:rFonts w:hint="default" w:ascii="Times New Roman" w:hAnsi="Times New Roman" w:eastAsia="宋体" w:cs="Times New Roman"/>
                <w:color w:val="auto"/>
                <w:sz w:val="21"/>
                <w:szCs w:val="21"/>
                <w:lang w:val="en-US" w:eastAsia="zh-CN"/>
              </w:rPr>
              <w:t>陆域保护范围最近距离约68m，水域保护范围最近距离约100m，取水口</w:t>
            </w:r>
            <w:r>
              <w:rPr>
                <w:rFonts w:hint="default" w:ascii="Times New Roman" w:hAnsi="Times New Roman" w:eastAsia="宋体" w:cs="Times New Roman"/>
                <w:color w:val="auto"/>
                <w:sz w:val="21"/>
                <w:szCs w:val="21"/>
              </w:rPr>
              <w:t>最近距离</w:t>
            </w:r>
            <w:r>
              <w:rPr>
                <w:rFonts w:hint="default" w:ascii="Times New Roman" w:hAnsi="Times New Roman" w:eastAsia="宋体" w:cs="Times New Roman"/>
                <w:color w:val="auto"/>
                <w:sz w:val="21"/>
                <w:szCs w:val="21"/>
                <w:lang w:val="en-US" w:eastAsia="zh-CN"/>
              </w:rPr>
              <w:t>约553</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eastAsia="zh-CN"/>
              </w:rPr>
              <w:t>，建设内容不涉及</w:t>
            </w:r>
            <w:r>
              <w:rPr>
                <w:rFonts w:hint="default" w:ascii="Times New Roman" w:hAnsi="Times New Roman" w:eastAsia="宋体" w:cs="Times New Roman"/>
                <w:color w:val="auto"/>
                <w:sz w:val="21"/>
                <w:szCs w:val="21"/>
              </w:rPr>
              <w:t>薄刀岭水库</w:t>
            </w:r>
            <w:r>
              <w:rPr>
                <w:rFonts w:hint="default" w:ascii="Times New Roman" w:hAnsi="Times New Roman" w:eastAsia="宋体" w:cs="Times New Roman"/>
                <w:color w:val="auto"/>
                <w:sz w:val="21"/>
                <w:szCs w:val="21"/>
                <w:lang w:eastAsia="zh-CN"/>
              </w:rPr>
              <w:t>及其水源保护区</w:t>
            </w:r>
          </w:p>
        </w:tc>
        <w:tc>
          <w:tcPr>
            <w:tcW w:w="1007" w:type="pct"/>
            <w:noWrap w:val="0"/>
            <w:vAlign w:val="center"/>
          </w:tcPr>
          <w:p w14:paraId="7BA586AA">
            <w:pPr>
              <w:pStyle w:val="8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Ⅲ类水域功能要求，生活供水</w:t>
            </w:r>
          </w:p>
        </w:tc>
      </w:tr>
      <w:tr w14:paraId="1EC4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pct"/>
            <w:noWrap w:val="0"/>
            <w:vAlign w:val="center"/>
          </w:tcPr>
          <w:p w14:paraId="711BA7AE">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金钗湖水库</w:t>
            </w:r>
          </w:p>
        </w:tc>
        <w:tc>
          <w:tcPr>
            <w:tcW w:w="1584" w:type="pct"/>
            <w:noWrap w:val="0"/>
            <w:vAlign w:val="center"/>
          </w:tcPr>
          <w:p w14:paraId="4C1CAB2D">
            <w:pPr>
              <w:pStyle w:val="87"/>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位于</w:t>
            </w:r>
            <w:r>
              <w:rPr>
                <w:rFonts w:hint="default" w:ascii="Times New Roman" w:hAnsi="Times New Roman" w:eastAsia="宋体" w:cs="Times New Roman"/>
                <w:color w:val="auto"/>
                <w:sz w:val="21"/>
                <w:szCs w:val="21"/>
              </w:rPr>
              <w:t>文龙街道，</w:t>
            </w:r>
            <w:r>
              <w:rPr>
                <w:rFonts w:hint="default" w:ascii="Times New Roman" w:hAnsi="Times New Roman" w:eastAsia="宋体" w:cs="Times New Roman"/>
                <w:color w:val="auto"/>
                <w:sz w:val="21"/>
                <w:szCs w:val="21"/>
                <w:lang w:val="en-US" w:eastAsia="zh-CN"/>
              </w:rPr>
              <w:t>拟建为</w:t>
            </w:r>
            <w:r>
              <w:rPr>
                <w:rFonts w:hint="default" w:ascii="Times New Roman" w:hAnsi="Times New Roman" w:eastAsia="宋体" w:cs="Times New Roman"/>
                <w:color w:val="auto"/>
                <w:sz w:val="21"/>
                <w:szCs w:val="21"/>
              </w:rPr>
              <w:t>以城乡供水为主、兼顾防洪功能的小（1）型综合水利工程</w:t>
            </w:r>
          </w:p>
        </w:tc>
        <w:tc>
          <w:tcPr>
            <w:tcW w:w="1695" w:type="pct"/>
            <w:noWrap w:val="0"/>
            <w:vAlign w:val="center"/>
          </w:tcPr>
          <w:p w14:paraId="19C3B830">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改建段位于拟建的金钗湖水库下游，改建段起点距水库最近，约50m</w:t>
            </w:r>
          </w:p>
        </w:tc>
        <w:tc>
          <w:tcPr>
            <w:tcW w:w="1007" w:type="pct"/>
            <w:noWrap w:val="0"/>
            <w:vAlign w:val="center"/>
          </w:tcPr>
          <w:p w14:paraId="6DD1828A">
            <w:pPr>
              <w:pStyle w:val="8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拟以城乡供水为主、兼顾防洪功能</w:t>
            </w:r>
          </w:p>
        </w:tc>
      </w:tr>
      <w:tr w14:paraId="7CE8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pct"/>
            <w:noWrap w:val="0"/>
            <w:vAlign w:val="center"/>
          </w:tcPr>
          <w:p w14:paraId="5015215A">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堰塘泉点</w:t>
            </w:r>
          </w:p>
        </w:tc>
        <w:tc>
          <w:tcPr>
            <w:tcW w:w="1584" w:type="pct"/>
            <w:noWrap w:val="0"/>
            <w:vAlign w:val="center"/>
          </w:tcPr>
          <w:p w14:paraId="24E862CE">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该处以地下泉点涌出，供水量满足周围</w:t>
            </w:r>
            <w:r>
              <w:rPr>
                <w:rFonts w:hint="default" w:ascii="Times New Roman" w:hAnsi="Times New Roman" w:eastAsia="宋体" w:cs="Times New Roman"/>
                <w:color w:val="auto"/>
                <w:sz w:val="21"/>
                <w:szCs w:val="21"/>
                <w:shd w:val="clear" w:fill="FFFFFF"/>
                <w:lang w:val="en-US" w:eastAsia="zh-CN"/>
              </w:rPr>
              <w:t>多家</w:t>
            </w:r>
            <w:r>
              <w:rPr>
                <w:rFonts w:hint="default" w:ascii="Times New Roman" w:hAnsi="Times New Roman" w:eastAsia="宋体" w:cs="Times New Roman"/>
                <w:color w:val="auto"/>
                <w:sz w:val="21"/>
                <w:szCs w:val="21"/>
                <w:lang w:val="en-US" w:eastAsia="zh-CN"/>
              </w:rPr>
              <w:t>居民，遂修建成小型堰塘</w:t>
            </w:r>
          </w:p>
        </w:tc>
        <w:tc>
          <w:tcPr>
            <w:tcW w:w="1695" w:type="pct"/>
            <w:noWrap w:val="0"/>
            <w:vAlign w:val="center"/>
          </w:tcPr>
          <w:p w14:paraId="736BFD91">
            <w:pPr>
              <w:pStyle w:val="87"/>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迁改</w:t>
            </w:r>
            <w:r>
              <w:rPr>
                <w:rFonts w:hint="default" w:ascii="Times New Roman" w:hAnsi="Times New Roman" w:eastAsia="宋体" w:cs="Times New Roman"/>
                <w:color w:val="auto"/>
                <w:sz w:val="21"/>
                <w:szCs w:val="21"/>
                <w:lang w:val="en-US" w:eastAsia="zh-CN"/>
              </w:rPr>
              <w:t>段</w:t>
            </w:r>
            <w:r>
              <w:rPr>
                <w:rFonts w:hint="default" w:ascii="Times New Roman" w:hAnsi="Times New Roman" w:eastAsia="宋体" w:cs="Times New Roman"/>
                <w:color w:val="auto"/>
                <w:sz w:val="21"/>
                <w:szCs w:val="21"/>
              </w:rPr>
              <w:t>位于</w:t>
            </w:r>
            <w:r>
              <w:rPr>
                <w:rFonts w:hint="default" w:ascii="Times New Roman" w:hAnsi="Times New Roman" w:eastAsia="宋体" w:cs="Times New Roman"/>
                <w:color w:val="auto"/>
                <w:sz w:val="21"/>
                <w:szCs w:val="21"/>
                <w:lang w:val="en-US" w:eastAsia="zh-CN"/>
              </w:rPr>
              <w:t>泉点下游，最近距离168m</w:t>
            </w:r>
          </w:p>
        </w:tc>
        <w:tc>
          <w:tcPr>
            <w:tcW w:w="1007" w:type="pct"/>
            <w:noWrap w:val="0"/>
            <w:vAlign w:val="center"/>
          </w:tcPr>
          <w:p w14:paraId="75C95660">
            <w:pPr>
              <w:pStyle w:val="87"/>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未划定水域功能，生活用水</w:t>
            </w:r>
          </w:p>
        </w:tc>
      </w:tr>
      <w:tr w14:paraId="29D3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pct"/>
            <w:noWrap w:val="0"/>
            <w:vAlign w:val="center"/>
          </w:tcPr>
          <w:p w14:paraId="13A48D28">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无名沟渠</w:t>
            </w:r>
          </w:p>
        </w:tc>
        <w:tc>
          <w:tcPr>
            <w:tcW w:w="1584" w:type="pct"/>
            <w:noWrap w:val="0"/>
            <w:vAlign w:val="center"/>
          </w:tcPr>
          <w:p w14:paraId="7C62946E">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季节性沟渠，常年干涸，水流主要为汛期自然汇水及上游金钗湖水库放水</w:t>
            </w:r>
          </w:p>
        </w:tc>
        <w:tc>
          <w:tcPr>
            <w:tcW w:w="1695" w:type="pct"/>
            <w:noWrap w:val="0"/>
            <w:vAlign w:val="center"/>
          </w:tcPr>
          <w:p w14:paraId="337183FF">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管线穿越段，26m</w:t>
            </w:r>
          </w:p>
        </w:tc>
        <w:tc>
          <w:tcPr>
            <w:tcW w:w="1007" w:type="pct"/>
            <w:noWrap w:val="0"/>
            <w:vAlign w:val="center"/>
          </w:tcPr>
          <w:p w14:paraId="123BA911">
            <w:pPr>
              <w:pStyle w:val="87"/>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未划定水域功能，季节性冲沟</w:t>
            </w:r>
          </w:p>
        </w:tc>
      </w:tr>
    </w:tbl>
    <w:p w14:paraId="7D1B5BC9">
      <w:pPr>
        <w:rPr>
          <w:rFonts w:hint="default" w:ascii="Times New Roman" w:hAnsi="Times New Roman" w:eastAsia="宋体" w:cs="Times New Roman"/>
          <w:color w:val="auto"/>
        </w:rPr>
      </w:pPr>
    </w:p>
    <w:p w14:paraId="700235A3">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1.10</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 xml:space="preserve"> 地下水环境保护目标</w:t>
      </w:r>
    </w:p>
    <w:p w14:paraId="2F0A8CCA">
      <w:pPr>
        <w:pStyle w:val="93"/>
        <w:ind w:firstLine="520"/>
        <w:rPr>
          <w:rFonts w:hint="default" w:ascii="Times New Roman" w:hAnsi="Times New Roman" w:eastAsia="宋体" w:cs="Times New Roman"/>
          <w:color w:val="auto"/>
          <w:lang w:bidi="ar"/>
        </w:rPr>
      </w:pPr>
      <w:r>
        <w:rPr>
          <w:rFonts w:hint="default" w:ascii="Times New Roman" w:hAnsi="Times New Roman" w:eastAsia="宋体" w:cs="Times New Roman"/>
          <w:bCs/>
          <w:color w:val="auto"/>
        </w:rPr>
        <w:t>经调查，本项目</w:t>
      </w:r>
      <w:r>
        <w:rPr>
          <w:rFonts w:hint="default" w:ascii="Times New Roman" w:hAnsi="Times New Roman" w:eastAsia="宋体" w:cs="Times New Roman"/>
          <w:bCs/>
          <w:color w:val="auto"/>
          <w:lang w:bidi="ar"/>
        </w:rPr>
        <w:t>不涉及集中式饮用水源保护区等地下水环境敏感区，</w:t>
      </w:r>
      <w:r>
        <w:rPr>
          <w:rFonts w:hint="default" w:ascii="Times New Roman" w:hAnsi="Times New Roman" w:eastAsia="宋体" w:cs="Times New Roman"/>
          <w:color w:val="auto"/>
        </w:rPr>
        <w:t>附近居民利用</w:t>
      </w:r>
      <w:r>
        <w:rPr>
          <w:rFonts w:hint="default" w:ascii="Times New Roman" w:hAnsi="Times New Roman" w:eastAsia="宋体" w:cs="Times New Roman"/>
          <w:color w:val="auto"/>
          <w:lang w:val="en-US" w:eastAsia="zh-CN"/>
        </w:rPr>
        <w:t>自打</w:t>
      </w:r>
      <w:r>
        <w:rPr>
          <w:rFonts w:hint="default" w:ascii="Times New Roman" w:hAnsi="Times New Roman" w:eastAsia="宋体" w:cs="Times New Roman"/>
          <w:color w:val="auto"/>
        </w:rPr>
        <w:t>水井供水</w:t>
      </w:r>
      <w:r>
        <w:rPr>
          <w:rFonts w:hint="default" w:ascii="Times New Roman" w:hAnsi="Times New Roman" w:eastAsia="宋体" w:cs="Times New Roman"/>
          <w:color w:val="auto"/>
          <w:lang w:bidi="ar"/>
        </w:rPr>
        <w:t>。因此，本项目所涉及的地下水环境保护目标主要为可能受到建设影响且具有饮用水开发利用价值的含水层和评价区内分散的地下水饮用水源取水井。</w:t>
      </w:r>
    </w:p>
    <w:p w14:paraId="6D8CE1D2">
      <w:pPr>
        <w:pStyle w:val="88"/>
        <w:rPr>
          <w:rFonts w:hint="default" w:ascii="Times New Roman" w:hAnsi="Times New Roman" w:eastAsia="宋体" w:cs="Times New Roman"/>
          <w:color w:val="auto"/>
          <w:lang w:bidi="ar"/>
        </w:rPr>
      </w:pPr>
    </w:p>
    <w:p w14:paraId="6F98F14E">
      <w:pPr>
        <w:pStyle w:val="85"/>
        <w:rPr>
          <w:rFonts w:hint="default" w:ascii="Times New Roman" w:hAnsi="Times New Roman" w:eastAsia="宋体" w:cs="Times New Roman"/>
          <w:color w:val="auto"/>
        </w:rPr>
      </w:pPr>
      <w:r>
        <w:rPr>
          <w:rFonts w:hint="default" w:ascii="Times New Roman" w:hAnsi="Times New Roman" w:eastAsia="宋体" w:cs="Times New Roman"/>
          <w:color w:val="auto"/>
        </w:rPr>
        <w:t>表1.10-</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 xml:space="preserve">    地下水保护目标统计表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172"/>
        <w:gridCol w:w="717"/>
        <w:gridCol w:w="755"/>
        <w:gridCol w:w="830"/>
        <w:gridCol w:w="878"/>
        <w:gridCol w:w="707"/>
        <w:gridCol w:w="818"/>
        <w:gridCol w:w="849"/>
        <w:gridCol w:w="1675"/>
      </w:tblGrid>
      <w:tr w14:paraId="7AA6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45" w:type="dxa"/>
            <w:noWrap w:val="0"/>
            <w:vAlign w:val="center"/>
          </w:tcPr>
          <w:p w14:paraId="157E2790">
            <w:pPr>
              <w:pStyle w:val="114"/>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编号</w:t>
            </w:r>
          </w:p>
        </w:tc>
        <w:tc>
          <w:tcPr>
            <w:tcW w:w="1172" w:type="dxa"/>
            <w:noWrap w:val="0"/>
            <w:vAlign w:val="center"/>
          </w:tcPr>
          <w:p w14:paraId="4916AC84">
            <w:pPr>
              <w:pStyle w:val="114"/>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地理位置</w:t>
            </w:r>
          </w:p>
        </w:tc>
        <w:tc>
          <w:tcPr>
            <w:tcW w:w="717" w:type="dxa"/>
            <w:noWrap w:val="0"/>
            <w:vAlign w:val="center"/>
          </w:tcPr>
          <w:p w14:paraId="7AF1D232">
            <w:pPr>
              <w:pStyle w:val="114"/>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X</w:t>
            </w:r>
          </w:p>
        </w:tc>
        <w:tc>
          <w:tcPr>
            <w:tcW w:w="755" w:type="dxa"/>
            <w:noWrap w:val="0"/>
            <w:vAlign w:val="center"/>
          </w:tcPr>
          <w:p w14:paraId="1843641C">
            <w:pPr>
              <w:pStyle w:val="114"/>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Y</w:t>
            </w:r>
          </w:p>
        </w:tc>
        <w:tc>
          <w:tcPr>
            <w:tcW w:w="830" w:type="dxa"/>
            <w:noWrap w:val="0"/>
            <w:vAlign w:val="center"/>
          </w:tcPr>
          <w:p w14:paraId="78F4B851">
            <w:pPr>
              <w:pStyle w:val="114"/>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调查点类型</w:t>
            </w:r>
          </w:p>
        </w:tc>
        <w:tc>
          <w:tcPr>
            <w:tcW w:w="878" w:type="dxa"/>
            <w:noWrap w:val="0"/>
            <w:vAlign w:val="center"/>
          </w:tcPr>
          <w:p w14:paraId="79CD2932">
            <w:pPr>
              <w:pStyle w:val="114"/>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含水层岩性</w:t>
            </w:r>
          </w:p>
        </w:tc>
        <w:tc>
          <w:tcPr>
            <w:tcW w:w="707" w:type="dxa"/>
            <w:noWrap w:val="0"/>
            <w:vAlign w:val="center"/>
          </w:tcPr>
          <w:p w14:paraId="4A930C1F">
            <w:pPr>
              <w:pStyle w:val="114"/>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井口数量</w:t>
            </w:r>
          </w:p>
        </w:tc>
        <w:tc>
          <w:tcPr>
            <w:tcW w:w="818" w:type="dxa"/>
            <w:noWrap w:val="0"/>
            <w:vAlign w:val="center"/>
          </w:tcPr>
          <w:p w14:paraId="2F23BE79">
            <w:pPr>
              <w:pStyle w:val="114"/>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井深/m</w:t>
            </w:r>
          </w:p>
        </w:tc>
        <w:tc>
          <w:tcPr>
            <w:tcW w:w="849" w:type="dxa"/>
            <w:noWrap w:val="0"/>
            <w:vAlign w:val="center"/>
          </w:tcPr>
          <w:p w14:paraId="2EE006AC">
            <w:pPr>
              <w:pStyle w:val="114"/>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水位埋深/m</w:t>
            </w:r>
          </w:p>
        </w:tc>
        <w:tc>
          <w:tcPr>
            <w:tcW w:w="1675" w:type="dxa"/>
            <w:noWrap w:val="0"/>
            <w:vAlign w:val="center"/>
          </w:tcPr>
          <w:p w14:paraId="352C1346">
            <w:pPr>
              <w:pStyle w:val="114"/>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与本项目相对位置关系</w:t>
            </w:r>
          </w:p>
        </w:tc>
      </w:tr>
      <w:tr w14:paraId="6B9B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dxa"/>
            <w:noWrap w:val="0"/>
            <w:vAlign w:val="center"/>
          </w:tcPr>
          <w:p w14:paraId="438673D0">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i w:val="0"/>
                <w:iCs w:val="0"/>
                <w:color w:val="auto"/>
                <w:kern w:val="0"/>
                <w:sz w:val="22"/>
                <w:szCs w:val="22"/>
                <w:u w:val="none"/>
                <w:lang w:val="en-US" w:eastAsia="zh-CN" w:bidi="ar"/>
              </w:rPr>
              <w:t>D1</w:t>
            </w:r>
          </w:p>
        </w:tc>
        <w:tc>
          <w:tcPr>
            <w:tcW w:w="1172" w:type="dxa"/>
            <w:noWrap w:val="0"/>
            <w:vAlign w:val="center"/>
          </w:tcPr>
          <w:p w14:paraId="79B5C83B">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老房子</w:t>
            </w:r>
          </w:p>
        </w:tc>
        <w:tc>
          <w:tcPr>
            <w:tcW w:w="717" w:type="dxa"/>
            <w:noWrap w:val="0"/>
            <w:vAlign w:val="center"/>
          </w:tcPr>
          <w:p w14:paraId="1BBE056A">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i w:val="0"/>
                <w:iCs w:val="0"/>
                <w:color w:val="auto"/>
                <w:kern w:val="0"/>
                <w:sz w:val="22"/>
                <w:szCs w:val="22"/>
                <w:u w:val="none"/>
                <w:lang w:val="en-US" w:eastAsia="zh-CN" w:bidi="ar"/>
              </w:rPr>
              <w:t>***</w:t>
            </w:r>
          </w:p>
        </w:tc>
        <w:tc>
          <w:tcPr>
            <w:tcW w:w="755" w:type="dxa"/>
            <w:noWrap w:val="0"/>
            <w:vAlign w:val="center"/>
          </w:tcPr>
          <w:p w14:paraId="17E840F6">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i w:val="0"/>
                <w:iCs w:val="0"/>
                <w:color w:val="auto"/>
                <w:kern w:val="0"/>
                <w:sz w:val="22"/>
                <w:szCs w:val="22"/>
                <w:u w:val="none"/>
                <w:lang w:val="en-US" w:eastAsia="zh-CN" w:bidi="ar"/>
              </w:rPr>
              <w:t>***</w:t>
            </w:r>
          </w:p>
        </w:tc>
        <w:tc>
          <w:tcPr>
            <w:tcW w:w="830" w:type="dxa"/>
            <w:noWrap w:val="0"/>
            <w:vAlign w:val="center"/>
          </w:tcPr>
          <w:p w14:paraId="25D2EDBC">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水井</w:t>
            </w:r>
          </w:p>
        </w:tc>
        <w:tc>
          <w:tcPr>
            <w:tcW w:w="878" w:type="dxa"/>
            <w:noWrap w:val="0"/>
            <w:vAlign w:val="center"/>
          </w:tcPr>
          <w:p w14:paraId="6F1A3C36">
            <w:pPr>
              <w:widowControl/>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砂质泥岩</w:t>
            </w:r>
          </w:p>
        </w:tc>
        <w:tc>
          <w:tcPr>
            <w:tcW w:w="707" w:type="dxa"/>
            <w:noWrap w:val="0"/>
            <w:vAlign w:val="center"/>
          </w:tcPr>
          <w:p w14:paraId="03E4444C">
            <w:pPr>
              <w:pStyle w:val="114"/>
              <w:rPr>
                <w:rFonts w:hint="default" w:ascii="Times New Roman" w:hAnsi="Times New Roman" w:eastAsia="宋体" w:cs="Times New Roman"/>
                <w:color w:val="auto"/>
                <w:kern w:val="0"/>
                <w:sz w:val="22"/>
                <w:szCs w:val="22"/>
                <w:highlight w:val="none"/>
                <w:lang w:bidi="ar"/>
              </w:rPr>
            </w:pPr>
            <w:r>
              <w:rPr>
                <w:rFonts w:hint="default" w:ascii="Times New Roman" w:hAnsi="Times New Roman" w:eastAsia="宋体" w:cs="Times New Roman"/>
                <w:color w:val="auto"/>
                <w:sz w:val="22"/>
                <w:szCs w:val="22"/>
                <w:highlight w:val="none"/>
                <w:lang w:val="en-US" w:eastAsia="zh-CN"/>
              </w:rPr>
              <w:t>1</w:t>
            </w:r>
          </w:p>
        </w:tc>
        <w:tc>
          <w:tcPr>
            <w:tcW w:w="818" w:type="dxa"/>
            <w:noWrap w:val="0"/>
            <w:vAlign w:val="center"/>
          </w:tcPr>
          <w:p w14:paraId="222E1651">
            <w:pPr>
              <w:pStyle w:val="114"/>
              <w:jc w:val="center"/>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sz w:val="22"/>
                <w:szCs w:val="22"/>
                <w:highlight w:val="none"/>
                <w:lang w:val="en-US" w:eastAsia="zh-CN"/>
              </w:rPr>
              <w:t>12-16</w:t>
            </w:r>
          </w:p>
        </w:tc>
        <w:tc>
          <w:tcPr>
            <w:tcW w:w="849" w:type="dxa"/>
            <w:noWrap w:val="0"/>
            <w:vAlign w:val="center"/>
          </w:tcPr>
          <w:p w14:paraId="5E2FF29D">
            <w:pPr>
              <w:widowControl/>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w:t>
            </w:r>
          </w:p>
        </w:tc>
        <w:tc>
          <w:tcPr>
            <w:tcW w:w="1675" w:type="dxa"/>
            <w:noWrap w:val="0"/>
            <w:vAlign w:val="center"/>
          </w:tcPr>
          <w:p w14:paraId="0DEF5250">
            <w:pPr>
              <w:pStyle w:val="114"/>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现役管线南侧375</w:t>
            </w:r>
            <w:r>
              <w:rPr>
                <w:rFonts w:hint="default" w:ascii="Times New Roman" w:hAnsi="Times New Roman" w:eastAsia="宋体" w:cs="Times New Roman"/>
                <w:color w:val="auto"/>
                <w:sz w:val="22"/>
                <w:szCs w:val="22"/>
                <w:highlight w:val="none"/>
              </w:rPr>
              <w:t>m处</w:t>
            </w:r>
            <w:r>
              <w:rPr>
                <w:rFonts w:hint="default" w:ascii="Times New Roman" w:hAnsi="Times New Roman" w:eastAsia="宋体" w:cs="Times New Roman"/>
                <w:color w:val="auto"/>
                <w:sz w:val="22"/>
                <w:szCs w:val="22"/>
                <w:highlight w:val="none"/>
                <w:lang w:val="en-US" w:eastAsia="zh-CN"/>
              </w:rPr>
              <w:t>/拟建管线南侧470</w:t>
            </w:r>
            <w:r>
              <w:rPr>
                <w:rFonts w:hint="default" w:ascii="Times New Roman" w:hAnsi="Times New Roman" w:eastAsia="宋体" w:cs="Times New Roman"/>
                <w:color w:val="auto"/>
                <w:sz w:val="22"/>
                <w:szCs w:val="22"/>
                <w:highlight w:val="none"/>
              </w:rPr>
              <w:t>m处</w:t>
            </w:r>
          </w:p>
        </w:tc>
      </w:tr>
      <w:tr w14:paraId="340D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dxa"/>
            <w:noWrap w:val="0"/>
            <w:vAlign w:val="center"/>
          </w:tcPr>
          <w:p w14:paraId="4C372866">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i w:val="0"/>
                <w:iCs w:val="0"/>
                <w:color w:val="auto"/>
                <w:kern w:val="0"/>
                <w:sz w:val="22"/>
                <w:szCs w:val="22"/>
                <w:u w:val="none"/>
                <w:lang w:val="en-US" w:eastAsia="zh-CN" w:bidi="ar"/>
              </w:rPr>
              <w:t>D2</w:t>
            </w:r>
          </w:p>
        </w:tc>
        <w:tc>
          <w:tcPr>
            <w:tcW w:w="1172" w:type="dxa"/>
            <w:noWrap w:val="0"/>
            <w:vAlign w:val="center"/>
          </w:tcPr>
          <w:p w14:paraId="479A9C8D">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color w:val="auto"/>
                <w:sz w:val="22"/>
                <w:szCs w:val="22"/>
                <w:highlight w:val="none"/>
                <w:lang w:val="en-US" w:eastAsia="zh-CN"/>
              </w:rPr>
              <w:t>***村</w:t>
            </w:r>
          </w:p>
        </w:tc>
        <w:tc>
          <w:tcPr>
            <w:tcW w:w="717" w:type="dxa"/>
            <w:noWrap w:val="0"/>
            <w:vAlign w:val="center"/>
          </w:tcPr>
          <w:p w14:paraId="4FB0F5E8">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i w:val="0"/>
                <w:iCs w:val="0"/>
                <w:color w:val="auto"/>
                <w:kern w:val="0"/>
                <w:sz w:val="22"/>
                <w:szCs w:val="22"/>
                <w:u w:val="none"/>
                <w:lang w:val="en-US" w:eastAsia="zh-CN" w:bidi="ar"/>
              </w:rPr>
              <w:t>***</w:t>
            </w:r>
          </w:p>
        </w:tc>
        <w:tc>
          <w:tcPr>
            <w:tcW w:w="755" w:type="dxa"/>
            <w:noWrap w:val="0"/>
            <w:vAlign w:val="center"/>
          </w:tcPr>
          <w:p w14:paraId="04E780A9">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i w:val="0"/>
                <w:iCs w:val="0"/>
                <w:color w:val="auto"/>
                <w:kern w:val="0"/>
                <w:sz w:val="22"/>
                <w:szCs w:val="22"/>
                <w:u w:val="none"/>
                <w:lang w:val="en-US" w:eastAsia="zh-CN" w:bidi="ar"/>
              </w:rPr>
              <w:t>***</w:t>
            </w:r>
          </w:p>
        </w:tc>
        <w:tc>
          <w:tcPr>
            <w:tcW w:w="830" w:type="dxa"/>
            <w:noWrap w:val="0"/>
            <w:vAlign w:val="center"/>
          </w:tcPr>
          <w:p w14:paraId="003EB71B">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水井</w:t>
            </w:r>
          </w:p>
        </w:tc>
        <w:tc>
          <w:tcPr>
            <w:tcW w:w="878" w:type="dxa"/>
            <w:noWrap w:val="0"/>
            <w:vAlign w:val="center"/>
          </w:tcPr>
          <w:p w14:paraId="47FAEE74">
            <w:pPr>
              <w:widowControl/>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砂质泥岩</w:t>
            </w:r>
          </w:p>
        </w:tc>
        <w:tc>
          <w:tcPr>
            <w:tcW w:w="707" w:type="dxa"/>
            <w:noWrap w:val="0"/>
            <w:vAlign w:val="center"/>
          </w:tcPr>
          <w:p w14:paraId="518DDBC6">
            <w:pPr>
              <w:pStyle w:val="114"/>
              <w:rPr>
                <w:rFonts w:hint="default" w:ascii="Times New Roman" w:hAnsi="Times New Roman" w:eastAsia="宋体" w:cs="Times New Roman"/>
                <w:color w:val="auto"/>
                <w:kern w:val="0"/>
                <w:sz w:val="22"/>
                <w:szCs w:val="22"/>
                <w:highlight w:val="none"/>
                <w:lang w:bidi="ar"/>
              </w:rPr>
            </w:pPr>
            <w:r>
              <w:rPr>
                <w:rFonts w:hint="default" w:ascii="Times New Roman" w:hAnsi="Times New Roman" w:eastAsia="宋体" w:cs="Times New Roman"/>
                <w:color w:val="auto"/>
                <w:sz w:val="22"/>
                <w:szCs w:val="22"/>
                <w:highlight w:val="none"/>
                <w:lang w:val="en-US" w:eastAsia="zh-CN"/>
              </w:rPr>
              <w:t>1</w:t>
            </w:r>
          </w:p>
        </w:tc>
        <w:tc>
          <w:tcPr>
            <w:tcW w:w="818" w:type="dxa"/>
            <w:noWrap w:val="0"/>
            <w:vAlign w:val="center"/>
          </w:tcPr>
          <w:p w14:paraId="30BD9FBD">
            <w:pPr>
              <w:jc w:val="center"/>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sz w:val="22"/>
                <w:szCs w:val="22"/>
                <w:highlight w:val="none"/>
                <w:lang w:val="en-US" w:eastAsia="zh-CN"/>
              </w:rPr>
              <w:t>50</w:t>
            </w:r>
          </w:p>
        </w:tc>
        <w:tc>
          <w:tcPr>
            <w:tcW w:w="849" w:type="dxa"/>
            <w:noWrap w:val="0"/>
            <w:vAlign w:val="center"/>
          </w:tcPr>
          <w:p w14:paraId="39D70B1B">
            <w:pPr>
              <w:widowControl/>
              <w:jc w:val="center"/>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kern w:val="0"/>
                <w:sz w:val="22"/>
                <w:szCs w:val="22"/>
                <w:highlight w:val="none"/>
                <w:lang w:val="en-US" w:eastAsia="zh-CN"/>
              </w:rPr>
              <w:t>2</w:t>
            </w:r>
          </w:p>
        </w:tc>
        <w:tc>
          <w:tcPr>
            <w:tcW w:w="1675" w:type="dxa"/>
            <w:noWrap w:val="0"/>
            <w:vAlign w:val="center"/>
          </w:tcPr>
          <w:p w14:paraId="0CEDE1BB">
            <w:pPr>
              <w:pStyle w:val="114"/>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lang w:val="en-US" w:eastAsia="zh-CN"/>
              </w:rPr>
              <w:t>现役管线北侧215</w:t>
            </w:r>
            <w:r>
              <w:rPr>
                <w:rFonts w:hint="default" w:ascii="Times New Roman" w:hAnsi="Times New Roman" w:eastAsia="宋体" w:cs="Times New Roman"/>
                <w:color w:val="auto"/>
                <w:sz w:val="22"/>
                <w:szCs w:val="22"/>
                <w:highlight w:val="none"/>
              </w:rPr>
              <w:t>m处</w:t>
            </w:r>
            <w:r>
              <w:rPr>
                <w:rFonts w:hint="default" w:ascii="Times New Roman" w:hAnsi="Times New Roman" w:eastAsia="宋体" w:cs="Times New Roman"/>
                <w:color w:val="auto"/>
                <w:sz w:val="22"/>
                <w:szCs w:val="22"/>
                <w:highlight w:val="none"/>
                <w:lang w:val="en-US" w:eastAsia="zh-CN"/>
              </w:rPr>
              <w:t>/拟建管线南侧60</w:t>
            </w:r>
            <w:r>
              <w:rPr>
                <w:rFonts w:hint="default" w:ascii="Times New Roman" w:hAnsi="Times New Roman" w:eastAsia="宋体" w:cs="Times New Roman"/>
                <w:color w:val="auto"/>
                <w:sz w:val="22"/>
                <w:szCs w:val="22"/>
                <w:highlight w:val="none"/>
              </w:rPr>
              <w:t>m处</w:t>
            </w:r>
          </w:p>
        </w:tc>
      </w:tr>
      <w:tr w14:paraId="3E8D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dxa"/>
            <w:noWrap w:val="0"/>
            <w:vAlign w:val="center"/>
          </w:tcPr>
          <w:p w14:paraId="21E7C289">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i w:val="0"/>
                <w:iCs w:val="0"/>
                <w:color w:val="auto"/>
                <w:kern w:val="0"/>
                <w:sz w:val="22"/>
                <w:szCs w:val="22"/>
                <w:u w:val="none"/>
                <w:lang w:val="en-US" w:eastAsia="zh-CN" w:bidi="ar"/>
              </w:rPr>
              <w:t>D3</w:t>
            </w:r>
          </w:p>
        </w:tc>
        <w:tc>
          <w:tcPr>
            <w:tcW w:w="1172" w:type="dxa"/>
            <w:noWrap w:val="0"/>
            <w:vAlign w:val="center"/>
          </w:tcPr>
          <w:p w14:paraId="47713ADC">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菜园生田</w:t>
            </w:r>
          </w:p>
        </w:tc>
        <w:tc>
          <w:tcPr>
            <w:tcW w:w="717" w:type="dxa"/>
            <w:noWrap w:val="0"/>
            <w:vAlign w:val="center"/>
          </w:tcPr>
          <w:p w14:paraId="7E008E03">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i w:val="0"/>
                <w:iCs w:val="0"/>
                <w:color w:val="auto"/>
                <w:kern w:val="0"/>
                <w:sz w:val="22"/>
                <w:szCs w:val="22"/>
                <w:u w:val="none"/>
                <w:lang w:val="en-US" w:eastAsia="zh-CN" w:bidi="ar"/>
              </w:rPr>
              <w:t>***</w:t>
            </w:r>
          </w:p>
        </w:tc>
        <w:tc>
          <w:tcPr>
            <w:tcW w:w="755" w:type="dxa"/>
            <w:noWrap w:val="0"/>
            <w:vAlign w:val="center"/>
          </w:tcPr>
          <w:p w14:paraId="5BBB89E6">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cs="Times New Roman"/>
                <w:i w:val="0"/>
                <w:iCs w:val="0"/>
                <w:color w:val="auto"/>
                <w:kern w:val="0"/>
                <w:sz w:val="22"/>
                <w:szCs w:val="22"/>
                <w:u w:val="none"/>
                <w:lang w:val="en-US" w:eastAsia="zh-CN" w:bidi="ar"/>
              </w:rPr>
              <w:t>***</w:t>
            </w:r>
          </w:p>
        </w:tc>
        <w:tc>
          <w:tcPr>
            <w:tcW w:w="830" w:type="dxa"/>
            <w:noWrap w:val="0"/>
            <w:vAlign w:val="center"/>
          </w:tcPr>
          <w:p w14:paraId="490BD504">
            <w:pPr>
              <w:keepNext w:val="0"/>
              <w:keepLines w:val="0"/>
              <w:widowControl/>
              <w:suppressLineNumbers w:val="0"/>
              <w:jc w:val="center"/>
              <w:textAlignment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水井</w:t>
            </w:r>
          </w:p>
        </w:tc>
        <w:tc>
          <w:tcPr>
            <w:tcW w:w="878" w:type="dxa"/>
            <w:noWrap w:val="0"/>
            <w:vAlign w:val="center"/>
          </w:tcPr>
          <w:p w14:paraId="679DC7E5">
            <w:pPr>
              <w:widowControl/>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砂质泥岩</w:t>
            </w:r>
          </w:p>
        </w:tc>
        <w:tc>
          <w:tcPr>
            <w:tcW w:w="707" w:type="dxa"/>
            <w:noWrap w:val="0"/>
            <w:vAlign w:val="center"/>
          </w:tcPr>
          <w:p w14:paraId="299AB229">
            <w:pPr>
              <w:pStyle w:val="114"/>
              <w:rPr>
                <w:rFonts w:hint="default" w:ascii="Times New Roman" w:hAnsi="Times New Roman" w:eastAsia="宋体" w:cs="Times New Roman"/>
                <w:color w:val="auto"/>
                <w:kern w:val="0"/>
                <w:sz w:val="22"/>
                <w:szCs w:val="22"/>
                <w:highlight w:val="none"/>
                <w:lang w:bidi="ar"/>
              </w:rPr>
            </w:pPr>
            <w:r>
              <w:rPr>
                <w:rFonts w:hint="default" w:ascii="Times New Roman" w:hAnsi="Times New Roman" w:eastAsia="宋体" w:cs="Times New Roman"/>
                <w:color w:val="auto"/>
                <w:sz w:val="22"/>
                <w:szCs w:val="22"/>
                <w:highlight w:val="none"/>
                <w:lang w:val="en-US" w:eastAsia="zh-CN"/>
              </w:rPr>
              <w:t>1</w:t>
            </w:r>
          </w:p>
        </w:tc>
        <w:tc>
          <w:tcPr>
            <w:tcW w:w="818" w:type="dxa"/>
            <w:noWrap w:val="0"/>
            <w:vAlign w:val="center"/>
          </w:tcPr>
          <w:p w14:paraId="160480E2">
            <w:pPr>
              <w:jc w:val="center"/>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sz w:val="22"/>
                <w:szCs w:val="22"/>
                <w:highlight w:val="none"/>
                <w:lang w:val="en-US" w:eastAsia="zh-CN"/>
              </w:rPr>
              <w:t>10</w:t>
            </w:r>
          </w:p>
        </w:tc>
        <w:tc>
          <w:tcPr>
            <w:tcW w:w="849" w:type="dxa"/>
            <w:noWrap w:val="0"/>
            <w:vAlign w:val="center"/>
          </w:tcPr>
          <w:p w14:paraId="40DC0248">
            <w:pPr>
              <w:widowControl/>
              <w:jc w:val="center"/>
              <w:rPr>
                <w:rFonts w:hint="default" w:ascii="Times New Roman" w:hAnsi="Times New Roman" w:eastAsia="宋体" w:cs="Times New Roman"/>
                <w:color w:val="auto"/>
                <w:sz w:val="22"/>
                <w:szCs w:val="22"/>
                <w:highlight w:val="none"/>
                <w:lang w:val="en-US"/>
              </w:rPr>
            </w:pPr>
            <w:r>
              <w:rPr>
                <w:rFonts w:hint="default" w:ascii="Times New Roman" w:hAnsi="Times New Roman" w:eastAsia="宋体" w:cs="Times New Roman"/>
                <w:color w:val="auto"/>
                <w:kern w:val="0"/>
                <w:sz w:val="22"/>
                <w:szCs w:val="22"/>
                <w:highlight w:val="none"/>
                <w:lang w:val="en-US" w:eastAsia="zh-CN"/>
              </w:rPr>
              <w:t>2</w:t>
            </w:r>
          </w:p>
        </w:tc>
        <w:tc>
          <w:tcPr>
            <w:tcW w:w="1675" w:type="dxa"/>
            <w:noWrap w:val="0"/>
            <w:vAlign w:val="center"/>
          </w:tcPr>
          <w:p w14:paraId="3623DFA8">
            <w:pPr>
              <w:pStyle w:val="114"/>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拟建管线北侧370</w:t>
            </w:r>
            <w:r>
              <w:rPr>
                <w:rFonts w:hint="default" w:ascii="Times New Roman" w:hAnsi="Times New Roman" w:eastAsia="宋体" w:cs="Times New Roman"/>
                <w:color w:val="auto"/>
                <w:sz w:val="22"/>
                <w:szCs w:val="22"/>
                <w:highlight w:val="none"/>
              </w:rPr>
              <w:t>m处</w:t>
            </w:r>
          </w:p>
        </w:tc>
      </w:tr>
    </w:tbl>
    <w:p w14:paraId="5A7F9DD1">
      <w:pPr>
        <w:pStyle w:val="88"/>
        <w:rPr>
          <w:rFonts w:hint="default" w:ascii="Times New Roman" w:hAnsi="Times New Roman" w:eastAsia="宋体" w:cs="Times New Roman"/>
          <w:color w:val="auto"/>
        </w:rPr>
      </w:pPr>
    </w:p>
    <w:p w14:paraId="23B81294">
      <w:pPr>
        <w:spacing w:line="460" w:lineRule="exact"/>
        <w:ind w:firstLine="512" w:firstLineChars="196"/>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1.10.4 声环境保护目标</w:t>
      </w:r>
    </w:p>
    <w:p w14:paraId="5DB6E69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本项目声环境评价范围一致为管道沿线两侧各200m范围，保护目标详见表1.10-</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p w14:paraId="4C00234D">
      <w:pPr>
        <w:pStyle w:val="58"/>
        <w:rPr>
          <w:rFonts w:hint="default" w:ascii="Times New Roman" w:hAnsi="Times New Roman" w:eastAsia="宋体" w:cs="Times New Roman"/>
          <w:color w:val="auto"/>
        </w:rPr>
      </w:pPr>
    </w:p>
    <w:p w14:paraId="2AFBE031">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表1.10-</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 xml:space="preserve"> 保护目标统计表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1272"/>
        <w:gridCol w:w="1185"/>
        <w:gridCol w:w="1395"/>
        <w:gridCol w:w="420"/>
        <w:gridCol w:w="1125"/>
        <w:gridCol w:w="570"/>
        <w:gridCol w:w="1020"/>
        <w:gridCol w:w="1589"/>
      </w:tblGrid>
      <w:tr w14:paraId="0B77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blHeader/>
          <w:jc w:val="center"/>
        </w:trPr>
        <w:tc>
          <w:tcPr>
            <w:tcW w:w="206" w:type="pct"/>
            <w:vMerge w:val="restart"/>
            <w:noWrap w:val="0"/>
            <w:vAlign w:val="center"/>
          </w:tcPr>
          <w:p w14:paraId="4E824461">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2"/>
                <w:szCs w:val="22"/>
                <w:highlight w:val="none"/>
              </w:rPr>
            </w:pPr>
            <w:r>
              <w:rPr>
                <w:rFonts w:hint="default" w:ascii="Times New Roman" w:hAnsi="Times New Roman" w:eastAsia="宋体" w:cs="Times New Roman"/>
                <w:b/>
                <w:bCs/>
                <w:color w:val="auto"/>
                <w:kern w:val="0"/>
                <w:sz w:val="22"/>
                <w:szCs w:val="22"/>
                <w:highlight w:val="none"/>
              </w:rPr>
              <w:t>编号</w:t>
            </w:r>
          </w:p>
        </w:tc>
        <w:tc>
          <w:tcPr>
            <w:tcW w:w="710" w:type="pct"/>
            <w:vMerge w:val="restart"/>
            <w:noWrap w:val="0"/>
            <w:vAlign w:val="center"/>
          </w:tcPr>
          <w:p w14:paraId="2EB0964C">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2"/>
                <w:szCs w:val="22"/>
                <w:highlight w:val="none"/>
              </w:rPr>
            </w:pPr>
            <w:r>
              <w:rPr>
                <w:rFonts w:hint="default" w:ascii="Times New Roman" w:hAnsi="Times New Roman" w:eastAsia="宋体" w:cs="Times New Roman"/>
                <w:b/>
                <w:bCs/>
                <w:color w:val="auto"/>
                <w:kern w:val="0"/>
                <w:sz w:val="22"/>
                <w:szCs w:val="22"/>
                <w:highlight w:val="none"/>
              </w:rPr>
              <w:t>保护目标名称</w:t>
            </w:r>
          </w:p>
        </w:tc>
        <w:tc>
          <w:tcPr>
            <w:tcW w:w="1676" w:type="pct"/>
            <w:gridSpan w:val="3"/>
            <w:noWrap w:val="0"/>
            <w:vAlign w:val="center"/>
          </w:tcPr>
          <w:p w14:paraId="4E8FBC3D">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2"/>
                <w:szCs w:val="22"/>
                <w:highlight w:val="none"/>
              </w:rPr>
            </w:pPr>
            <w:r>
              <w:rPr>
                <w:rFonts w:hint="default" w:ascii="Times New Roman" w:hAnsi="Times New Roman" w:eastAsia="宋体" w:cs="Times New Roman"/>
                <w:b/>
                <w:bCs/>
                <w:color w:val="auto"/>
                <w:kern w:val="0"/>
                <w:sz w:val="22"/>
                <w:szCs w:val="22"/>
                <w:highlight w:val="none"/>
              </w:rPr>
              <w:t>空间相对位置关系/m</w:t>
            </w:r>
          </w:p>
        </w:tc>
        <w:tc>
          <w:tcPr>
            <w:tcW w:w="628" w:type="pct"/>
            <w:vMerge w:val="restart"/>
            <w:noWrap w:val="0"/>
            <w:vAlign w:val="center"/>
          </w:tcPr>
          <w:p w14:paraId="71F71532">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2"/>
                <w:szCs w:val="22"/>
                <w:highlight w:val="none"/>
              </w:rPr>
            </w:pPr>
            <w:r>
              <w:rPr>
                <w:rFonts w:hint="default" w:ascii="Times New Roman" w:hAnsi="Times New Roman" w:eastAsia="宋体" w:cs="Times New Roman"/>
                <w:b/>
                <w:bCs/>
                <w:color w:val="auto"/>
                <w:kern w:val="0"/>
                <w:sz w:val="22"/>
                <w:szCs w:val="22"/>
                <w:highlight w:val="none"/>
              </w:rPr>
              <w:t>距</w:t>
            </w:r>
            <w:r>
              <w:rPr>
                <w:rFonts w:hint="default" w:ascii="Times New Roman" w:hAnsi="Times New Roman" w:eastAsia="宋体" w:cs="Times New Roman"/>
                <w:b/>
                <w:bCs/>
                <w:color w:val="auto"/>
                <w:kern w:val="0"/>
                <w:sz w:val="22"/>
                <w:szCs w:val="22"/>
                <w:highlight w:val="none"/>
                <w:lang w:val="en-US" w:eastAsia="zh-CN"/>
              </w:rPr>
              <w:t>管线</w:t>
            </w:r>
            <w:r>
              <w:rPr>
                <w:rFonts w:hint="default" w:ascii="Times New Roman" w:hAnsi="Times New Roman" w:eastAsia="宋体" w:cs="Times New Roman"/>
                <w:b/>
                <w:bCs/>
                <w:color w:val="auto"/>
                <w:kern w:val="0"/>
                <w:sz w:val="22"/>
                <w:szCs w:val="22"/>
                <w:highlight w:val="none"/>
              </w:rPr>
              <w:t>最近距离/m</w:t>
            </w:r>
          </w:p>
        </w:tc>
        <w:tc>
          <w:tcPr>
            <w:tcW w:w="318" w:type="pct"/>
            <w:vMerge w:val="restart"/>
            <w:noWrap w:val="0"/>
            <w:vAlign w:val="center"/>
          </w:tcPr>
          <w:p w14:paraId="361AEE41">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2"/>
                <w:szCs w:val="22"/>
                <w:highlight w:val="none"/>
              </w:rPr>
            </w:pPr>
            <w:r>
              <w:rPr>
                <w:rFonts w:hint="default" w:ascii="Times New Roman" w:hAnsi="Times New Roman" w:eastAsia="宋体" w:cs="Times New Roman"/>
                <w:b/>
                <w:bCs/>
                <w:color w:val="auto"/>
                <w:kern w:val="0"/>
                <w:sz w:val="22"/>
                <w:szCs w:val="22"/>
                <w:highlight w:val="none"/>
              </w:rPr>
              <w:t>方位</w:t>
            </w:r>
          </w:p>
        </w:tc>
        <w:tc>
          <w:tcPr>
            <w:tcW w:w="570" w:type="pct"/>
            <w:vMerge w:val="restart"/>
            <w:noWrap w:val="0"/>
            <w:vAlign w:val="center"/>
          </w:tcPr>
          <w:p w14:paraId="53E7818C">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2"/>
                <w:szCs w:val="22"/>
                <w:highlight w:val="none"/>
              </w:rPr>
            </w:pPr>
            <w:r>
              <w:rPr>
                <w:rFonts w:hint="default" w:ascii="Times New Roman" w:hAnsi="Times New Roman" w:eastAsia="宋体" w:cs="Times New Roman"/>
                <w:b/>
                <w:bCs/>
                <w:color w:val="auto"/>
                <w:kern w:val="0"/>
                <w:sz w:val="22"/>
                <w:szCs w:val="22"/>
                <w:highlight w:val="none"/>
              </w:rPr>
              <w:t>执行标准/功能区类别</w:t>
            </w:r>
          </w:p>
        </w:tc>
        <w:tc>
          <w:tcPr>
            <w:tcW w:w="888" w:type="pct"/>
            <w:vMerge w:val="restart"/>
            <w:noWrap w:val="0"/>
            <w:vAlign w:val="center"/>
          </w:tcPr>
          <w:p w14:paraId="3AA411BE">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2"/>
                <w:szCs w:val="22"/>
                <w:highlight w:val="none"/>
              </w:rPr>
            </w:pPr>
            <w:r>
              <w:rPr>
                <w:rFonts w:hint="default" w:ascii="Times New Roman" w:hAnsi="Times New Roman" w:eastAsia="宋体" w:cs="Times New Roman"/>
                <w:b/>
                <w:bCs/>
                <w:color w:val="auto"/>
                <w:kern w:val="0"/>
                <w:sz w:val="22"/>
                <w:szCs w:val="22"/>
                <w:highlight w:val="none"/>
              </w:rPr>
              <w:t>声环境保护目标情况说明</w:t>
            </w:r>
          </w:p>
        </w:tc>
      </w:tr>
      <w:tr w14:paraId="043F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206" w:type="pct"/>
            <w:vMerge w:val="continue"/>
            <w:noWrap w:val="0"/>
            <w:vAlign w:val="center"/>
          </w:tcPr>
          <w:p w14:paraId="15CCB826">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2"/>
                <w:szCs w:val="22"/>
                <w:highlight w:val="none"/>
              </w:rPr>
            </w:pPr>
          </w:p>
        </w:tc>
        <w:tc>
          <w:tcPr>
            <w:tcW w:w="710" w:type="pct"/>
            <w:vMerge w:val="continue"/>
            <w:noWrap w:val="0"/>
            <w:vAlign w:val="center"/>
          </w:tcPr>
          <w:p w14:paraId="2F64E00B">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2"/>
                <w:szCs w:val="22"/>
                <w:highlight w:val="none"/>
              </w:rPr>
            </w:pPr>
          </w:p>
        </w:tc>
        <w:tc>
          <w:tcPr>
            <w:tcW w:w="662" w:type="pct"/>
            <w:noWrap w:val="0"/>
            <w:vAlign w:val="center"/>
          </w:tcPr>
          <w:p w14:paraId="3BD2AF5A">
            <w:pPr>
              <w:widowControl/>
              <w:adjustRightInd w:val="0"/>
              <w:snapToGrid w:val="0"/>
              <w:spacing w:line="240" w:lineRule="auto"/>
              <w:ind w:firstLine="0" w:firstLineChars="0"/>
              <w:jc w:val="center"/>
              <w:rPr>
                <w:rFonts w:hint="default" w:ascii="Times New Roman" w:hAnsi="Times New Roman" w:eastAsia="宋体" w:cs="Times New Roman"/>
                <w:i/>
                <w:color w:val="auto"/>
                <w:kern w:val="0"/>
                <w:sz w:val="22"/>
                <w:szCs w:val="22"/>
                <w:highlight w:val="none"/>
              </w:rPr>
            </w:pPr>
            <w:r>
              <w:rPr>
                <w:rFonts w:hint="default" w:ascii="Times New Roman" w:hAnsi="Times New Roman" w:eastAsia="宋体" w:cs="Times New Roman"/>
                <w:i/>
                <w:color w:val="auto"/>
                <w:kern w:val="0"/>
                <w:sz w:val="22"/>
                <w:szCs w:val="22"/>
                <w:highlight w:val="none"/>
              </w:rPr>
              <w:t>X</w:t>
            </w:r>
          </w:p>
        </w:tc>
        <w:tc>
          <w:tcPr>
            <w:tcW w:w="779" w:type="pct"/>
            <w:noWrap w:val="0"/>
            <w:vAlign w:val="center"/>
          </w:tcPr>
          <w:p w14:paraId="49081C2D">
            <w:pPr>
              <w:widowControl/>
              <w:adjustRightInd w:val="0"/>
              <w:snapToGrid w:val="0"/>
              <w:spacing w:line="240" w:lineRule="auto"/>
              <w:ind w:firstLine="0" w:firstLineChars="0"/>
              <w:jc w:val="center"/>
              <w:rPr>
                <w:rFonts w:hint="default" w:ascii="Times New Roman" w:hAnsi="Times New Roman" w:eastAsia="宋体" w:cs="Times New Roman"/>
                <w:i/>
                <w:color w:val="auto"/>
                <w:kern w:val="0"/>
                <w:sz w:val="22"/>
                <w:szCs w:val="22"/>
                <w:highlight w:val="none"/>
              </w:rPr>
            </w:pPr>
            <w:r>
              <w:rPr>
                <w:rFonts w:hint="default" w:ascii="Times New Roman" w:hAnsi="Times New Roman" w:eastAsia="宋体" w:cs="Times New Roman"/>
                <w:i/>
                <w:color w:val="auto"/>
                <w:kern w:val="0"/>
                <w:sz w:val="22"/>
                <w:szCs w:val="22"/>
                <w:highlight w:val="none"/>
              </w:rPr>
              <w:t>Y</w:t>
            </w:r>
          </w:p>
        </w:tc>
        <w:tc>
          <w:tcPr>
            <w:tcW w:w="234" w:type="pct"/>
            <w:noWrap w:val="0"/>
            <w:vAlign w:val="center"/>
          </w:tcPr>
          <w:p w14:paraId="77ED2384">
            <w:pPr>
              <w:widowControl/>
              <w:adjustRightInd w:val="0"/>
              <w:snapToGrid w:val="0"/>
              <w:spacing w:line="240" w:lineRule="auto"/>
              <w:ind w:firstLine="0" w:firstLineChars="0"/>
              <w:jc w:val="center"/>
              <w:rPr>
                <w:rFonts w:hint="default" w:ascii="Times New Roman" w:hAnsi="Times New Roman" w:eastAsia="宋体" w:cs="Times New Roman"/>
                <w:i/>
                <w:color w:val="auto"/>
                <w:kern w:val="0"/>
                <w:sz w:val="22"/>
                <w:szCs w:val="22"/>
                <w:highlight w:val="none"/>
              </w:rPr>
            </w:pPr>
            <w:r>
              <w:rPr>
                <w:rFonts w:hint="default" w:ascii="Times New Roman" w:hAnsi="Times New Roman" w:eastAsia="宋体" w:cs="Times New Roman"/>
                <w:i/>
                <w:color w:val="auto"/>
                <w:kern w:val="0"/>
                <w:sz w:val="22"/>
                <w:szCs w:val="22"/>
                <w:highlight w:val="none"/>
              </w:rPr>
              <w:t>Z</w:t>
            </w:r>
          </w:p>
        </w:tc>
        <w:tc>
          <w:tcPr>
            <w:tcW w:w="628" w:type="pct"/>
            <w:vMerge w:val="continue"/>
            <w:noWrap w:val="0"/>
            <w:vAlign w:val="center"/>
          </w:tcPr>
          <w:p w14:paraId="424A1582">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2"/>
                <w:szCs w:val="22"/>
                <w:highlight w:val="none"/>
              </w:rPr>
            </w:pPr>
          </w:p>
        </w:tc>
        <w:tc>
          <w:tcPr>
            <w:tcW w:w="318" w:type="pct"/>
            <w:vMerge w:val="continue"/>
            <w:noWrap w:val="0"/>
            <w:vAlign w:val="center"/>
          </w:tcPr>
          <w:p w14:paraId="62157D0C">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2"/>
                <w:szCs w:val="22"/>
                <w:highlight w:val="none"/>
              </w:rPr>
            </w:pPr>
          </w:p>
        </w:tc>
        <w:tc>
          <w:tcPr>
            <w:tcW w:w="570" w:type="pct"/>
            <w:vMerge w:val="continue"/>
            <w:noWrap w:val="0"/>
            <w:vAlign w:val="center"/>
          </w:tcPr>
          <w:p w14:paraId="18B9864D">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2"/>
                <w:szCs w:val="22"/>
                <w:highlight w:val="none"/>
              </w:rPr>
            </w:pPr>
          </w:p>
        </w:tc>
        <w:tc>
          <w:tcPr>
            <w:tcW w:w="888" w:type="pct"/>
            <w:vMerge w:val="continue"/>
            <w:noWrap w:val="0"/>
            <w:vAlign w:val="center"/>
          </w:tcPr>
          <w:p w14:paraId="387A4365">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2"/>
                <w:szCs w:val="22"/>
                <w:highlight w:val="none"/>
              </w:rPr>
            </w:pPr>
          </w:p>
        </w:tc>
      </w:tr>
      <w:tr w14:paraId="649F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6" w:type="pct"/>
            <w:noWrap/>
            <w:vAlign w:val="center"/>
          </w:tcPr>
          <w:p w14:paraId="1E75F7E5">
            <w:pPr>
              <w:widowControl/>
              <w:numPr>
                <w:ilvl w:val="0"/>
                <w:numId w:val="5"/>
              </w:numPr>
              <w:adjustRightInd w:val="0"/>
              <w:snapToGrid w:val="0"/>
              <w:spacing w:line="240" w:lineRule="auto"/>
              <w:ind w:left="425" w:leftChars="0" w:hanging="425" w:firstLineChars="0"/>
              <w:jc w:val="center"/>
              <w:rPr>
                <w:rFonts w:hint="default" w:ascii="Times New Roman" w:hAnsi="Times New Roman" w:eastAsia="宋体" w:cs="Times New Roman"/>
                <w:color w:val="auto"/>
                <w:kern w:val="0"/>
                <w:sz w:val="22"/>
                <w:szCs w:val="22"/>
                <w:highlight w:val="none"/>
              </w:rPr>
            </w:pPr>
          </w:p>
        </w:tc>
        <w:tc>
          <w:tcPr>
            <w:tcW w:w="710" w:type="pct"/>
            <w:noWrap/>
            <w:vAlign w:val="center"/>
          </w:tcPr>
          <w:p w14:paraId="4B3FCE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1#居民点</w:t>
            </w:r>
          </w:p>
        </w:tc>
        <w:tc>
          <w:tcPr>
            <w:tcW w:w="662" w:type="pct"/>
            <w:noWrap/>
            <w:vAlign w:val="center"/>
          </w:tcPr>
          <w:p w14:paraId="1E32D7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779" w:type="pct"/>
            <w:noWrap/>
            <w:vAlign w:val="center"/>
          </w:tcPr>
          <w:p w14:paraId="0D3A84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234" w:type="pct"/>
            <w:noWrap/>
            <w:vAlign w:val="center"/>
          </w:tcPr>
          <w:p w14:paraId="78E193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c>
          <w:tcPr>
            <w:tcW w:w="628" w:type="pct"/>
            <w:noWrap/>
            <w:vAlign w:val="center"/>
          </w:tcPr>
          <w:p w14:paraId="17C3D5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34</w:t>
            </w:r>
          </w:p>
        </w:tc>
        <w:tc>
          <w:tcPr>
            <w:tcW w:w="318" w:type="pct"/>
            <w:noWrap/>
            <w:vAlign w:val="center"/>
          </w:tcPr>
          <w:p w14:paraId="1E7BF90C">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N</w:t>
            </w:r>
          </w:p>
        </w:tc>
        <w:tc>
          <w:tcPr>
            <w:tcW w:w="570" w:type="pct"/>
            <w:vMerge w:val="restart"/>
            <w:noWrap/>
            <w:vAlign w:val="center"/>
          </w:tcPr>
          <w:p w14:paraId="024661CC">
            <w:pPr>
              <w:widowControl/>
              <w:adjustRightInd w:val="0"/>
              <w:snapToGrid w:val="0"/>
              <w:spacing w:line="240" w:lineRule="auto"/>
              <w:ind w:firstLine="0" w:firstLineChars="0"/>
              <w:jc w:val="center"/>
              <w:rPr>
                <w:rFonts w:hint="default" w:ascii="Times New Roman" w:hAnsi="Times New Roman" w:eastAsia="宋体" w:cs="Times New Roman"/>
                <w:color w:val="auto"/>
                <w:sz w:val="22"/>
                <w:szCs w:val="22"/>
                <w:highlight w:val="none"/>
                <w:lang w:bidi="ar"/>
              </w:rPr>
            </w:pPr>
            <w:r>
              <w:rPr>
                <w:rFonts w:hint="default" w:ascii="Times New Roman" w:hAnsi="Times New Roman" w:eastAsia="宋体" w:cs="Times New Roman"/>
                <w:color w:val="auto"/>
                <w:sz w:val="22"/>
                <w:szCs w:val="22"/>
                <w:highlight w:val="none"/>
                <w:lang w:bidi="ar"/>
              </w:rPr>
              <w:t>2类声环境功能区</w:t>
            </w:r>
          </w:p>
        </w:tc>
        <w:tc>
          <w:tcPr>
            <w:tcW w:w="888" w:type="pct"/>
            <w:noWrap/>
            <w:vAlign w:val="center"/>
          </w:tcPr>
          <w:p w14:paraId="701B0AEA">
            <w:pPr>
              <w:adjustRightInd w:val="0"/>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sz w:val="22"/>
                <w:szCs w:val="22"/>
                <w:highlight w:val="none"/>
                <w:lang w:val="en-US" w:eastAsia="zh-CN" w:bidi="ar"/>
              </w:rPr>
              <w:t>1F～2F</w:t>
            </w:r>
            <w:r>
              <w:rPr>
                <w:rFonts w:hint="default" w:ascii="Times New Roman" w:hAnsi="Times New Roman" w:eastAsia="宋体" w:cs="Times New Roman"/>
                <w:color w:val="auto"/>
                <w:kern w:val="0"/>
                <w:sz w:val="22"/>
                <w:szCs w:val="22"/>
                <w:highlight w:val="none"/>
                <w:lang w:val="en-US" w:eastAsia="zh-CN" w:bidi="ar-SA"/>
              </w:rPr>
              <w:t>，8户，约24人</w:t>
            </w:r>
          </w:p>
        </w:tc>
      </w:tr>
      <w:tr w14:paraId="56F7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6" w:type="pct"/>
            <w:noWrap/>
            <w:vAlign w:val="center"/>
          </w:tcPr>
          <w:p w14:paraId="6B0C0AB0">
            <w:pPr>
              <w:widowControl/>
              <w:numPr>
                <w:ilvl w:val="0"/>
                <w:numId w:val="5"/>
              </w:numPr>
              <w:adjustRightInd w:val="0"/>
              <w:snapToGrid w:val="0"/>
              <w:spacing w:line="240" w:lineRule="auto"/>
              <w:ind w:left="425" w:leftChars="0" w:hanging="425" w:firstLineChars="0"/>
              <w:jc w:val="center"/>
              <w:rPr>
                <w:rFonts w:hint="default" w:ascii="Times New Roman" w:hAnsi="Times New Roman" w:eastAsia="宋体" w:cs="Times New Roman"/>
                <w:color w:val="auto"/>
                <w:kern w:val="0"/>
                <w:sz w:val="22"/>
                <w:szCs w:val="22"/>
                <w:highlight w:val="none"/>
              </w:rPr>
            </w:pPr>
          </w:p>
        </w:tc>
        <w:tc>
          <w:tcPr>
            <w:tcW w:w="710" w:type="pct"/>
            <w:noWrap/>
            <w:vAlign w:val="center"/>
          </w:tcPr>
          <w:p w14:paraId="4F14D8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2#居民点</w:t>
            </w:r>
          </w:p>
        </w:tc>
        <w:tc>
          <w:tcPr>
            <w:tcW w:w="662" w:type="pct"/>
            <w:noWrap/>
            <w:vAlign w:val="center"/>
          </w:tcPr>
          <w:p w14:paraId="368D7A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779" w:type="pct"/>
            <w:noWrap/>
            <w:vAlign w:val="center"/>
          </w:tcPr>
          <w:p w14:paraId="3F12AE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234" w:type="pct"/>
            <w:noWrap/>
            <w:vAlign w:val="center"/>
          </w:tcPr>
          <w:p w14:paraId="47B23C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c>
          <w:tcPr>
            <w:tcW w:w="628" w:type="pct"/>
            <w:noWrap/>
            <w:vAlign w:val="center"/>
          </w:tcPr>
          <w:p w14:paraId="41987D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28</w:t>
            </w:r>
          </w:p>
        </w:tc>
        <w:tc>
          <w:tcPr>
            <w:tcW w:w="318" w:type="pct"/>
            <w:noWrap/>
            <w:vAlign w:val="center"/>
          </w:tcPr>
          <w:p w14:paraId="1A4742A3">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N</w:t>
            </w:r>
          </w:p>
        </w:tc>
        <w:tc>
          <w:tcPr>
            <w:tcW w:w="570" w:type="pct"/>
            <w:vMerge w:val="continue"/>
            <w:noWrap/>
            <w:vAlign w:val="center"/>
          </w:tcPr>
          <w:p w14:paraId="6E92299E">
            <w:pPr>
              <w:widowControl/>
              <w:adjustRightInd w:val="0"/>
              <w:snapToGrid w:val="0"/>
              <w:spacing w:line="240" w:lineRule="auto"/>
              <w:ind w:firstLine="0" w:firstLineChars="0"/>
              <w:jc w:val="center"/>
              <w:rPr>
                <w:rFonts w:hint="default" w:ascii="Times New Roman" w:hAnsi="Times New Roman" w:eastAsia="宋体" w:cs="Times New Roman"/>
                <w:color w:val="auto"/>
                <w:sz w:val="22"/>
                <w:szCs w:val="22"/>
                <w:highlight w:val="none"/>
                <w:lang w:bidi="ar"/>
              </w:rPr>
            </w:pPr>
          </w:p>
        </w:tc>
        <w:tc>
          <w:tcPr>
            <w:tcW w:w="888" w:type="pct"/>
            <w:noWrap/>
            <w:vAlign w:val="center"/>
          </w:tcPr>
          <w:p w14:paraId="49602B8C">
            <w:pPr>
              <w:adjustRightInd w:val="0"/>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sz w:val="22"/>
                <w:szCs w:val="22"/>
                <w:highlight w:val="none"/>
                <w:lang w:val="en-US" w:eastAsia="zh-CN" w:bidi="ar"/>
              </w:rPr>
              <w:t>1F～2F</w:t>
            </w:r>
            <w:r>
              <w:rPr>
                <w:rFonts w:hint="default" w:ascii="Times New Roman" w:hAnsi="Times New Roman" w:eastAsia="宋体" w:cs="Times New Roman"/>
                <w:color w:val="auto"/>
                <w:kern w:val="0"/>
                <w:sz w:val="22"/>
                <w:szCs w:val="22"/>
                <w:highlight w:val="none"/>
                <w:lang w:val="en-US" w:eastAsia="zh-CN" w:bidi="ar-SA"/>
              </w:rPr>
              <w:t>，3户，约9人</w:t>
            </w:r>
          </w:p>
        </w:tc>
      </w:tr>
      <w:tr w14:paraId="6A04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6" w:type="pct"/>
            <w:noWrap/>
            <w:vAlign w:val="center"/>
          </w:tcPr>
          <w:p w14:paraId="380108A0">
            <w:pPr>
              <w:widowControl/>
              <w:numPr>
                <w:ilvl w:val="0"/>
                <w:numId w:val="5"/>
              </w:numPr>
              <w:adjustRightInd w:val="0"/>
              <w:snapToGrid w:val="0"/>
              <w:spacing w:line="240" w:lineRule="auto"/>
              <w:ind w:left="425" w:leftChars="0" w:hanging="425" w:firstLineChars="0"/>
              <w:jc w:val="center"/>
              <w:rPr>
                <w:rFonts w:hint="default" w:ascii="Times New Roman" w:hAnsi="Times New Roman" w:eastAsia="宋体" w:cs="Times New Roman"/>
                <w:color w:val="auto"/>
                <w:kern w:val="0"/>
                <w:sz w:val="22"/>
                <w:szCs w:val="22"/>
                <w:highlight w:val="none"/>
              </w:rPr>
            </w:pPr>
          </w:p>
        </w:tc>
        <w:tc>
          <w:tcPr>
            <w:tcW w:w="710" w:type="pct"/>
            <w:noWrap/>
            <w:vAlign w:val="center"/>
          </w:tcPr>
          <w:p w14:paraId="4AC3C2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3#居民点</w:t>
            </w:r>
          </w:p>
        </w:tc>
        <w:tc>
          <w:tcPr>
            <w:tcW w:w="662" w:type="pct"/>
            <w:noWrap/>
            <w:vAlign w:val="center"/>
          </w:tcPr>
          <w:p w14:paraId="46D5B4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779" w:type="pct"/>
            <w:noWrap/>
            <w:vAlign w:val="center"/>
          </w:tcPr>
          <w:p w14:paraId="51C944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234" w:type="pct"/>
            <w:noWrap/>
            <w:vAlign w:val="center"/>
          </w:tcPr>
          <w:p w14:paraId="4A52CE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c>
          <w:tcPr>
            <w:tcW w:w="628" w:type="pct"/>
            <w:noWrap/>
            <w:vAlign w:val="center"/>
          </w:tcPr>
          <w:p w14:paraId="42A2EE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145</w:t>
            </w:r>
          </w:p>
        </w:tc>
        <w:tc>
          <w:tcPr>
            <w:tcW w:w="318" w:type="pct"/>
            <w:noWrap/>
            <w:vAlign w:val="center"/>
          </w:tcPr>
          <w:p w14:paraId="6C072CF0">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N</w:t>
            </w:r>
          </w:p>
        </w:tc>
        <w:tc>
          <w:tcPr>
            <w:tcW w:w="570" w:type="pct"/>
            <w:vMerge w:val="continue"/>
            <w:noWrap/>
            <w:vAlign w:val="center"/>
          </w:tcPr>
          <w:p w14:paraId="07BD1502">
            <w:pPr>
              <w:widowControl/>
              <w:adjustRightInd w:val="0"/>
              <w:snapToGrid w:val="0"/>
              <w:spacing w:line="240" w:lineRule="auto"/>
              <w:ind w:firstLine="0" w:firstLineChars="0"/>
              <w:jc w:val="center"/>
              <w:rPr>
                <w:rFonts w:hint="default" w:ascii="Times New Roman" w:hAnsi="Times New Roman" w:eastAsia="宋体" w:cs="Times New Roman"/>
                <w:color w:val="auto"/>
                <w:sz w:val="22"/>
                <w:szCs w:val="22"/>
                <w:highlight w:val="none"/>
                <w:lang w:bidi="ar"/>
              </w:rPr>
            </w:pPr>
          </w:p>
        </w:tc>
        <w:tc>
          <w:tcPr>
            <w:tcW w:w="888" w:type="pct"/>
            <w:noWrap/>
            <w:vAlign w:val="center"/>
          </w:tcPr>
          <w:p w14:paraId="486E6AA3">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1F～2F</w:t>
            </w:r>
            <w:r>
              <w:rPr>
                <w:rFonts w:hint="default" w:ascii="Times New Roman" w:hAnsi="Times New Roman" w:eastAsia="宋体" w:cs="Times New Roman"/>
                <w:color w:val="auto"/>
                <w:kern w:val="0"/>
                <w:sz w:val="22"/>
                <w:szCs w:val="22"/>
                <w:highlight w:val="none"/>
                <w:lang w:val="en-US" w:eastAsia="zh-CN" w:bidi="ar-SA"/>
              </w:rPr>
              <w:t>，3户，约9人</w:t>
            </w:r>
          </w:p>
        </w:tc>
      </w:tr>
      <w:tr w14:paraId="21F5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6" w:type="pct"/>
            <w:noWrap/>
            <w:vAlign w:val="center"/>
          </w:tcPr>
          <w:p w14:paraId="00C6EBEE">
            <w:pPr>
              <w:widowControl/>
              <w:numPr>
                <w:ilvl w:val="0"/>
                <w:numId w:val="5"/>
              </w:numPr>
              <w:adjustRightInd w:val="0"/>
              <w:snapToGrid w:val="0"/>
              <w:spacing w:line="240" w:lineRule="auto"/>
              <w:ind w:left="425" w:leftChars="0" w:hanging="425" w:firstLineChars="0"/>
              <w:jc w:val="center"/>
              <w:rPr>
                <w:rFonts w:hint="default" w:ascii="Times New Roman" w:hAnsi="Times New Roman" w:eastAsia="宋体" w:cs="Times New Roman"/>
                <w:color w:val="auto"/>
                <w:kern w:val="0"/>
                <w:sz w:val="22"/>
                <w:szCs w:val="22"/>
                <w:highlight w:val="none"/>
              </w:rPr>
            </w:pPr>
          </w:p>
        </w:tc>
        <w:tc>
          <w:tcPr>
            <w:tcW w:w="710" w:type="pct"/>
            <w:noWrap/>
            <w:vAlign w:val="center"/>
          </w:tcPr>
          <w:p w14:paraId="5A6348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4#居民点</w:t>
            </w:r>
          </w:p>
        </w:tc>
        <w:tc>
          <w:tcPr>
            <w:tcW w:w="662" w:type="pct"/>
            <w:noWrap/>
            <w:vAlign w:val="center"/>
          </w:tcPr>
          <w:p w14:paraId="3E4E6A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779" w:type="pct"/>
            <w:noWrap/>
            <w:vAlign w:val="center"/>
          </w:tcPr>
          <w:p w14:paraId="0FEC8D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234" w:type="pct"/>
            <w:noWrap/>
            <w:vAlign w:val="center"/>
          </w:tcPr>
          <w:p w14:paraId="625D47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c>
          <w:tcPr>
            <w:tcW w:w="628" w:type="pct"/>
            <w:noWrap/>
            <w:vAlign w:val="center"/>
          </w:tcPr>
          <w:p w14:paraId="753B85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95</w:t>
            </w:r>
          </w:p>
        </w:tc>
        <w:tc>
          <w:tcPr>
            <w:tcW w:w="318" w:type="pct"/>
            <w:noWrap/>
            <w:vAlign w:val="center"/>
          </w:tcPr>
          <w:p w14:paraId="5FD229DC">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SE</w:t>
            </w:r>
          </w:p>
        </w:tc>
        <w:tc>
          <w:tcPr>
            <w:tcW w:w="570" w:type="pct"/>
            <w:vMerge w:val="continue"/>
            <w:noWrap/>
            <w:vAlign w:val="center"/>
          </w:tcPr>
          <w:p w14:paraId="5A640707">
            <w:pPr>
              <w:widowControl/>
              <w:adjustRightInd w:val="0"/>
              <w:snapToGrid w:val="0"/>
              <w:spacing w:line="240" w:lineRule="auto"/>
              <w:ind w:firstLine="0" w:firstLineChars="0"/>
              <w:jc w:val="center"/>
              <w:rPr>
                <w:rFonts w:hint="default" w:ascii="Times New Roman" w:hAnsi="Times New Roman" w:eastAsia="宋体" w:cs="Times New Roman"/>
                <w:color w:val="auto"/>
                <w:sz w:val="22"/>
                <w:szCs w:val="22"/>
                <w:highlight w:val="none"/>
                <w:lang w:bidi="ar"/>
              </w:rPr>
            </w:pPr>
          </w:p>
        </w:tc>
        <w:tc>
          <w:tcPr>
            <w:tcW w:w="888" w:type="pct"/>
            <w:noWrap/>
            <w:vAlign w:val="center"/>
          </w:tcPr>
          <w:p w14:paraId="7D09E5DC">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2F</w:t>
            </w:r>
            <w:r>
              <w:rPr>
                <w:rFonts w:hint="default" w:ascii="Times New Roman" w:hAnsi="Times New Roman" w:eastAsia="宋体" w:cs="Times New Roman"/>
                <w:color w:val="auto"/>
                <w:kern w:val="0"/>
                <w:sz w:val="22"/>
                <w:szCs w:val="22"/>
                <w:highlight w:val="none"/>
                <w:lang w:val="en-US" w:eastAsia="zh-CN" w:bidi="ar-SA"/>
              </w:rPr>
              <w:t>，1户，约3人</w:t>
            </w:r>
          </w:p>
        </w:tc>
      </w:tr>
      <w:tr w14:paraId="4FB3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6" w:type="pct"/>
            <w:noWrap/>
            <w:vAlign w:val="center"/>
          </w:tcPr>
          <w:p w14:paraId="78570F2E">
            <w:pPr>
              <w:widowControl/>
              <w:numPr>
                <w:ilvl w:val="0"/>
                <w:numId w:val="5"/>
              </w:numPr>
              <w:adjustRightInd w:val="0"/>
              <w:snapToGrid w:val="0"/>
              <w:spacing w:line="240" w:lineRule="auto"/>
              <w:ind w:left="425" w:leftChars="0" w:hanging="425" w:firstLineChars="0"/>
              <w:jc w:val="center"/>
              <w:rPr>
                <w:rFonts w:hint="default" w:ascii="Times New Roman" w:hAnsi="Times New Roman" w:eastAsia="宋体" w:cs="Times New Roman"/>
                <w:color w:val="auto"/>
                <w:kern w:val="0"/>
                <w:sz w:val="22"/>
                <w:szCs w:val="22"/>
                <w:highlight w:val="none"/>
              </w:rPr>
            </w:pPr>
          </w:p>
        </w:tc>
        <w:tc>
          <w:tcPr>
            <w:tcW w:w="710" w:type="pct"/>
            <w:noWrap/>
            <w:vAlign w:val="center"/>
          </w:tcPr>
          <w:p w14:paraId="3FA2C0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5#居民点</w:t>
            </w:r>
          </w:p>
        </w:tc>
        <w:tc>
          <w:tcPr>
            <w:tcW w:w="662" w:type="pct"/>
            <w:noWrap/>
            <w:vAlign w:val="center"/>
          </w:tcPr>
          <w:p w14:paraId="13B56C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779" w:type="pct"/>
            <w:noWrap/>
            <w:vAlign w:val="center"/>
          </w:tcPr>
          <w:p w14:paraId="250EFB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234" w:type="pct"/>
            <w:noWrap/>
            <w:vAlign w:val="center"/>
          </w:tcPr>
          <w:p w14:paraId="06857A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c>
          <w:tcPr>
            <w:tcW w:w="628" w:type="pct"/>
            <w:noWrap/>
            <w:vAlign w:val="center"/>
          </w:tcPr>
          <w:p w14:paraId="04F03F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60</w:t>
            </w:r>
          </w:p>
        </w:tc>
        <w:tc>
          <w:tcPr>
            <w:tcW w:w="318" w:type="pct"/>
            <w:noWrap/>
            <w:vAlign w:val="center"/>
          </w:tcPr>
          <w:p w14:paraId="62B50B93">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S</w:t>
            </w:r>
          </w:p>
        </w:tc>
        <w:tc>
          <w:tcPr>
            <w:tcW w:w="570" w:type="pct"/>
            <w:vMerge w:val="continue"/>
            <w:noWrap/>
            <w:vAlign w:val="center"/>
          </w:tcPr>
          <w:p w14:paraId="288D0DED">
            <w:pPr>
              <w:widowControl/>
              <w:adjustRightInd w:val="0"/>
              <w:snapToGrid w:val="0"/>
              <w:spacing w:line="240" w:lineRule="auto"/>
              <w:ind w:firstLine="0" w:firstLineChars="0"/>
              <w:jc w:val="center"/>
              <w:rPr>
                <w:rFonts w:hint="default" w:ascii="Times New Roman" w:hAnsi="Times New Roman" w:eastAsia="宋体" w:cs="Times New Roman"/>
                <w:color w:val="auto"/>
                <w:sz w:val="22"/>
                <w:szCs w:val="22"/>
                <w:highlight w:val="none"/>
                <w:lang w:bidi="ar"/>
              </w:rPr>
            </w:pPr>
          </w:p>
        </w:tc>
        <w:tc>
          <w:tcPr>
            <w:tcW w:w="888" w:type="pct"/>
            <w:noWrap/>
            <w:vAlign w:val="center"/>
          </w:tcPr>
          <w:p w14:paraId="35C0B906">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1F～2F</w:t>
            </w:r>
            <w:r>
              <w:rPr>
                <w:rFonts w:hint="default" w:ascii="Times New Roman" w:hAnsi="Times New Roman" w:eastAsia="宋体" w:cs="Times New Roman"/>
                <w:color w:val="auto"/>
                <w:kern w:val="0"/>
                <w:sz w:val="22"/>
                <w:szCs w:val="22"/>
                <w:highlight w:val="none"/>
                <w:lang w:val="en-US" w:eastAsia="zh-CN" w:bidi="ar-SA"/>
              </w:rPr>
              <w:t>，2户，约6人</w:t>
            </w:r>
          </w:p>
        </w:tc>
      </w:tr>
      <w:tr w14:paraId="2F9C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6" w:type="pct"/>
            <w:noWrap/>
            <w:vAlign w:val="center"/>
          </w:tcPr>
          <w:p w14:paraId="1CF7FBAE">
            <w:pPr>
              <w:widowControl/>
              <w:numPr>
                <w:ilvl w:val="0"/>
                <w:numId w:val="5"/>
              </w:numPr>
              <w:adjustRightInd w:val="0"/>
              <w:snapToGrid w:val="0"/>
              <w:spacing w:line="240" w:lineRule="auto"/>
              <w:ind w:left="425" w:leftChars="0" w:hanging="425" w:firstLineChars="0"/>
              <w:jc w:val="center"/>
              <w:rPr>
                <w:rFonts w:hint="default" w:ascii="Times New Roman" w:hAnsi="Times New Roman" w:eastAsia="宋体" w:cs="Times New Roman"/>
                <w:color w:val="auto"/>
                <w:kern w:val="0"/>
                <w:sz w:val="22"/>
                <w:szCs w:val="22"/>
                <w:highlight w:val="none"/>
              </w:rPr>
            </w:pPr>
          </w:p>
        </w:tc>
        <w:tc>
          <w:tcPr>
            <w:tcW w:w="710" w:type="pct"/>
            <w:noWrap/>
            <w:vAlign w:val="center"/>
          </w:tcPr>
          <w:p w14:paraId="5AC0F6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6#居民点</w:t>
            </w:r>
          </w:p>
        </w:tc>
        <w:tc>
          <w:tcPr>
            <w:tcW w:w="662" w:type="pct"/>
            <w:noWrap/>
            <w:vAlign w:val="center"/>
          </w:tcPr>
          <w:p w14:paraId="7598AA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779" w:type="pct"/>
            <w:noWrap/>
            <w:vAlign w:val="center"/>
          </w:tcPr>
          <w:p w14:paraId="5BDB17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234" w:type="pct"/>
            <w:noWrap/>
            <w:vAlign w:val="center"/>
          </w:tcPr>
          <w:p w14:paraId="0E14ED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c>
          <w:tcPr>
            <w:tcW w:w="628" w:type="pct"/>
            <w:noWrap/>
            <w:vAlign w:val="center"/>
          </w:tcPr>
          <w:p w14:paraId="57332E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25</w:t>
            </w:r>
          </w:p>
        </w:tc>
        <w:tc>
          <w:tcPr>
            <w:tcW w:w="318" w:type="pct"/>
            <w:noWrap/>
            <w:vAlign w:val="center"/>
          </w:tcPr>
          <w:p w14:paraId="5CE1EE7A">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S</w:t>
            </w:r>
          </w:p>
        </w:tc>
        <w:tc>
          <w:tcPr>
            <w:tcW w:w="570" w:type="pct"/>
            <w:vMerge w:val="continue"/>
            <w:noWrap/>
            <w:vAlign w:val="center"/>
          </w:tcPr>
          <w:p w14:paraId="60E8B772">
            <w:pPr>
              <w:widowControl/>
              <w:adjustRightInd w:val="0"/>
              <w:snapToGrid w:val="0"/>
              <w:spacing w:line="240" w:lineRule="auto"/>
              <w:ind w:firstLine="0" w:firstLineChars="0"/>
              <w:jc w:val="center"/>
              <w:rPr>
                <w:rFonts w:hint="default" w:ascii="Times New Roman" w:hAnsi="Times New Roman" w:eastAsia="宋体" w:cs="Times New Roman"/>
                <w:color w:val="auto"/>
                <w:sz w:val="22"/>
                <w:szCs w:val="22"/>
                <w:highlight w:val="none"/>
                <w:lang w:bidi="ar"/>
              </w:rPr>
            </w:pPr>
          </w:p>
        </w:tc>
        <w:tc>
          <w:tcPr>
            <w:tcW w:w="888" w:type="pct"/>
            <w:noWrap/>
            <w:vAlign w:val="center"/>
          </w:tcPr>
          <w:p w14:paraId="08FA1BB9">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1F～2F</w:t>
            </w:r>
            <w:r>
              <w:rPr>
                <w:rFonts w:hint="default" w:ascii="Times New Roman" w:hAnsi="Times New Roman" w:eastAsia="宋体" w:cs="Times New Roman"/>
                <w:color w:val="auto"/>
                <w:kern w:val="0"/>
                <w:sz w:val="22"/>
                <w:szCs w:val="22"/>
                <w:highlight w:val="none"/>
                <w:lang w:val="en-US" w:eastAsia="zh-CN" w:bidi="ar-SA"/>
              </w:rPr>
              <w:t>，4户，约12人</w:t>
            </w:r>
          </w:p>
        </w:tc>
      </w:tr>
      <w:tr w14:paraId="59A0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6" w:type="pct"/>
            <w:noWrap/>
            <w:vAlign w:val="center"/>
          </w:tcPr>
          <w:p w14:paraId="19D2D8BB">
            <w:pPr>
              <w:widowControl/>
              <w:numPr>
                <w:ilvl w:val="0"/>
                <w:numId w:val="5"/>
              </w:numPr>
              <w:adjustRightInd w:val="0"/>
              <w:snapToGrid w:val="0"/>
              <w:spacing w:line="240" w:lineRule="auto"/>
              <w:ind w:left="425" w:leftChars="0" w:hanging="425" w:firstLineChars="0"/>
              <w:jc w:val="center"/>
              <w:rPr>
                <w:rFonts w:hint="default" w:ascii="Times New Roman" w:hAnsi="Times New Roman" w:eastAsia="宋体" w:cs="Times New Roman"/>
                <w:color w:val="auto"/>
                <w:kern w:val="0"/>
                <w:sz w:val="22"/>
                <w:szCs w:val="22"/>
                <w:highlight w:val="none"/>
              </w:rPr>
            </w:pPr>
          </w:p>
        </w:tc>
        <w:tc>
          <w:tcPr>
            <w:tcW w:w="710" w:type="pct"/>
            <w:noWrap/>
            <w:vAlign w:val="center"/>
          </w:tcPr>
          <w:p w14:paraId="3DCED5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7#居民点</w:t>
            </w:r>
          </w:p>
        </w:tc>
        <w:tc>
          <w:tcPr>
            <w:tcW w:w="662" w:type="pct"/>
            <w:noWrap/>
            <w:vAlign w:val="center"/>
          </w:tcPr>
          <w:p w14:paraId="10F3CE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779" w:type="pct"/>
            <w:noWrap/>
            <w:vAlign w:val="center"/>
          </w:tcPr>
          <w:p w14:paraId="38A515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234" w:type="pct"/>
            <w:noWrap/>
            <w:vAlign w:val="center"/>
          </w:tcPr>
          <w:p w14:paraId="0D6EC7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c>
          <w:tcPr>
            <w:tcW w:w="628" w:type="pct"/>
            <w:noWrap/>
            <w:vAlign w:val="center"/>
          </w:tcPr>
          <w:p w14:paraId="6B878B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128</w:t>
            </w:r>
          </w:p>
        </w:tc>
        <w:tc>
          <w:tcPr>
            <w:tcW w:w="318" w:type="pct"/>
            <w:noWrap/>
            <w:vAlign w:val="center"/>
          </w:tcPr>
          <w:p w14:paraId="799BD9D1">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S</w:t>
            </w:r>
          </w:p>
        </w:tc>
        <w:tc>
          <w:tcPr>
            <w:tcW w:w="570" w:type="pct"/>
            <w:vMerge w:val="continue"/>
            <w:noWrap/>
            <w:vAlign w:val="center"/>
          </w:tcPr>
          <w:p w14:paraId="7E468E82">
            <w:pPr>
              <w:widowControl/>
              <w:adjustRightInd w:val="0"/>
              <w:snapToGrid w:val="0"/>
              <w:spacing w:line="240" w:lineRule="auto"/>
              <w:ind w:firstLine="0" w:firstLineChars="0"/>
              <w:jc w:val="center"/>
              <w:rPr>
                <w:rFonts w:hint="default" w:ascii="Times New Roman" w:hAnsi="Times New Roman" w:eastAsia="宋体" w:cs="Times New Roman"/>
                <w:color w:val="auto"/>
                <w:sz w:val="22"/>
                <w:szCs w:val="22"/>
                <w:highlight w:val="none"/>
                <w:lang w:bidi="ar"/>
              </w:rPr>
            </w:pPr>
          </w:p>
        </w:tc>
        <w:tc>
          <w:tcPr>
            <w:tcW w:w="888" w:type="pct"/>
            <w:noWrap/>
            <w:vAlign w:val="center"/>
          </w:tcPr>
          <w:p w14:paraId="5B8FC284">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1F～2F</w:t>
            </w:r>
            <w:r>
              <w:rPr>
                <w:rFonts w:hint="default" w:ascii="Times New Roman" w:hAnsi="Times New Roman" w:eastAsia="宋体" w:cs="Times New Roman"/>
                <w:color w:val="auto"/>
                <w:kern w:val="0"/>
                <w:sz w:val="22"/>
                <w:szCs w:val="22"/>
                <w:highlight w:val="none"/>
                <w:lang w:val="en-US" w:eastAsia="zh-CN" w:bidi="ar-SA"/>
              </w:rPr>
              <w:t>，3户</w:t>
            </w:r>
            <w:r>
              <w:rPr>
                <w:rFonts w:hint="default"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bidi="ar"/>
              </w:rPr>
              <w:t>9</w:t>
            </w:r>
            <w:r>
              <w:rPr>
                <w:rFonts w:hint="default" w:ascii="Times New Roman" w:hAnsi="Times New Roman" w:eastAsia="宋体" w:cs="Times New Roman"/>
                <w:color w:val="auto"/>
                <w:sz w:val="22"/>
                <w:szCs w:val="22"/>
                <w:highlight w:val="none"/>
                <w:lang w:bidi="ar"/>
              </w:rPr>
              <w:t>人</w:t>
            </w:r>
          </w:p>
        </w:tc>
      </w:tr>
      <w:tr w14:paraId="3C14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6" w:type="pct"/>
            <w:noWrap/>
            <w:vAlign w:val="center"/>
          </w:tcPr>
          <w:p w14:paraId="3EDFC003">
            <w:pPr>
              <w:widowControl/>
              <w:numPr>
                <w:ilvl w:val="0"/>
                <w:numId w:val="5"/>
              </w:numPr>
              <w:adjustRightInd w:val="0"/>
              <w:snapToGrid w:val="0"/>
              <w:spacing w:line="240" w:lineRule="auto"/>
              <w:ind w:left="425" w:leftChars="0" w:hanging="425" w:firstLineChars="0"/>
              <w:jc w:val="center"/>
              <w:rPr>
                <w:rFonts w:hint="default" w:ascii="Times New Roman" w:hAnsi="Times New Roman" w:eastAsia="宋体" w:cs="Times New Roman"/>
                <w:color w:val="auto"/>
                <w:kern w:val="0"/>
                <w:sz w:val="22"/>
                <w:szCs w:val="22"/>
                <w:highlight w:val="none"/>
              </w:rPr>
            </w:pPr>
          </w:p>
        </w:tc>
        <w:tc>
          <w:tcPr>
            <w:tcW w:w="710" w:type="pct"/>
            <w:noWrap/>
            <w:vAlign w:val="center"/>
          </w:tcPr>
          <w:p w14:paraId="11A5CF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8#居民点</w:t>
            </w:r>
          </w:p>
        </w:tc>
        <w:tc>
          <w:tcPr>
            <w:tcW w:w="662" w:type="pct"/>
            <w:noWrap/>
            <w:vAlign w:val="center"/>
          </w:tcPr>
          <w:p w14:paraId="3AD2F9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779" w:type="pct"/>
            <w:noWrap/>
            <w:vAlign w:val="center"/>
          </w:tcPr>
          <w:p w14:paraId="2C2059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234" w:type="pct"/>
            <w:noWrap/>
            <w:vAlign w:val="center"/>
          </w:tcPr>
          <w:p w14:paraId="744C9E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c>
          <w:tcPr>
            <w:tcW w:w="628" w:type="pct"/>
            <w:noWrap/>
            <w:vAlign w:val="center"/>
          </w:tcPr>
          <w:p w14:paraId="308EFD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106</w:t>
            </w:r>
          </w:p>
        </w:tc>
        <w:tc>
          <w:tcPr>
            <w:tcW w:w="318" w:type="pct"/>
            <w:noWrap/>
            <w:vAlign w:val="center"/>
          </w:tcPr>
          <w:p w14:paraId="28FBB139">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S</w:t>
            </w:r>
          </w:p>
        </w:tc>
        <w:tc>
          <w:tcPr>
            <w:tcW w:w="570" w:type="pct"/>
            <w:vMerge w:val="continue"/>
            <w:noWrap/>
            <w:vAlign w:val="center"/>
          </w:tcPr>
          <w:p w14:paraId="771ECEF6">
            <w:pPr>
              <w:widowControl/>
              <w:adjustRightInd w:val="0"/>
              <w:snapToGrid w:val="0"/>
              <w:spacing w:line="240" w:lineRule="auto"/>
              <w:ind w:firstLine="0" w:firstLineChars="0"/>
              <w:jc w:val="center"/>
              <w:rPr>
                <w:rFonts w:hint="default" w:ascii="Times New Roman" w:hAnsi="Times New Roman" w:eastAsia="宋体" w:cs="Times New Roman"/>
                <w:color w:val="auto"/>
                <w:sz w:val="22"/>
                <w:szCs w:val="22"/>
                <w:highlight w:val="none"/>
                <w:lang w:bidi="ar"/>
              </w:rPr>
            </w:pPr>
          </w:p>
        </w:tc>
        <w:tc>
          <w:tcPr>
            <w:tcW w:w="888" w:type="pct"/>
            <w:noWrap/>
            <w:vAlign w:val="center"/>
          </w:tcPr>
          <w:p w14:paraId="679A9297">
            <w:pPr>
              <w:adjustRightInd w:val="0"/>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sz w:val="22"/>
                <w:szCs w:val="22"/>
                <w:highlight w:val="none"/>
                <w:lang w:val="en-US" w:eastAsia="zh-CN" w:bidi="ar"/>
              </w:rPr>
              <w:t>1F～2F</w:t>
            </w:r>
            <w:r>
              <w:rPr>
                <w:rFonts w:hint="default" w:ascii="Times New Roman" w:hAnsi="Times New Roman" w:eastAsia="宋体" w:cs="Times New Roman"/>
                <w:color w:val="auto"/>
                <w:kern w:val="0"/>
                <w:sz w:val="22"/>
                <w:szCs w:val="22"/>
                <w:highlight w:val="none"/>
                <w:lang w:val="en-US" w:eastAsia="zh-CN" w:bidi="ar-SA"/>
              </w:rPr>
              <w:t>，</w:t>
            </w:r>
            <w:r>
              <w:rPr>
                <w:rFonts w:hint="default" w:ascii="Times New Roman" w:hAnsi="Times New Roman" w:eastAsia="宋体" w:cs="Times New Roman"/>
                <w:color w:val="auto"/>
                <w:sz w:val="22"/>
                <w:szCs w:val="22"/>
                <w:highlight w:val="none"/>
                <w:lang w:val="en-US" w:eastAsia="zh-CN" w:bidi="ar"/>
              </w:rPr>
              <w:t>2户，约6人</w:t>
            </w:r>
          </w:p>
        </w:tc>
      </w:tr>
      <w:tr w14:paraId="1BF5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6" w:type="pct"/>
            <w:noWrap/>
            <w:vAlign w:val="center"/>
          </w:tcPr>
          <w:p w14:paraId="1BE4B974">
            <w:pPr>
              <w:widowControl/>
              <w:numPr>
                <w:ilvl w:val="0"/>
                <w:numId w:val="5"/>
              </w:numPr>
              <w:adjustRightInd w:val="0"/>
              <w:snapToGrid w:val="0"/>
              <w:spacing w:line="240" w:lineRule="auto"/>
              <w:ind w:left="425" w:leftChars="0" w:hanging="425" w:firstLineChars="0"/>
              <w:jc w:val="center"/>
              <w:rPr>
                <w:rFonts w:hint="default" w:ascii="Times New Roman" w:hAnsi="Times New Roman" w:eastAsia="宋体" w:cs="Times New Roman"/>
                <w:color w:val="auto"/>
                <w:kern w:val="0"/>
                <w:sz w:val="22"/>
                <w:szCs w:val="22"/>
                <w:highlight w:val="none"/>
              </w:rPr>
            </w:pPr>
          </w:p>
        </w:tc>
        <w:tc>
          <w:tcPr>
            <w:tcW w:w="710" w:type="pct"/>
            <w:noWrap/>
            <w:vAlign w:val="center"/>
          </w:tcPr>
          <w:p w14:paraId="36BD5A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9#居民点</w:t>
            </w:r>
          </w:p>
        </w:tc>
        <w:tc>
          <w:tcPr>
            <w:tcW w:w="662" w:type="pct"/>
            <w:noWrap/>
            <w:vAlign w:val="center"/>
          </w:tcPr>
          <w:p w14:paraId="401437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779" w:type="pct"/>
            <w:noWrap/>
            <w:vAlign w:val="center"/>
          </w:tcPr>
          <w:p w14:paraId="3075FA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234" w:type="pct"/>
            <w:noWrap/>
            <w:vAlign w:val="center"/>
          </w:tcPr>
          <w:p w14:paraId="453628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c>
          <w:tcPr>
            <w:tcW w:w="628" w:type="pct"/>
            <w:noWrap/>
            <w:vAlign w:val="center"/>
          </w:tcPr>
          <w:p w14:paraId="2D49F5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195</w:t>
            </w:r>
          </w:p>
        </w:tc>
        <w:tc>
          <w:tcPr>
            <w:tcW w:w="318" w:type="pct"/>
            <w:noWrap/>
            <w:vAlign w:val="center"/>
          </w:tcPr>
          <w:p w14:paraId="6A1902BD">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S</w:t>
            </w:r>
          </w:p>
        </w:tc>
        <w:tc>
          <w:tcPr>
            <w:tcW w:w="570" w:type="pct"/>
            <w:vMerge w:val="continue"/>
            <w:noWrap/>
            <w:vAlign w:val="center"/>
          </w:tcPr>
          <w:p w14:paraId="23F17AEA">
            <w:pPr>
              <w:widowControl/>
              <w:adjustRightInd w:val="0"/>
              <w:snapToGrid w:val="0"/>
              <w:spacing w:line="240" w:lineRule="auto"/>
              <w:ind w:firstLine="0" w:firstLineChars="0"/>
              <w:jc w:val="center"/>
              <w:rPr>
                <w:rFonts w:hint="default" w:ascii="Times New Roman" w:hAnsi="Times New Roman" w:eastAsia="宋体" w:cs="Times New Roman"/>
                <w:color w:val="auto"/>
                <w:sz w:val="22"/>
                <w:szCs w:val="22"/>
                <w:highlight w:val="none"/>
                <w:lang w:bidi="ar"/>
              </w:rPr>
            </w:pPr>
          </w:p>
        </w:tc>
        <w:tc>
          <w:tcPr>
            <w:tcW w:w="888" w:type="pct"/>
            <w:noWrap/>
            <w:vAlign w:val="center"/>
          </w:tcPr>
          <w:p w14:paraId="691C723C">
            <w:pPr>
              <w:adjustRightInd w:val="0"/>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sz w:val="22"/>
                <w:szCs w:val="22"/>
                <w:highlight w:val="none"/>
                <w:lang w:val="en-US" w:eastAsia="zh-CN" w:bidi="ar"/>
              </w:rPr>
              <w:t>1F～2F</w:t>
            </w:r>
            <w:r>
              <w:rPr>
                <w:rFonts w:hint="default" w:ascii="Times New Roman" w:hAnsi="Times New Roman" w:eastAsia="宋体" w:cs="Times New Roman"/>
                <w:color w:val="auto"/>
                <w:kern w:val="0"/>
                <w:sz w:val="22"/>
                <w:szCs w:val="22"/>
                <w:highlight w:val="none"/>
                <w:lang w:val="en-US" w:eastAsia="zh-CN" w:bidi="ar-SA"/>
              </w:rPr>
              <w:t>，1户，约3人</w:t>
            </w:r>
          </w:p>
        </w:tc>
      </w:tr>
      <w:tr w14:paraId="08D8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6" w:type="pct"/>
            <w:noWrap/>
            <w:vAlign w:val="center"/>
          </w:tcPr>
          <w:p w14:paraId="7607D8EA">
            <w:pPr>
              <w:widowControl/>
              <w:numPr>
                <w:ilvl w:val="0"/>
                <w:numId w:val="5"/>
              </w:numPr>
              <w:adjustRightInd w:val="0"/>
              <w:snapToGrid w:val="0"/>
              <w:spacing w:line="240" w:lineRule="auto"/>
              <w:ind w:left="425" w:leftChars="0" w:hanging="425" w:firstLineChars="0"/>
              <w:jc w:val="center"/>
              <w:rPr>
                <w:rFonts w:hint="default" w:ascii="Times New Roman" w:hAnsi="Times New Roman" w:eastAsia="宋体" w:cs="Times New Roman"/>
                <w:color w:val="auto"/>
                <w:kern w:val="0"/>
                <w:sz w:val="22"/>
                <w:szCs w:val="22"/>
                <w:highlight w:val="none"/>
              </w:rPr>
            </w:pPr>
          </w:p>
        </w:tc>
        <w:tc>
          <w:tcPr>
            <w:tcW w:w="710" w:type="pct"/>
            <w:noWrap/>
            <w:vAlign w:val="center"/>
          </w:tcPr>
          <w:p w14:paraId="21E0FA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w:t>
            </w: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村村委会</w:t>
            </w:r>
          </w:p>
        </w:tc>
        <w:tc>
          <w:tcPr>
            <w:tcW w:w="662" w:type="pct"/>
            <w:noWrap/>
            <w:vAlign w:val="center"/>
          </w:tcPr>
          <w:p w14:paraId="60F4EE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779" w:type="pct"/>
            <w:noWrap/>
            <w:vAlign w:val="center"/>
          </w:tcPr>
          <w:p w14:paraId="01BD9C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w:t>
            </w:r>
          </w:p>
        </w:tc>
        <w:tc>
          <w:tcPr>
            <w:tcW w:w="234" w:type="pct"/>
            <w:noWrap/>
            <w:vAlign w:val="center"/>
          </w:tcPr>
          <w:p w14:paraId="195643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c>
          <w:tcPr>
            <w:tcW w:w="628" w:type="pct"/>
            <w:noWrap/>
            <w:vAlign w:val="center"/>
          </w:tcPr>
          <w:p w14:paraId="55F5A1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147</w:t>
            </w:r>
          </w:p>
        </w:tc>
        <w:tc>
          <w:tcPr>
            <w:tcW w:w="318" w:type="pct"/>
            <w:noWrap/>
            <w:vAlign w:val="center"/>
          </w:tcPr>
          <w:p w14:paraId="762138C2">
            <w:pPr>
              <w:adjustRightInd w:val="0"/>
              <w:snapToGrid w:val="0"/>
              <w:jc w:val="center"/>
              <w:rPr>
                <w:rFonts w:hint="default" w:ascii="Times New Roman" w:hAnsi="Times New Roman" w:eastAsia="宋体" w:cs="Times New Roman"/>
                <w:color w:val="auto"/>
                <w:sz w:val="22"/>
                <w:szCs w:val="22"/>
                <w:highlight w:val="none"/>
                <w:lang w:val="en-US" w:eastAsia="zh-CN" w:bidi="ar"/>
              </w:rPr>
            </w:pPr>
            <w:r>
              <w:rPr>
                <w:rFonts w:hint="default" w:ascii="Times New Roman" w:hAnsi="Times New Roman" w:eastAsia="宋体" w:cs="Times New Roman"/>
                <w:color w:val="auto"/>
                <w:sz w:val="22"/>
                <w:szCs w:val="22"/>
                <w:highlight w:val="none"/>
                <w:lang w:val="en-US" w:eastAsia="zh-CN" w:bidi="ar"/>
              </w:rPr>
              <w:t>S</w:t>
            </w:r>
          </w:p>
        </w:tc>
        <w:tc>
          <w:tcPr>
            <w:tcW w:w="570" w:type="pct"/>
            <w:vMerge w:val="continue"/>
            <w:noWrap/>
            <w:vAlign w:val="center"/>
          </w:tcPr>
          <w:p w14:paraId="34C531ED">
            <w:pPr>
              <w:widowControl/>
              <w:adjustRightInd w:val="0"/>
              <w:snapToGrid w:val="0"/>
              <w:spacing w:line="240" w:lineRule="auto"/>
              <w:ind w:firstLine="0" w:firstLineChars="0"/>
              <w:jc w:val="center"/>
              <w:rPr>
                <w:rFonts w:hint="default" w:ascii="Times New Roman" w:hAnsi="Times New Roman" w:eastAsia="宋体" w:cs="Times New Roman"/>
                <w:color w:val="auto"/>
                <w:sz w:val="22"/>
                <w:szCs w:val="22"/>
                <w:highlight w:val="none"/>
                <w:lang w:bidi="ar"/>
              </w:rPr>
            </w:pPr>
          </w:p>
        </w:tc>
        <w:tc>
          <w:tcPr>
            <w:tcW w:w="888" w:type="pct"/>
            <w:noWrap/>
            <w:vAlign w:val="center"/>
          </w:tcPr>
          <w:p w14:paraId="327B8725">
            <w:pPr>
              <w:adjustRightInd w:val="0"/>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w:t>
            </w:r>
          </w:p>
        </w:tc>
      </w:tr>
    </w:tbl>
    <w:p w14:paraId="32075A60">
      <w:pPr>
        <w:pStyle w:val="88"/>
        <w:rPr>
          <w:rFonts w:hint="default" w:ascii="Times New Roman" w:hAnsi="Times New Roman" w:eastAsia="宋体" w:cs="Times New Roman"/>
          <w:color w:val="auto"/>
        </w:rPr>
      </w:pPr>
    </w:p>
    <w:p w14:paraId="5C7D4CEB">
      <w:pPr>
        <w:spacing w:line="460" w:lineRule="exact"/>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1.10.</w:t>
      </w:r>
      <w:r>
        <w:rPr>
          <w:rFonts w:hint="default" w:ascii="Times New Roman" w:hAnsi="Times New Roman" w:eastAsia="宋体" w:cs="Times New Roman"/>
          <w:b/>
          <w:color w:val="auto"/>
          <w:sz w:val="26"/>
          <w:szCs w:val="26"/>
          <w:lang w:val="en-US" w:eastAsia="zh-CN"/>
        </w:rPr>
        <w:t>5</w:t>
      </w:r>
      <w:r>
        <w:rPr>
          <w:rFonts w:hint="default" w:ascii="Times New Roman" w:hAnsi="Times New Roman" w:eastAsia="宋体" w:cs="Times New Roman"/>
          <w:b/>
          <w:color w:val="auto"/>
          <w:sz w:val="26"/>
          <w:szCs w:val="26"/>
        </w:rPr>
        <w:t xml:space="preserve"> 生态环境保护目标</w:t>
      </w:r>
    </w:p>
    <w:p w14:paraId="5601F3F3">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本项目位于</w:t>
      </w:r>
      <w:r>
        <w:rPr>
          <w:rFonts w:hint="default" w:ascii="Times New Roman" w:hAnsi="Times New Roman" w:eastAsia="宋体" w:cs="Times New Roman"/>
          <w:color w:val="auto"/>
          <w:lang w:val="en-US" w:eastAsia="zh-CN"/>
        </w:rPr>
        <w:t>重庆市綦江区文龙街道</w:t>
      </w:r>
      <w:r>
        <w:rPr>
          <w:rFonts w:hint="default" w:ascii="Times New Roman" w:hAnsi="Times New Roman" w:eastAsia="宋体" w:cs="Times New Roman"/>
          <w:color w:val="auto"/>
        </w:rPr>
        <w:t>，管道沿线以耕地为主，评价范围内不涉</w:t>
      </w:r>
      <w:bookmarkStart w:id="72" w:name="_Hlk131163643"/>
      <w:r>
        <w:rPr>
          <w:rFonts w:hint="default" w:ascii="Times New Roman" w:hAnsi="Times New Roman" w:eastAsia="宋体" w:cs="Times New Roman"/>
          <w:color w:val="auto"/>
        </w:rPr>
        <w:t>及国家公园、自然保护区、世界自然遗产、自然公园</w:t>
      </w:r>
      <w:r>
        <w:rPr>
          <w:rFonts w:hint="default" w:ascii="Times New Roman" w:hAnsi="Times New Roman" w:eastAsia="宋体" w:cs="Times New Roman"/>
          <w:color w:val="auto"/>
          <w:lang w:val="en-US" w:eastAsia="zh-CN"/>
        </w:rPr>
        <w:t>及</w:t>
      </w:r>
      <w:r>
        <w:rPr>
          <w:rFonts w:hint="default" w:ascii="Times New Roman" w:hAnsi="Times New Roman" w:eastAsia="宋体" w:cs="Times New Roman"/>
          <w:color w:val="auto"/>
        </w:rPr>
        <w:t>生态保护红线。本次评价的主要生态环境保护目标为管道沿线两侧区域内的永久基本农田、</w:t>
      </w:r>
      <w:r>
        <w:rPr>
          <w:rFonts w:hint="default" w:ascii="Times New Roman" w:hAnsi="Times New Roman" w:eastAsia="宋体" w:cs="Times New Roman"/>
          <w:color w:val="auto"/>
          <w:lang w:val="en-US" w:eastAsia="zh-CN"/>
        </w:rPr>
        <w:t>天然林、</w:t>
      </w:r>
      <w:r>
        <w:rPr>
          <w:rFonts w:hint="default" w:ascii="Times New Roman" w:hAnsi="Times New Roman" w:eastAsia="宋体" w:cs="Times New Roman"/>
          <w:color w:val="auto"/>
        </w:rPr>
        <w:t>野生动植物等。</w:t>
      </w:r>
      <w:bookmarkEnd w:id="72"/>
    </w:p>
    <w:p w14:paraId="2AD67A7B">
      <w:pPr>
        <w:pStyle w:val="85"/>
        <w:rPr>
          <w:rFonts w:hint="default" w:ascii="Times New Roman" w:hAnsi="Times New Roman" w:eastAsia="宋体" w:cs="Times New Roman"/>
          <w:color w:val="auto"/>
        </w:rPr>
      </w:pPr>
      <w:r>
        <w:rPr>
          <w:rFonts w:hint="default" w:ascii="Times New Roman" w:hAnsi="Times New Roman" w:eastAsia="宋体" w:cs="Times New Roman"/>
          <w:color w:val="auto"/>
        </w:rPr>
        <w:t>表1.10-</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生态环境保护目标基本情况表</w:t>
      </w:r>
    </w:p>
    <w:tbl>
      <w:tblPr>
        <w:tblStyle w:val="29"/>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37"/>
        <w:gridCol w:w="4325"/>
        <w:gridCol w:w="2794"/>
      </w:tblGrid>
      <w:tr w14:paraId="03C5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35" w:type="pct"/>
            <w:noWrap w:val="0"/>
            <w:vAlign w:val="center"/>
          </w:tcPr>
          <w:p w14:paraId="2949B485">
            <w:pPr>
              <w:pStyle w:val="8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保护目标</w:t>
            </w:r>
          </w:p>
        </w:tc>
        <w:tc>
          <w:tcPr>
            <w:tcW w:w="2469" w:type="pct"/>
            <w:noWrap w:val="0"/>
            <w:vAlign w:val="center"/>
          </w:tcPr>
          <w:p w14:paraId="6E9C2913">
            <w:pPr>
              <w:pStyle w:val="8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与项目的位置关系</w:t>
            </w:r>
          </w:p>
        </w:tc>
        <w:tc>
          <w:tcPr>
            <w:tcW w:w="1595" w:type="pct"/>
            <w:noWrap w:val="0"/>
            <w:vAlign w:val="center"/>
          </w:tcPr>
          <w:p w14:paraId="2B9F9333">
            <w:pPr>
              <w:pStyle w:val="8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保护措施及要求</w:t>
            </w:r>
          </w:p>
        </w:tc>
      </w:tr>
      <w:tr w14:paraId="01AA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pct"/>
            <w:noWrap w:val="0"/>
            <w:vAlign w:val="center"/>
          </w:tcPr>
          <w:p w14:paraId="46C26A68">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天然林</w:t>
            </w:r>
          </w:p>
        </w:tc>
        <w:tc>
          <w:tcPr>
            <w:tcW w:w="2469" w:type="pct"/>
            <w:noWrap w:val="0"/>
            <w:vAlign w:val="center"/>
          </w:tcPr>
          <w:p w14:paraId="5E155450">
            <w:pPr>
              <w:pStyle w:val="87"/>
              <w:jc w:val="both"/>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本项目无永久占地</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rPr>
              <w:t>部分段管线穿越</w:t>
            </w:r>
            <w:r>
              <w:rPr>
                <w:rFonts w:hint="default" w:ascii="Times New Roman" w:hAnsi="Times New Roman" w:eastAsia="宋体" w:cs="Times New Roman"/>
                <w:color w:val="auto"/>
                <w:sz w:val="21"/>
                <w:szCs w:val="21"/>
                <w:lang w:val="en-US" w:eastAsia="zh-CN"/>
              </w:rPr>
              <w:t>天然林</w:t>
            </w:r>
            <w:r>
              <w:rPr>
                <w:rFonts w:hint="default" w:ascii="Times New Roman" w:hAnsi="Times New Roman" w:eastAsia="宋体" w:cs="Times New Roman"/>
                <w:color w:val="auto"/>
                <w:sz w:val="21"/>
                <w:szCs w:val="21"/>
              </w:rPr>
              <w:t>，穿越长度约622.3</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w:t>
            </w:r>
            <w:r>
              <w:rPr>
                <w:rFonts w:hint="default" w:ascii="Times New Roman" w:hAnsi="Times New Roman" w:eastAsia="宋体" w:cs="Times New Roman"/>
                <w:bCs/>
                <w:color w:val="auto"/>
                <w:sz w:val="21"/>
                <w:szCs w:val="21"/>
                <w:lang w:val="en-US" w:eastAsia="zh-CN"/>
              </w:rPr>
              <w:t>临时占地所涉面积</w:t>
            </w:r>
            <w:r>
              <w:rPr>
                <w:rFonts w:hint="default" w:ascii="Times New Roman" w:hAnsi="Times New Roman" w:eastAsia="宋体" w:cs="Times New Roman"/>
                <w:color w:val="auto"/>
                <w:sz w:val="21"/>
                <w:szCs w:val="21"/>
              </w:rPr>
              <w:t>约0.</w:t>
            </w:r>
            <w:r>
              <w:rPr>
                <w:rFonts w:hint="default" w:ascii="Times New Roman" w:hAnsi="Times New Roman" w:eastAsia="宋体" w:cs="Times New Roman"/>
                <w:color w:val="auto"/>
                <w:sz w:val="21"/>
                <w:szCs w:val="21"/>
                <w:lang w:val="en-US" w:eastAsia="zh-CN"/>
              </w:rPr>
              <w:t>38</w:t>
            </w:r>
            <w:r>
              <w:rPr>
                <w:rFonts w:hint="default" w:ascii="Times New Roman" w:hAnsi="Times New Roman" w:eastAsia="宋体" w:cs="Times New Roman"/>
                <w:color w:val="auto"/>
                <w:sz w:val="21"/>
                <w:szCs w:val="21"/>
              </w:rPr>
              <w:t>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bCs/>
                <w:color w:val="auto"/>
                <w:sz w:val="21"/>
                <w:szCs w:val="21"/>
              </w:rPr>
              <w:t>评价范围</w:t>
            </w:r>
            <w:r>
              <w:rPr>
                <w:rFonts w:hint="default" w:ascii="Times New Roman" w:hAnsi="Times New Roman" w:eastAsia="宋体" w:cs="Times New Roman"/>
                <w:bCs/>
                <w:color w:val="auto"/>
                <w:sz w:val="21"/>
                <w:szCs w:val="21"/>
                <w:lang w:val="en-US" w:eastAsia="zh-CN"/>
              </w:rPr>
              <w:t>所涉</w:t>
            </w:r>
            <w:r>
              <w:rPr>
                <w:rFonts w:hint="default" w:ascii="Times New Roman" w:hAnsi="Times New Roman" w:eastAsia="宋体" w:cs="Times New Roman"/>
                <w:bCs/>
                <w:color w:val="auto"/>
                <w:sz w:val="21"/>
                <w:szCs w:val="21"/>
              </w:rPr>
              <w:t>面积</w:t>
            </w: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51.28hm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595" w:type="pct"/>
            <w:noWrap w:val="0"/>
            <w:vAlign w:val="center"/>
          </w:tcPr>
          <w:p w14:paraId="714BFC76">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执行天然林相关保护要求</w:t>
            </w:r>
          </w:p>
        </w:tc>
      </w:tr>
      <w:tr w14:paraId="4E70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pct"/>
            <w:noWrap w:val="0"/>
            <w:vAlign w:val="center"/>
          </w:tcPr>
          <w:p w14:paraId="349008E0">
            <w:pPr>
              <w:pStyle w:val="87"/>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永久基本农田</w:t>
            </w:r>
          </w:p>
        </w:tc>
        <w:tc>
          <w:tcPr>
            <w:tcW w:w="2469" w:type="pct"/>
            <w:noWrap w:val="0"/>
            <w:vAlign w:val="center"/>
          </w:tcPr>
          <w:p w14:paraId="72401976">
            <w:pPr>
              <w:pStyle w:val="87"/>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本项目无永久占地</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经过</w:t>
            </w:r>
            <w:r>
              <w:rPr>
                <w:rFonts w:hint="default" w:ascii="Times New Roman" w:hAnsi="Times New Roman" w:eastAsia="宋体" w:cs="Times New Roman"/>
                <w:color w:val="auto"/>
                <w:sz w:val="21"/>
                <w:szCs w:val="21"/>
              </w:rPr>
              <w:t>永久基本农田约614.76m，</w:t>
            </w:r>
            <w:r>
              <w:rPr>
                <w:rFonts w:hint="default" w:ascii="Times New Roman" w:hAnsi="Times New Roman" w:eastAsia="宋体" w:cs="Times New Roman"/>
                <w:bCs/>
                <w:color w:val="auto"/>
                <w:sz w:val="21"/>
                <w:szCs w:val="21"/>
                <w:lang w:val="en-US" w:eastAsia="zh-CN"/>
              </w:rPr>
              <w:t>临时占地所涉面积</w:t>
            </w:r>
            <w:r>
              <w:rPr>
                <w:rFonts w:hint="default" w:ascii="Times New Roman" w:hAnsi="Times New Roman" w:eastAsia="宋体" w:cs="Times New Roman"/>
                <w:color w:val="auto"/>
                <w:sz w:val="21"/>
                <w:szCs w:val="21"/>
              </w:rPr>
              <w:t>约0.</w:t>
            </w:r>
            <w:r>
              <w:rPr>
                <w:rFonts w:hint="default" w:ascii="Times New Roman" w:hAnsi="Times New Roman" w:eastAsia="宋体" w:cs="Times New Roman"/>
                <w:color w:val="auto"/>
                <w:sz w:val="21"/>
                <w:szCs w:val="21"/>
                <w:lang w:val="en-US" w:eastAsia="zh-CN"/>
              </w:rPr>
              <w:t>36</w:t>
            </w:r>
            <w:r>
              <w:rPr>
                <w:rFonts w:hint="default" w:ascii="Times New Roman" w:hAnsi="Times New Roman" w:eastAsia="宋体" w:cs="Times New Roman"/>
                <w:color w:val="auto"/>
                <w:sz w:val="21"/>
                <w:szCs w:val="21"/>
              </w:rPr>
              <w:t>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bCs/>
                <w:color w:val="auto"/>
                <w:sz w:val="21"/>
                <w:szCs w:val="21"/>
              </w:rPr>
              <w:t>评价范围</w:t>
            </w:r>
            <w:r>
              <w:rPr>
                <w:rFonts w:hint="default" w:ascii="Times New Roman" w:hAnsi="Times New Roman" w:eastAsia="宋体" w:cs="Times New Roman"/>
                <w:bCs/>
                <w:color w:val="auto"/>
                <w:sz w:val="21"/>
                <w:szCs w:val="21"/>
                <w:lang w:val="en-US" w:eastAsia="zh-CN"/>
              </w:rPr>
              <w:t>所涉</w:t>
            </w:r>
            <w:r>
              <w:rPr>
                <w:rFonts w:hint="default" w:ascii="Times New Roman" w:hAnsi="Times New Roman" w:eastAsia="宋体" w:cs="Times New Roman"/>
                <w:bCs/>
                <w:color w:val="auto"/>
                <w:sz w:val="21"/>
                <w:szCs w:val="21"/>
              </w:rPr>
              <w:t>面积</w:t>
            </w: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为24.46</w:t>
            </w:r>
            <w:r>
              <w:rPr>
                <w:rFonts w:hint="default" w:ascii="Times New Roman" w:hAnsi="Times New Roman" w:eastAsia="宋体" w:cs="Times New Roman"/>
                <w:color w:val="auto"/>
                <w:sz w:val="21"/>
                <w:szCs w:val="21"/>
              </w:rPr>
              <w:t>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595" w:type="pct"/>
            <w:noWrap w:val="0"/>
            <w:vAlign w:val="center"/>
          </w:tcPr>
          <w:p w14:paraId="544E3005">
            <w:pPr>
              <w:pStyle w:val="87"/>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对临时占地及时恢复，制定基本农田保护方案，按管理部门要求</w:t>
            </w:r>
            <w:r>
              <w:rPr>
                <w:rFonts w:hint="default" w:ascii="Times New Roman" w:hAnsi="Times New Roman" w:eastAsia="宋体" w:cs="Times New Roman"/>
                <w:color w:val="auto"/>
                <w:sz w:val="21"/>
                <w:szCs w:val="21"/>
                <w:lang w:val="en-US" w:eastAsia="zh-CN"/>
              </w:rPr>
              <w:t>进行保护</w:t>
            </w:r>
            <w:r>
              <w:rPr>
                <w:rFonts w:hint="default" w:ascii="Times New Roman" w:hAnsi="Times New Roman" w:eastAsia="宋体" w:cs="Times New Roman"/>
                <w:color w:val="auto"/>
                <w:sz w:val="21"/>
                <w:szCs w:val="21"/>
              </w:rPr>
              <w:t>，确保数量不减，质量不降低</w:t>
            </w:r>
          </w:p>
        </w:tc>
      </w:tr>
      <w:tr w14:paraId="79C6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5" w:type="pct"/>
            <w:noWrap w:val="0"/>
            <w:vAlign w:val="center"/>
          </w:tcPr>
          <w:p w14:paraId="406DD258">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w:t>
            </w:r>
          </w:p>
        </w:tc>
        <w:tc>
          <w:tcPr>
            <w:tcW w:w="2469" w:type="pct"/>
            <w:noWrap w:val="0"/>
            <w:vAlign w:val="center"/>
          </w:tcPr>
          <w:p w14:paraId="1773D877">
            <w:pPr>
              <w:pStyle w:val="87"/>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项目周边</w:t>
            </w:r>
          </w:p>
        </w:tc>
        <w:tc>
          <w:tcPr>
            <w:tcW w:w="1595" w:type="pct"/>
            <w:noWrap w:val="0"/>
            <w:vAlign w:val="center"/>
          </w:tcPr>
          <w:p w14:paraId="36C7C97F">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加强施工人员管理，严禁捕杀动物，破坏植被</w:t>
            </w:r>
          </w:p>
        </w:tc>
      </w:tr>
    </w:tbl>
    <w:p w14:paraId="400BA7E0">
      <w:pPr>
        <w:pStyle w:val="88"/>
        <w:rPr>
          <w:rFonts w:hint="default" w:ascii="Times New Roman" w:hAnsi="Times New Roman" w:eastAsia="宋体" w:cs="Times New Roman"/>
          <w:color w:val="auto"/>
        </w:rPr>
      </w:pPr>
    </w:p>
    <w:p w14:paraId="48621022">
      <w:pPr>
        <w:pStyle w:val="88"/>
        <w:rPr>
          <w:rFonts w:hint="default" w:ascii="Times New Roman" w:hAnsi="Times New Roman" w:eastAsia="宋体" w:cs="Times New Roman"/>
          <w:color w:val="auto"/>
        </w:rPr>
      </w:pPr>
    </w:p>
    <w:p w14:paraId="308FA280">
      <w:pPr>
        <w:adjustRightInd w:val="0"/>
        <w:snapToGrid w:val="0"/>
        <w:spacing w:after="120" w:afterLines="50"/>
        <w:jc w:val="center"/>
        <w:outlineLvl w:val="0"/>
        <w:rPr>
          <w:rFonts w:hint="default" w:ascii="Times New Roman" w:hAnsi="Times New Roman" w:eastAsia="宋体" w:cs="Times New Roman"/>
          <w:b/>
          <w:color w:val="auto"/>
          <w:sz w:val="32"/>
          <w:szCs w:val="32"/>
        </w:rPr>
        <w:sectPr>
          <w:pgSz w:w="11906" w:h="16838"/>
          <w:pgMar w:top="1418" w:right="1588" w:bottom="1418" w:left="1588" w:header="851" w:footer="992" w:gutter="0"/>
          <w:pgBorders>
            <w:top w:val="none" w:sz="0" w:space="0"/>
            <w:left w:val="none" w:sz="0" w:space="0"/>
            <w:bottom w:val="none" w:sz="0" w:space="0"/>
            <w:right w:val="none" w:sz="0" w:space="0"/>
          </w:pgBorders>
          <w:cols w:space="720" w:num="1"/>
          <w:docGrid w:linePitch="312" w:charSpace="0"/>
        </w:sectPr>
      </w:pPr>
      <w:bookmarkStart w:id="73" w:name="_Toc164084308"/>
      <w:bookmarkStart w:id="74" w:name="_Toc220170971"/>
      <w:bookmarkStart w:id="75" w:name="_Toc18156"/>
      <w:bookmarkStart w:id="76" w:name="_Toc60144381"/>
      <w:bookmarkStart w:id="77" w:name="_Toc45551067"/>
    </w:p>
    <w:p w14:paraId="31B8B68F">
      <w:pPr>
        <w:adjustRightInd w:val="0"/>
        <w:snapToGrid w:val="0"/>
        <w:spacing w:after="120" w:afterLines="50"/>
        <w:jc w:val="center"/>
        <w:outlineLvl w:val="0"/>
        <w:rPr>
          <w:rFonts w:hint="default" w:ascii="Times New Roman" w:hAnsi="Times New Roman" w:eastAsia="宋体" w:cs="Times New Roman"/>
          <w:b/>
          <w:color w:val="auto"/>
          <w:sz w:val="32"/>
          <w:szCs w:val="32"/>
        </w:rPr>
      </w:pPr>
      <w:bookmarkStart w:id="78" w:name="_Toc22739"/>
      <w:r>
        <w:rPr>
          <w:rFonts w:hint="default" w:ascii="Times New Roman" w:hAnsi="Times New Roman" w:eastAsia="宋体" w:cs="Times New Roman"/>
          <w:b/>
          <w:color w:val="auto"/>
          <w:sz w:val="32"/>
          <w:szCs w:val="32"/>
        </w:rPr>
        <w:t>2 工程概况</w:t>
      </w:r>
      <w:bookmarkEnd w:id="73"/>
      <w:bookmarkEnd w:id="74"/>
      <w:bookmarkEnd w:id="75"/>
      <w:bookmarkEnd w:id="76"/>
      <w:bookmarkEnd w:id="77"/>
      <w:bookmarkEnd w:id="78"/>
    </w:p>
    <w:p w14:paraId="21F11BF5">
      <w:pPr>
        <w:adjustRightInd w:val="0"/>
        <w:snapToGrid w:val="0"/>
        <w:spacing w:line="460" w:lineRule="exact"/>
        <w:ind w:firstLine="522" w:firstLineChars="200"/>
        <w:outlineLvl w:val="1"/>
        <w:rPr>
          <w:rFonts w:hint="default" w:ascii="Times New Roman" w:hAnsi="Times New Roman" w:eastAsia="宋体" w:cs="Times New Roman"/>
          <w:b/>
          <w:color w:val="auto"/>
          <w:sz w:val="26"/>
          <w:szCs w:val="26"/>
          <w:lang w:val="en-US" w:eastAsia="zh-CN"/>
        </w:rPr>
      </w:pPr>
      <w:bookmarkStart w:id="79" w:name="_Toc22811"/>
      <w:bookmarkStart w:id="80" w:name="_Toc220170972"/>
      <w:bookmarkStart w:id="81" w:name="_Toc164084309"/>
      <w:bookmarkStart w:id="82" w:name="_Toc45551068"/>
      <w:bookmarkStart w:id="83" w:name="_Toc15983"/>
      <w:bookmarkStart w:id="84" w:name="_Toc60144382"/>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1</w:t>
      </w:r>
      <w:r>
        <w:rPr>
          <w:rFonts w:hint="default" w:ascii="Times New Roman" w:hAnsi="Times New Roman" w:eastAsia="宋体" w:cs="Times New Roman"/>
          <w:b/>
          <w:color w:val="auto"/>
          <w:sz w:val="26"/>
          <w:szCs w:val="26"/>
        </w:rPr>
        <w:t>现有工程</w:t>
      </w:r>
      <w:r>
        <w:rPr>
          <w:rFonts w:hint="default" w:ascii="Times New Roman" w:hAnsi="Times New Roman" w:eastAsia="宋体" w:cs="Times New Roman"/>
          <w:b/>
          <w:color w:val="auto"/>
          <w:sz w:val="26"/>
          <w:szCs w:val="26"/>
          <w:lang w:val="en-US" w:eastAsia="zh-CN"/>
        </w:rPr>
        <w:t>概况</w:t>
      </w:r>
      <w:bookmarkEnd w:id="79"/>
    </w:p>
    <w:p w14:paraId="696DC3B1">
      <w:pPr>
        <w:pStyle w:val="56"/>
        <w:rPr>
          <w:rFonts w:hint="default" w:ascii="Times New Roman" w:hAnsi="Times New Roman" w:eastAsia="宋体" w:cs="Times New Roman"/>
          <w:color w:val="auto"/>
          <w:lang w:val="en-US" w:eastAsia="zh-CN"/>
        </w:rPr>
      </w:pPr>
      <w:bookmarkStart w:id="85" w:name="_Hlk135663771"/>
      <w:r>
        <w:rPr>
          <w:rFonts w:hint="default" w:ascii="Times New Roman" w:hAnsi="Times New Roman" w:eastAsia="宋体" w:cs="Times New Roman"/>
          <w:color w:val="auto"/>
        </w:rPr>
        <w:t>重庆气矿江北采输气作业区铁新线起于重庆市江津广兴镇铁浅1井，止于綦江区新盛镇</w:t>
      </w:r>
      <w:r>
        <w:rPr>
          <w:rFonts w:hint="default" w:ascii="Times New Roman" w:hAnsi="Times New Roman" w:eastAsia="宋体" w:cs="Times New Roman"/>
          <w:color w:val="auto"/>
          <w:lang w:eastAsia="zh-CN"/>
        </w:rPr>
        <w:t>新盛站</w:t>
      </w:r>
      <w:r>
        <w:rPr>
          <w:rFonts w:hint="default" w:ascii="Times New Roman" w:hAnsi="Times New Roman" w:eastAsia="宋体" w:cs="Times New Roman"/>
          <w:color w:val="auto"/>
        </w:rPr>
        <w:t>，管线于2001年1月17日建成投产，全长16km，管线规格为D89×5mm，设计压力为4.0MPa，设计输气量</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/d，实际输气量为</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/d，输送压力为0.4MPa，输送介质为净化气。</w:t>
      </w:r>
      <w:r>
        <w:rPr>
          <w:rFonts w:hint="default" w:ascii="Times New Roman" w:hAnsi="Times New Roman" w:eastAsia="宋体" w:cs="Times New Roman"/>
          <w:color w:val="auto"/>
          <w:lang w:val="en-US" w:eastAsia="zh-CN"/>
        </w:rPr>
        <w:t>目前，铁新线气源改由新盛站供给，通过铁浅1井下游的城镇管网向用户供气。</w:t>
      </w:r>
    </w:p>
    <w:p w14:paraId="6ABD2770">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（1）新盛站基本情况</w:t>
      </w:r>
    </w:p>
    <w:p w14:paraId="3EEF34EB">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新盛站现有过滤分离、计量、调压、收球等工艺，站内3人值守。</w:t>
      </w:r>
    </w:p>
    <w:p w14:paraId="5093A420">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（2）铁浅1井基本情况</w:t>
      </w:r>
    </w:p>
    <w:p w14:paraId="2952C571">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铁浅1井内现有过滤分离、计量、调压等工艺，</w:t>
      </w:r>
      <w:r>
        <w:rPr>
          <w:rFonts w:hint="default" w:ascii="Times New Roman" w:hAnsi="Times New Roman" w:eastAsia="宋体" w:cs="Times New Roman"/>
          <w:color w:val="auto"/>
          <w:shd w:val="clear" w:fill="FFFFFF"/>
          <w:lang w:val="en-US" w:eastAsia="zh-CN"/>
        </w:rPr>
        <w:t>接受</w:t>
      </w:r>
      <w:r>
        <w:rPr>
          <w:rFonts w:hint="default" w:ascii="Times New Roman" w:hAnsi="Times New Roman" w:eastAsia="宋体" w:cs="Times New Roman"/>
          <w:color w:val="auto"/>
          <w:lang w:val="en-US" w:eastAsia="zh-CN"/>
        </w:rPr>
        <w:t>新盛</w:t>
      </w:r>
      <w:r>
        <w:rPr>
          <w:rFonts w:hint="default" w:ascii="Times New Roman" w:hAnsi="Times New Roman" w:eastAsia="宋体" w:cs="Times New Roman"/>
          <w:color w:val="auto"/>
          <w:shd w:val="clear" w:fill="FFFFFF"/>
          <w:lang w:val="en-US" w:eastAsia="zh-CN"/>
        </w:rPr>
        <w:t>站来气</w:t>
      </w:r>
      <w:r>
        <w:rPr>
          <w:rFonts w:hint="default" w:ascii="Times New Roman" w:hAnsi="Times New Roman" w:eastAsia="宋体" w:cs="Times New Roman"/>
          <w:color w:val="auto"/>
          <w:lang w:val="en-US" w:eastAsia="zh-CN"/>
        </w:rPr>
        <w:t>后经下游的城镇管网供用户使用，站内无人值守。站场</w:t>
      </w:r>
      <w:r>
        <w:rPr>
          <w:rFonts w:hint="default" w:ascii="Times New Roman" w:hAnsi="Times New Roman" w:eastAsia="宋体" w:cs="Times New Roman"/>
          <w:color w:val="auto"/>
        </w:rPr>
        <w:t>现状参见图2.3-1。</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8"/>
        <w:gridCol w:w="4258"/>
      </w:tblGrid>
      <w:tr w14:paraId="474EA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500" w:type="pct"/>
            <w:noWrap w:val="0"/>
            <w:vAlign w:val="center"/>
          </w:tcPr>
          <w:p w14:paraId="344BA82A">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6"/>
                <w:szCs w:val="26"/>
                <w:vertAlign w:val="baseline"/>
                <w:lang w:val="en-US" w:eastAsia="zh-CN"/>
              </w:rPr>
              <w:t>***</w:t>
            </w:r>
          </w:p>
        </w:tc>
        <w:tc>
          <w:tcPr>
            <w:tcW w:w="2500" w:type="pct"/>
            <w:noWrap w:val="0"/>
            <w:vAlign w:val="center"/>
          </w:tcPr>
          <w:p w14:paraId="4B0D050D">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6"/>
                <w:szCs w:val="26"/>
                <w:vertAlign w:val="baseline"/>
                <w:lang w:val="en-US" w:eastAsia="zh-CN"/>
              </w:rPr>
              <w:t>***</w:t>
            </w:r>
          </w:p>
        </w:tc>
      </w:tr>
      <w:tr w14:paraId="0F7DC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500" w:type="pct"/>
            <w:noWrap w:val="0"/>
            <w:vAlign w:val="center"/>
          </w:tcPr>
          <w:p w14:paraId="74C7E245">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铁浅1井</w:t>
            </w:r>
          </w:p>
        </w:tc>
        <w:tc>
          <w:tcPr>
            <w:tcW w:w="2500" w:type="pct"/>
            <w:noWrap w:val="0"/>
            <w:vAlign w:val="center"/>
          </w:tcPr>
          <w:p w14:paraId="5EFA4AA9">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新盛站</w:t>
            </w:r>
          </w:p>
        </w:tc>
      </w:tr>
      <w:tr w14:paraId="28EBA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500" w:type="pct"/>
            <w:noWrap w:val="0"/>
            <w:vAlign w:val="center"/>
          </w:tcPr>
          <w:p w14:paraId="119EC798">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6"/>
                <w:szCs w:val="26"/>
                <w:vertAlign w:val="baseline"/>
                <w:lang w:val="en-US" w:eastAsia="zh-CN"/>
              </w:rPr>
              <w:t>***</w:t>
            </w:r>
          </w:p>
        </w:tc>
        <w:tc>
          <w:tcPr>
            <w:tcW w:w="2500" w:type="pct"/>
            <w:noWrap w:val="0"/>
            <w:vAlign w:val="center"/>
          </w:tcPr>
          <w:p w14:paraId="0FF56949">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46669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500" w:type="pct"/>
            <w:noWrap w:val="0"/>
            <w:vAlign w:val="center"/>
          </w:tcPr>
          <w:p w14:paraId="7620D471">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新盛站 放空系统</w:t>
            </w:r>
          </w:p>
        </w:tc>
        <w:tc>
          <w:tcPr>
            <w:tcW w:w="2500" w:type="pct"/>
            <w:noWrap w:val="0"/>
            <w:vAlign w:val="center"/>
          </w:tcPr>
          <w:p w14:paraId="7879E7CC">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bl>
    <w:p w14:paraId="58025B6C">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图2.</w:t>
      </w:r>
      <w:r>
        <w:rPr>
          <w:rFonts w:hint="eastAsia" w:ascii="Times New Roman" w:hAnsi="Times New Roman" w:cs="Times New Roman"/>
          <w:color w:val="auto"/>
          <w:lang w:val="en-US" w:eastAsia="zh-CN"/>
        </w:rPr>
        <w:t>1</w:t>
      </w:r>
      <w:r>
        <w:rPr>
          <w:rFonts w:hint="default" w:ascii="Times New Roman" w:hAnsi="Times New Roman" w:eastAsia="宋体" w:cs="Times New Roman"/>
          <w:color w:val="auto"/>
        </w:rPr>
        <w:t>-1  铁新线</w:t>
      </w:r>
      <w:r>
        <w:rPr>
          <w:rFonts w:hint="default" w:ascii="Times New Roman" w:hAnsi="Times New Roman" w:eastAsia="宋体" w:cs="Times New Roman"/>
          <w:color w:val="auto"/>
          <w:lang w:val="en-US" w:eastAsia="zh-CN"/>
        </w:rPr>
        <w:t>两端站场</w:t>
      </w:r>
      <w:r>
        <w:rPr>
          <w:rFonts w:hint="default" w:ascii="Times New Roman" w:hAnsi="Times New Roman" w:eastAsia="宋体" w:cs="Times New Roman"/>
          <w:color w:val="auto"/>
        </w:rPr>
        <w:t>现状图</w:t>
      </w:r>
      <w:bookmarkEnd w:id="85"/>
    </w:p>
    <w:p w14:paraId="69BC1E7D">
      <w:pPr>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1</w:t>
      </w:r>
      <w:r>
        <w:rPr>
          <w:rFonts w:hint="default" w:ascii="Times New Roman" w:hAnsi="Times New Roman" w:eastAsia="宋体" w:cs="Times New Roman"/>
          <w:b/>
          <w:color w:val="auto"/>
          <w:sz w:val="26"/>
          <w:szCs w:val="26"/>
        </w:rPr>
        <w:t>.</w:t>
      </w:r>
      <w:r>
        <w:rPr>
          <w:rFonts w:hint="default" w:ascii="Times New Roman" w:hAnsi="Times New Roman" w:eastAsia="宋体" w:cs="Times New Roman"/>
          <w:b/>
          <w:color w:val="auto"/>
          <w:sz w:val="26"/>
          <w:szCs w:val="26"/>
          <w:lang w:val="en-US" w:eastAsia="zh-CN"/>
        </w:rPr>
        <w:t>1</w:t>
      </w:r>
      <w:r>
        <w:rPr>
          <w:rFonts w:hint="default" w:ascii="Times New Roman" w:hAnsi="Times New Roman" w:eastAsia="宋体" w:cs="Times New Roman"/>
          <w:b/>
          <w:color w:val="auto"/>
          <w:sz w:val="26"/>
          <w:szCs w:val="26"/>
        </w:rPr>
        <w:t xml:space="preserve"> </w:t>
      </w:r>
      <w:r>
        <w:rPr>
          <w:rFonts w:hint="default" w:ascii="Times New Roman" w:hAnsi="Times New Roman" w:eastAsia="宋体" w:cs="Times New Roman"/>
          <w:b/>
          <w:color w:val="auto"/>
          <w:sz w:val="26"/>
          <w:szCs w:val="26"/>
          <w:lang w:val="en-US" w:eastAsia="zh-CN"/>
        </w:rPr>
        <w:t>现有项目</w:t>
      </w:r>
      <w:r>
        <w:rPr>
          <w:rFonts w:hint="default" w:ascii="Times New Roman" w:hAnsi="Times New Roman" w:eastAsia="宋体" w:cs="Times New Roman"/>
          <w:b/>
          <w:color w:val="auto"/>
          <w:sz w:val="26"/>
          <w:szCs w:val="26"/>
        </w:rPr>
        <w:t>环保手续</w:t>
      </w:r>
    </w:p>
    <w:p w14:paraId="44D88CB3">
      <w:pPr>
        <w:pStyle w:val="58"/>
        <w:spacing w:line="480" w:lineRule="exact"/>
        <w:ind w:firstLine="520" w:firstLineChars="200"/>
        <w:jc w:val="left"/>
        <w:rPr>
          <w:rFonts w:hint="default" w:ascii="Times New Roman" w:hAnsi="Times New Roman" w:eastAsia="宋体" w:cs="Times New Roman"/>
          <w:b w:val="0"/>
          <w:color w:val="auto"/>
        </w:rPr>
      </w:pPr>
      <w:r>
        <w:rPr>
          <w:rFonts w:hint="default" w:ascii="Times New Roman" w:hAnsi="Times New Roman" w:eastAsia="宋体" w:cs="Times New Roman"/>
          <w:b w:val="0"/>
          <w:color w:val="auto"/>
          <w:lang w:val="en-US" w:eastAsia="zh-CN"/>
        </w:rPr>
        <w:t>铁新</w:t>
      </w:r>
      <w:r>
        <w:rPr>
          <w:rFonts w:hint="default" w:ascii="Times New Roman" w:hAnsi="Times New Roman" w:eastAsia="宋体" w:cs="Times New Roman"/>
          <w:b w:val="0"/>
          <w:color w:val="auto"/>
        </w:rPr>
        <w:t>线建成于</w:t>
      </w:r>
      <w:r>
        <w:rPr>
          <w:rFonts w:hint="default" w:ascii="Times New Roman" w:hAnsi="Times New Roman" w:eastAsia="宋体" w:cs="Times New Roman"/>
          <w:b w:val="0"/>
          <w:color w:val="auto"/>
          <w:lang w:val="en-US" w:eastAsia="zh-CN"/>
        </w:rPr>
        <w:t>2001</w:t>
      </w:r>
      <w:r>
        <w:rPr>
          <w:rFonts w:hint="default" w:ascii="Times New Roman" w:hAnsi="Times New Roman" w:eastAsia="宋体" w:cs="Times New Roman"/>
          <w:b w:val="0"/>
          <w:color w:val="auto"/>
        </w:rPr>
        <w:t>年，属于《中华人民共和国环境影响评价法》实施（2003年9月1日）前建成的项目，建设时无相关环保手续要求。</w:t>
      </w:r>
    </w:p>
    <w:p w14:paraId="32F36CEF">
      <w:pPr>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1</w:t>
      </w:r>
      <w:r>
        <w:rPr>
          <w:rFonts w:hint="default" w:ascii="Times New Roman" w:hAnsi="Times New Roman" w:eastAsia="宋体" w:cs="Times New Roman"/>
          <w:b/>
          <w:color w:val="auto"/>
          <w:sz w:val="26"/>
          <w:szCs w:val="26"/>
        </w:rPr>
        <w:t>.</w:t>
      </w:r>
      <w:r>
        <w:rPr>
          <w:rFonts w:hint="default" w:ascii="Times New Roman" w:hAnsi="Times New Roman" w:eastAsia="宋体" w:cs="Times New Roman"/>
          <w:b/>
          <w:color w:val="auto"/>
          <w:sz w:val="26"/>
          <w:szCs w:val="26"/>
          <w:lang w:val="en-US" w:eastAsia="zh-CN"/>
        </w:rPr>
        <w:t>2</w:t>
      </w:r>
      <w:r>
        <w:rPr>
          <w:rFonts w:hint="default" w:ascii="Times New Roman" w:hAnsi="Times New Roman" w:eastAsia="宋体" w:cs="Times New Roman"/>
          <w:b/>
          <w:color w:val="auto"/>
          <w:sz w:val="26"/>
          <w:szCs w:val="26"/>
        </w:rPr>
        <w:t xml:space="preserve"> “以新带老”措施分析</w:t>
      </w:r>
    </w:p>
    <w:p w14:paraId="245B4802">
      <w:pPr>
        <w:spacing w:line="46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本项目原有管线所涉及的站场不改变原有工艺流程，不新增相关设施，不涉及以新带老工程。</w:t>
      </w:r>
    </w:p>
    <w:p w14:paraId="6BDA9762">
      <w:pPr>
        <w:spacing w:line="500" w:lineRule="exact"/>
        <w:ind w:firstLine="522" w:firstLineChars="200"/>
        <w:outlineLvl w:val="2"/>
        <w:rPr>
          <w:rFonts w:hint="default" w:ascii="Times New Roman" w:hAnsi="Times New Roman" w:eastAsia="宋体" w:cs="Times New Roman"/>
          <w:b/>
          <w:color w:val="auto"/>
          <w:sz w:val="26"/>
          <w:szCs w:val="26"/>
          <w:lang w:val="en-US" w:eastAsia="zh-CN"/>
        </w:rPr>
      </w:pPr>
      <w:r>
        <w:rPr>
          <w:rFonts w:hint="default" w:ascii="Times New Roman" w:hAnsi="Times New Roman" w:eastAsia="宋体" w:cs="Times New Roman"/>
          <w:b/>
          <w:color w:val="auto"/>
          <w:sz w:val="26"/>
          <w:szCs w:val="26"/>
          <w:lang w:val="en-US" w:eastAsia="zh-CN"/>
        </w:rPr>
        <w:t>2.1.3 站场现有污染物排放情况</w:t>
      </w:r>
    </w:p>
    <w:p w14:paraId="7030C9E5">
      <w:pPr>
        <w:keepNext w:val="0"/>
        <w:keepLines w:val="0"/>
        <w:pageBreakBefore w:val="0"/>
        <w:widowControl/>
        <w:kinsoku/>
        <w:wordWrap w:val="0"/>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bCs/>
          <w:color w:val="auto"/>
          <w:sz w:val="26"/>
          <w:szCs w:val="26"/>
          <w:lang w:val="en-US" w:eastAsia="zh-CN"/>
        </w:rPr>
        <w:t>新盛站主要污染物有①过滤分离装置产生的少量过滤废渣</w:t>
      </w:r>
      <w:r>
        <w:rPr>
          <w:rFonts w:hint="default" w:ascii="Times New Roman" w:hAnsi="Times New Roman" w:eastAsia="宋体" w:cs="Times New Roman"/>
          <w:color w:val="auto"/>
          <w:sz w:val="26"/>
          <w:szCs w:val="26"/>
          <w:highlight w:val="none"/>
          <w:lang w:val="en-US" w:eastAsia="zh-CN"/>
        </w:rPr>
        <w:t>（约0.02t/a），</w:t>
      </w:r>
      <w:r>
        <w:rPr>
          <w:rFonts w:hint="default" w:ascii="Times New Roman" w:hAnsi="Times New Roman" w:eastAsia="宋体" w:cs="Times New Roman"/>
          <w:color w:val="auto"/>
          <w:sz w:val="26"/>
          <w:szCs w:val="26"/>
          <w:highlight w:val="none"/>
        </w:rPr>
        <w:t>主要成分为</w:t>
      </w:r>
      <w:r>
        <w:rPr>
          <w:rFonts w:hint="default" w:ascii="Times New Roman" w:hAnsi="Times New Roman" w:eastAsia="宋体" w:cs="Times New Roman"/>
          <w:color w:val="auto"/>
          <w:sz w:val="26"/>
          <w:szCs w:val="26"/>
        </w:rPr>
        <w:t>粉尘</w:t>
      </w:r>
      <w:r>
        <w:rPr>
          <w:rFonts w:hint="default" w:ascii="Times New Roman" w:hAnsi="Times New Roman" w:eastAsia="宋体" w:cs="Times New Roman"/>
          <w:color w:val="auto"/>
          <w:sz w:val="26"/>
          <w:szCs w:val="26"/>
          <w:highlight w:val="none"/>
        </w:rPr>
        <w:t>，</w:t>
      </w:r>
      <w:r>
        <w:rPr>
          <w:rFonts w:hint="default" w:ascii="Times New Roman" w:hAnsi="Times New Roman" w:eastAsia="宋体" w:cs="Times New Roman"/>
          <w:color w:val="auto"/>
          <w:sz w:val="26"/>
          <w:szCs w:val="26"/>
          <w:highlight w:val="none"/>
          <w:lang w:val="en-US" w:eastAsia="zh-CN"/>
        </w:rPr>
        <w:t>由作业区定期收集后交有资质和能力的单位处置</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lang w:val="en-US" w:eastAsia="zh-CN"/>
        </w:rPr>
        <w:t>②清管废渣（来源于上游九宫庙站）；③值守人员的生活污水（接入当地市政管网）。</w:t>
      </w:r>
    </w:p>
    <w:p w14:paraId="62CDE98A">
      <w:pPr>
        <w:keepNext w:val="0"/>
        <w:keepLines w:val="0"/>
        <w:pageBreakBefore w:val="0"/>
        <w:widowControl/>
        <w:kinsoku/>
        <w:wordWrap w:val="0"/>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Cs/>
          <w:color w:val="auto"/>
          <w:sz w:val="26"/>
          <w:szCs w:val="26"/>
          <w:lang w:val="en-US" w:eastAsia="zh-CN"/>
        </w:rPr>
      </w:pPr>
      <w:r>
        <w:rPr>
          <w:rFonts w:hint="default" w:ascii="Times New Roman" w:hAnsi="Times New Roman" w:eastAsia="宋体" w:cs="Times New Roman"/>
          <w:color w:val="auto"/>
          <w:lang w:val="en-US" w:eastAsia="zh-CN"/>
        </w:rPr>
        <w:t>铁浅1井</w:t>
      </w:r>
      <w:r>
        <w:rPr>
          <w:rFonts w:hint="default" w:ascii="Times New Roman" w:hAnsi="Times New Roman" w:eastAsia="宋体" w:cs="Times New Roman"/>
          <w:bCs/>
          <w:color w:val="auto"/>
          <w:sz w:val="26"/>
          <w:szCs w:val="26"/>
          <w:lang w:val="en-US" w:eastAsia="zh-CN"/>
        </w:rPr>
        <w:t>主要污染物有过滤分离装置产生的少量过滤废渣</w:t>
      </w:r>
      <w:r>
        <w:rPr>
          <w:rFonts w:hint="default" w:ascii="Times New Roman" w:hAnsi="Times New Roman" w:eastAsia="宋体" w:cs="Times New Roman"/>
          <w:color w:val="auto"/>
          <w:sz w:val="26"/>
          <w:szCs w:val="26"/>
          <w:highlight w:val="none"/>
          <w:lang w:val="en-US" w:eastAsia="zh-CN"/>
        </w:rPr>
        <w:t>（约0.01t/a），</w:t>
      </w:r>
      <w:r>
        <w:rPr>
          <w:rFonts w:hint="default" w:ascii="Times New Roman" w:hAnsi="Times New Roman" w:eastAsia="宋体" w:cs="Times New Roman"/>
          <w:color w:val="auto"/>
          <w:sz w:val="26"/>
          <w:szCs w:val="26"/>
          <w:highlight w:val="none"/>
        </w:rPr>
        <w:t>主要成分为</w:t>
      </w:r>
      <w:r>
        <w:rPr>
          <w:rFonts w:hint="default" w:ascii="Times New Roman" w:hAnsi="Times New Roman" w:eastAsia="宋体" w:cs="Times New Roman"/>
          <w:color w:val="auto"/>
          <w:sz w:val="26"/>
          <w:szCs w:val="26"/>
        </w:rPr>
        <w:t>粉尘</w:t>
      </w:r>
      <w:r>
        <w:rPr>
          <w:rFonts w:hint="default" w:ascii="Times New Roman" w:hAnsi="Times New Roman" w:eastAsia="宋体" w:cs="Times New Roman"/>
          <w:color w:val="auto"/>
          <w:sz w:val="26"/>
          <w:szCs w:val="26"/>
          <w:highlight w:val="none"/>
        </w:rPr>
        <w:t>，</w:t>
      </w:r>
      <w:r>
        <w:rPr>
          <w:rFonts w:hint="default" w:ascii="Times New Roman" w:hAnsi="Times New Roman" w:eastAsia="宋体" w:cs="Times New Roman"/>
          <w:color w:val="auto"/>
          <w:sz w:val="26"/>
          <w:szCs w:val="26"/>
          <w:highlight w:val="none"/>
          <w:lang w:val="en-US" w:eastAsia="zh-CN"/>
        </w:rPr>
        <w:t>由作业区定期收集后交有资质和能力的单位处置。</w:t>
      </w:r>
    </w:p>
    <w:p w14:paraId="3B181663">
      <w:pPr>
        <w:spacing w:line="500" w:lineRule="exact"/>
        <w:ind w:firstLine="522" w:firstLineChars="200"/>
        <w:outlineLvl w:val="2"/>
        <w:rPr>
          <w:rFonts w:hint="default" w:ascii="Times New Roman" w:hAnsi="Times New Roman" w:eastAsia="宋体" w:cs="Times New Roman"/>
          <w:b/>
          <w:color w:val="auto"/>
          <w:sz w:val="26"/>
          <w:szCs w:val="26"/>
          <w:lang w:val="en-US" w:eastAsia="zh-CN"/>
        </w:rPr>
      </w:pPr>
      <w:r>
        <w:rPr>
          <w:rFonts w:hint="default" w:ascii="Times New Roman" w:hAnsi="Times New Roman" w:eastAsia="宋体" w:cs="Times New Roman"/>
          <w:b/>
          <w:color w:val="auto"/>
          <w:sz w:val="26"/>
          <w:szCs w:val="26"/>
          <w:lang w:val="en-US" w:eastAsia="zh-CN"/>
        </w:rPr>
        <w:t>2.1.4 改线段现有污染物排放情况</w:t>
      </w:r>
    </w:p>
    <w:p w14:paraId="6114B37B">
      <w:pPr>
        <w:keepNext w:val="0"/>
        <w:keepLines w:val="0"/>
        <w:pageBreakBefore w:val="0"/>
        <w:widowControl/>
        <w:kinsoku/>
        <w:wordWrap w:val="0"/>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Cs/>
          <w:color w:val="auto"/>
          <w:sz w:val="26"/>
          <w:szCs w:val="26"/>
          <w:lang w:val="en-US" w:eastAsia="zh-CN"/>
        </w:rPr>
      </w:pPr>
      <w:r>
        <w:rPr>
          <w:rFonts w:hint="default" w:ascii="Times New Roman" w:hAnsi="Times New Roman" w:eastAsia="宋体" w:cs="Times New Roman"/>
          <w:bCs/>
          <w:color w:val="auto"/>
          <w:sz w:val="26"/>
          <w:szCs w:val="26"/>
          <w:lang w:val="en-US" w:eastAsia="zh-CN"/>
        </w:rPr>
        <w:t>本项目仅针对拟</w:t>
      </w:r>
      <w:r>
        <w:rPr>
          <w:rFonts w:hint="default" w:ascii="Times New Roman" w:hAnsi="Times New Roman" w:eastAsia="宋体" w:cs="Times New Roman"/>
          <w:color w:val="auto"/>
          <w:lang w:eastAsia="zh-CN"/>
        </w:rPr>
        <w:t>占压</w:t>
      </w:r>
      <w:r>
        <w:rPr>
          <w:rFonts w:hint="default" w:ascii="Times New Roman" w:hAnsi="Times New Roman" w:eastAsia="宋体" w:cs="Times New Roman"/>
          <w:color w:val="auto"/>
          <w:lang w:val="en-US" w:eastAsia="zh-CN"/>
        </w:rPr>
        <w:t>管</w:t>
      </w:r>
      <w:r>
        <w:rPr>
          <w:rFonts w:hint="default" w:ascii="Times New Roman" w:hAnsi="Times New Roman" w:eastAsia="宋体" w:cs="Times New Roman"/>
          <w:color w:val="auto"/>
          <w:lang w:eastAsia="zh-CN"/>
        </w:rPr>
        <w:t>段</w:t>
      </w:r>
      <w:r>
        <w:rPr>
          <w:rFonts w:hint="default" w:ascii="Times New Roman" w:hAnsi="Times New Roman" w:eastAsia="宋体" w:cs="Times New Roman"/>
          <w:bCs/>
          <w:color w:val="auto"/>
          <w:sz w:val="26"/>
          <w:szCs w:val="26"/>
          <w:lang w:val="en-US" w:eastAsia="zh-CN"/>
        </w:rPr>
        <w:t>进行局部改线，不涉及站场、阀室等附属设施，原有管道全线采用密闭方式输送净化天然气，正常工况下无废水、废气、噪声、固体废物产生。</w:t>
      </w:r>
    </w:p>
    <w:p w14:paraId="3F79629D">
      <w:pPr>
        <w:spacing w:line="500" w:lineRule="exact"/>
        <w:ind w:firstLine="522" w:firstLineChars="200"/>
        <w:outlineLvl w:val="2"/>
        <w:rPr>
          <w:rFonts w:hint="default" w:ascii="Times New Roman" w:hAnsi="Times New Roman" w:eastAsia="宋体" w:cs="Times New Roman"/>
          <w:b/>
          <w:color w:val="auto"/>
          <w:sz w:val="26"/>
          <w:szCs w:val="26"/>
          <w:lang w:val="en-US" w:eastAsia="zh-CN"/>
        </w:rPr>
      </w:pPr>
      <w:r>
        <w:rPr>
          <w:rFonts w:hint="default" w:ascii="Times New Roman" w:hAnsi="Times New Roman" w:eastAsia="宋体" w:cs="Times New Roman"/>
          <w:b/>
          <w:color w:val="auto"/>
          <w:sz w:val="26"/>
          <w:szCs w:val="26"/>
          <w:lang w:val="en-US" w:eastAsia="zh-CN"/>
        </w:rPr>
        <w:t>2.1.5 改线段目前存在的问题</w:t>
      </w:r>
    </w:p>
    <w:p w14:paraId="1A5275DC">
      <w:pPr>
        <w:keepNext w:val="0"/>
        <w:keepLines w:val="0"/>
        <w:pageBreakBefore w:val="0"/>
        <w:widowControl/>
        <w:kinsoku/>
        <w:wordWrap w:val="0"/>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Cs/>
          <w:color w:val="auto"/>
          <w:sz w:val="26"/>
          <w:szCs w:val="26"/>
          <w:lang w:val="en-US" w:eastAsia="zh-CN"/>
        </w:rPr>
      </w:pPr>
      <w:r>
        <w:rPr>
          <w:rFonts w:hint="default" w:ascii="Times New Roman" w:hAnsi="Times New Roman" w:eastAsia="宋体" w:cs="Times New Roman"/>
          <w:bCs/>
          <w:color w:val="auto"/>
          <w:sz w:val="26"/>
          <w:szCs w:val="26"/>
          <w:lang w:val="en-US" w:eastAsia="zh-CN"/>
        </w:rPr>
        <w:t>铁新线</w:t>
      </w:r>
      <w:r>
        <w:rPr>
          <w:rFonts w:hint="eastAsia" w:ascii="Times New Roman" w:hAnsi="Times New Roman" w:cs="Times New Roman"/>
          <w:bCs/>
          <w:color w:val="auto"/>
          <w:sz w:val="26"/>
          <w:szCs w:val="26"/>
          <w:lang w:val="en-US" w:eastAsia="zh-CN"/>
        </w:rPr>
        <w:t>***</w:t>
      </w:r>
      <w:r>
        <w:rPr>
          <w:rFonts w:hint="default" w:ascii="Times New Roman" w:hAnsi="Times New Roman" w:eastAsia="宋体" w:cs="Times New Roman"/>
          <w:bCs/>
          <w:color w:val="auto"/>
          <w:sz w:val="26"/>
          <w:szCs w:val="26"/>
          <w:lang w:val="en-US" w:eastAsia="zh-CN"/>
        </w:rPr>
        <w:t>段位于拟建金钗湖水库用地范围内，水库建成蓄水后将淹没铁新线部分管段，导致管道巡检、隐患排查、应急抢修等日常管理工作无法开展，进而构成重大安全隐患。因此，为消除金钗湖水库占压隐患、保障管线安全运行及民生用气稳定供应，同时推进金钗湖水库合法合规建设，重庆市綦江区水利水电工程建设服务站对水库用地范围内的涉占管道进行改线。</w:t>
      </w:r>
    </w:p>
    <w:p w14:paraId="5732BBC5">
      <w:pPr>
        <w:adjustRightInd w:val="0"/>
        <w:snapToGrid w:val="0"/>
        <w:spacing w:line="460" w:lineRule="exact"/>
        <w:ind w:firstLine="522" w:firstLineChars="200"/>
        <w:outlineLvl w:val="1"/>
        <w:rPr>
          <w:rFonts w:hint="default" w:ascii="Times New Roman" w:hAnsi="Times New Roman" w:eastAsia="宋体" w:cs="Times New Roman"/>
          <w:b/>
          <w:color w:val="auto"/>
          <w:sz w:val="26"/>
          <w:szCs w:val="26"/>
        </w:rPr>
      </w:pPr>
      <w:bookmarkStart w:id="86" w:name="_Toc4443"/>
      <w:r>
        <w:rPr>
          <w:rFonts w:hint="default" w:ascii="Times New Roman" w:hAnsi="Times New Roman" w:eastAsia="宋体" w:cs="Times New Roman"/>
          <w:b/>
          <w:color w:val="auto"/>
          <w:sz w:val="26"/>
          <w:szCs w:val="26"/>
        </w:rPr>
        <w:t>2.</w:t>
      </w:r>
      <w:bookmarkEnd w:id="80"/>
      <w:bookmarkEnd w:id="81"/>
      <w:bookmarkStart w:id="87" w:name="_Toc220170973"/>
      <w:bookmarkStart w:id="88" w:name="_Toc164084310"/>
      <w:r>
        <w:rPr>
          <w:rFonts w:hint="default" w:ascii="Times New Roman" w:hAnsi="Times New Roman" w:eastAsia="宋体" w:cs="Times New Roman"/>
          <w:b/>
          <w:color w:val="auto"/>
          <w:sz w:val="26"/>
          <w:szCs w:val="26"/>
          <w:lang w:val="en-US" w:eastAsia="zh-CN"/>
        </w:rPr>
        <w:t>2拟建</w:t>
      </w:r>
      <w:r>
        <w:rPr>
          <w:rFonts w:hint="default" w:ascii="Times New Roman" w:hAnsi="Times New Roman" w:eastAsia="宋体" w:cs="Times New Roman"/>
          <w:b/>
          <w:color w:val="auto"/>
          <w:sz w:val="26"/>
          <w:szCs w:val="26"/>
        </w:rPr>
        <w:t>项目基本情况</w:t>
      </w:r>
      <w:bookmarkEnd w:id="82"/>
      <w:bookmarkEnd w:id="83"/>
      <w:bookmarkEnd w:id="84"/>
      <w:bookmarkEnd w:id="86"/>
      <w:bookmarkEnd w:id="87"/>
      <w:bookmarkEnd w:id="88"/>
    </w:p>
    <w:p w14:paraId="287E0EE1">
      <w:pPr>
        <w:spacing w:line="500" w:lineRule="exact"/>
        <w:ind w:firstLine="522" w:firstLineChars="200"/>
        <w:outlineLvl w:val="2"/>
        <w:rPr>
          <w:rFonts w:hint="default" w:ascii="Times New Roman" w:hAnsi="Times New Roman" w:eastAsia="宋体" w:cs="Times New Roman"/>
          <w:b/>
          <w:color w:val="auto"/>
          <w:sz w:val="26"/>
          <w:szCs w:val="26"/>
          <w:lang w:val="en-US" w:eastAsia="zh-CN"/>
        </w:rPr>
      </w:pPr>
      <w:r>
        <w:rPr>
          <w:rFonts w:hint="default" w:ascii="Times New Roman" w:hAnsi="Times New Roman" w:eastAsia="宋体" w:cs="Times New Roman"/>
          <w:b/>
          <w:color w:val="auto"/>
          <w:sz w:val="26"/>
          <w:szCs w:val="26"/>
          <w:lang w:val="en-US" w:eastAsia="zh-CN"/>
        </w:rPr>
        <w:t>2.2.1 工程概况</w:t>
      </w:r>
    </w:p>
    <w:p w14:paraId="6565A194">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项目名称：</w:t>
      </w:r>
      <w:r>
        <w:rPr>
          <w:rFonts w:hint="default" w:ascii="Times New Roman" w:hAnsi="Times New Roman" w:eastAsia="宋体" w:cs="Times New Roman"/>
          <w:color w:val="auto"/>
          <w:lang w:eastAsia="zh-CN"/>
        </w:rPr>
        <w:t>铁新线集输管道涉金钗湖水库建设迁改工程</w:t>
      </w:r>
    </w:p>
    <w:p w14:paraId="30274A4E">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建设单位：</w:t>
      </w:r>
      <w:r>
        <w:rPr>
          <w:rFonts w:hint="default" w:ascii="Times New Roman" w:hAnsi="Times New Roman" w:eastAsia="宋体" w:cs="Times New Roman"/>
          <w:color w:val="auto"/>
          <w:lang w:eastAsia="zh-CN"/>
        </w:rPr>
        <w:t>重庆市綦江区水利水电工程建设服务站</w:t>
      </w:r>
    </w:p>
    <w:p w14:paraId="10E091E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建设性质：改建</w:t>
      </w:r>
    </w:p>
    <w:p w14:paraId="207FED98">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建设地点：</w:t>
      </w:r>
      <w:r>
        <w:rPr>
          <w:rFonts w:hint="default" w:ascii="Times New Roman" w:hAnsi="Times New Roman" w:eastAsia="宋体" w:cs="Times New Roman"/>
          <w:color w:val="auto"/>
          <w:lang w:eastAsia="zh-CN"/>
        </w:rPr>
        <w:t>重庆市綦江区文龙街道</w:t>
      </w:r>
      <w:r>
        <w:rPr>
          <w:rFonts w:hint="eastAsia" w:ascii="Times New Roman" w:hAnsi="Times New Roman" w:cs="Times New Roman"/>
          <w:color w:val="auto"/>
          <w:lang w:val="en-US" w:eastAsia="zh-CN"/>
        </w:rPr>
        <w:t>***</w:t>
      </w:r>
    </w:p>
    <w:p w14:paraId="1AA498E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建设内容及规模：</w:t>
      </w:r>
      <w:bookmarkStart w:id="89" w:name="_Hlk131175219"/>
      <w:r>
        <w:rPr>
          <w:rFonts w:hint="default" w:ascii="Times New Roman" w:hAnsi="Times New Roman" w:eastAsia="宋体" w:cs="Times New Roman"/>
          <w:color w:val="auto"/>
        </w:rPr>
        <w:t>本项目</w:t>
      </w:r>
      <w:bookmarkEnd w:id="89"/>
      <w:bookmarkStart w:id="90" w:name="_Hlk139972065"/>
      <w:r>
        <w:rPr>
          <w:rFonts w:hint="default" w:ascii="Times New Roman" w:hAnsi="Times New Roman" w:eastAsia="宋体" w:cs="Times New Roman"/>
          <w:color w:val="auto"/>
          <w:lang w:val="en-US" w:eastAsia="zh-CN"/>
        </w:rPr>
        <w:t>对</w:t>
      </w:r>
      <w:r>
        <w:rPr>
          <w:rFonts w:hint="default" w:ascii="Times New Roman" w:hAnsi="Times New Roman" w:eastAsia="宋体" w:cs="Times New Roman"/>
          <w:color w:val="auto"/>
        </w:rPr>
        <w:t>铁新线A001~A022段实施迁改，</w:t>
      </w:r>
      <w:r>
        <w:rPr>
          <w:rFonts w:hint="default" w:ascii="Times New Roman" w:hAnsi="Times New Roman" w:eastAsia="宋体" w:cs="Times New Roman"/>
          <w:color w:val="auto"/>
          <w:lang w:val="en-US" w:eastAsia="zh-CN"/>
        </w:rPr>
        <w:t>改</w:t>
      </w:r>
      <w:r>
        <w:rPr>
          <w:rFonts w:hint="default" w:ascii="Times New Roman" w:hAnsi="Times New Roman" w:eastAsia="宋体" w:cs="Times New Roman"/>
          <w:color w:val="auto"/>
          <w:lang w:eastAsia="zh-CN"/>
        </w:rPr>
        <w:t>建管道</w:t>
      </w:r>
      <w:r>
        <w:rPr>
          <w:rFonts w:hint="default" w:ascii="Times New Roman" w:hAnsi="Times New Roman" w:eastAsia="宋体" w:cs="Times New Roman"/>
          <w:color w:val="auto"/>
          <w:lang w:val="en-US" w:eastAsia="zh-CN"/>
        </w:rPr>
        <w:t>长度为</w:t>
      </w:r>
      <w:r>
        <w:rPr>
          <w:rFonts w:hint="default" w:ascii="Times New Roman" w:hAnsi="Times New Roman" w:eastAsia="宋体" w:cs="Times New Roman"/>
          <w:color w:val="auto"/>
          <w:lang w:eastAsia="zh-CN"/>
        </w:rPr>
        <w:t>1451.9</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lang w:eastAsia="zh-CN"/>
        </w:rPr>
        <w:t>，采用D89×5 L245N PSL2无缝钢管，设计压力4.0MPa、输量设计</w:t>
      </w:r>
      <w:r>
        <w:rPr>
          <w:rFonts w:hint="default" w:ascii="Times New Roman" w:hAnsi="Times New Roman" w:eastAsia="宋体" w:cs="Times New Roman"/>
          <w:color w:val="auto"/>
          <w:lang w:val="en-US" w:eastAsia="zh-CN"/>
        </w:rPr>
        <w:t>规模</w:t>
      </w:r>
      <w:r>
        <w:rPr>
          <w:rFonts w:hint="default" w:ascii="Times New Roman" w:hAnsi="Times New Roman" w:eastAsia="宋体" w:cs="Times New Roman"/>
          <w:color w:val="auto"/>
          <w:lang w:eastAsia="zh-CN"/>
        </w:rPr>
        <w:t>为</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/d，输送介质</w:t>
      </w:r>
      <w:r>
        <w:rPr>
          <w:rFonts w:hint="default" w:ascii="Times New Roman" w:hAnsi="Times New Roman" w:eastAsia="宋体" w:cs="Times New Roman"/>
          <w:color w:val="auto"/>
          <w:lang w:val="en-US" w:eastAsia="zh-CN"/>
        </w:rPr>
        <w:t>为</w:t>
      </w:r>
      <w:r>
        <w:rPr>
          <w:rFonts w:hint="default" w:ascii="Times New Roman" w:hAnsi="Times New Roman" w:eastAsia="宋体" w:cs="Times New Roman"/>
          <w:color w:val="auto"/>
          <w:lang w:eastAsia="zh-CN"/>
        </w:rPr>
        <w:t>净化气。</w:t>
      </w:r>
      <w:bookmarkEnd w:id="90"/>
    </w:p>
    <w:p w14:paraId="4750FB20">
      <w:pPr>
        <w:pStyle w:val="56"/>
        <w:rPr>
          <w:rFonts w:hint="default" w:ascii="Times New Roman" w:hAnsi="Times New Roman" w:eastAsia="宋体" w:cs="Times New Roman"/>
          <w:bCs/>
          <w:color w:val="auto"/>
        </w:rPr>
      </w:pPr>
      <w:r>
        <w:rPr>
          <w:rFonts w:hint="default" w:ascii="Times New Roman" w:hAnsi="Times New Roman" w:eastAsia="宋体" w:cs="Times New Roman"/>
          <w:color w:val="auto"/>
        </w:rPr>
        <w:t>项目总投资：</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rPr>
        <w:t>万元</w:t>
      </w:r>
      <w:r>
        <w:rPr>
          <w:rFonts w:hint="default" w:ascii="Times New Roman" w:hAnsi="Times New Roman" w:eastAsia="宋体" w:cs="Times New Roman"/>
          <w:bCs/>
          <w:color w:val="auto"/>
        </w:rPr>
        <w:t>。</w:t>
      </w:r>
    </w:p>
    <w:p w14:paraId="229EC46F">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本项目改建工程详见下图。</w:t>
      </w:r>
    </w:p>
    <w:p w14:paraId="6233E0B7">
      <w:pPr>
        <w:pStyle w:val="58"/>
        <w:rPr>
          <w:rFonts w:hint="default" w:ascii="Times New Roman" w:hAnsi="Times New Roman" w:eastAsia="宋体" w:cs="Times New Roman"/>
        </w:rPr>
      </w:pPr>
      <w:r>
        <w:rPr>
          <w:rFonts w:hint="eastAsia" w:ascii="Times New Roman" w:hAnsi="Times New Roman" w:cs="Times New Roman"/>
          <w:color w:val="auto"/>
          <w:sz w:val="26"/>
          <w:szCs w:val="26"/>
          <w:vertAlign w:val="baseline"/>
          <w:lang w:val="en-US" w:eastAsia="zh-CN"/>
        </w:rPr>
        <w:t>***</w:t>
      </w:r>
    </w:p>
    <w:p w14:paraId="71A76652">
      <w:pPr>
        <w:pStyle w:val="5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图2.</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rPr>
        <w:t>-</w:t>
      </w:r>
      <w:r>
        <w:rPr>
          <w:rFonts w:hint="eastAsia" w:ascii="Times New Roman" w:hAnsi="Times New Roman" w:cs="Times New Roman"/>
          <w:color w:val="auto"/>
          <w:lang w:val="en-US" w:eastAsia="zh-CN"/>
        </w:rPr>
        <w:t>1</w:t>
      </w:r>
      <w:r>
        <w:rPr>
          <w:rFonts w:hint="default" w:ascii="Times New Roman" w:hAnsi="Times New Roman" w:eastAsia="宋体" w:cs="Times New Roman"/>
          <w:color w:val="auto"/>
        </w:rPr>
        <w:t xml:space="preserve">  铁新线</w:t>
      </w:r>
      <w:r>
        <w:rPr>
          <w:rFonts w:hint="default" w:ascii="Times New Roman" w:hAnsi="Times New Roman" w:eastAsia="宋体" w:cs="Times New Roman"/>
          <w:color w:val="auto"/>
          <w:lang w:val="en-US" w:eastAsia="zh-CN"/>
        </w:rPr>
        <w:t>原管道整体走向图</w:t>
      </w:r>
    </w:p>
    <w:p w14:paraId="68962027">
      <w:pPr>
        <w:pStyle w:val="58"/>
        <w:rPr>
          <w:rFonts w:hint="default" w:ascii="Times New Roman" w:hAnsi="Times New Roman" w:eastAsia="宋体" w:cs="Times New Roman"/>
          <w:color w:val="auto"/>
          <w:lang w:eastAsia="zh-CN"/>
        </w:rPr>
      </w:pPr>
      <w:r>
        <w:rPr>
          <w:rFonts w:hint="eastAsia" w:ascii="Times New Roman" w:hAnsi="Times New Roman" w:cs="Times New Roman"/>
          <w:color w:val="auto"/>
          <w:sz w:val="26"/>
          <w:szCs w:val="26"/>
          <w:vertAlign w:val="baseline"/>
          <w:lang w:val="en-US" w:eastAsia="zh-CN"/>
        </w:rPr>
        <w:t>***</w:t>
      </w:r>
    </w:p>
    <w:p w14:paraId="18B50B27">
      <w:pPr>
        <w:pStyle w:val="7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图2.</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rPr>
        <w:t>-</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rPr>
        <w:t xml:space="preserve">  铁新线</w:t>
      </w:r>
      <w:r>
        <w:rPr>
          <w:rFonts w:hint="default" w:ascii="Times New Roman" w:hAnsi="Times New Roman" w:eastAsia="宋体" w:cs="Times New Roman"/>
          <w:color w:val="auto"/>
          <w:lang w:val="en-US" w:eastAsia="zh-CN"/>
        </w:rPr>
        <w:t>迁改管道位置图</w:t>
      </w:r>
    </w:p>
    <w:p w14:paraId="22A9B921">
      <w:pPr>
        <w:spacing w:line="500" w:lineRule="exact"/>
        <w:ind w:firstLine="522" w:firstLineChars="200"/>
        <w:outlineLvl w:val="2"/>
        <w:rPr>
          <w:rFonts w:hint="default" w:ascii="Times New Roman" w:hAnsi="Times New Roman" w:eastAsia="宋体" w:cs="Times New Roman"/>
          <w:b/>
          <w:color w:val="auto"/>
          <w:sz w:val="26"/>
          <w:szCs w:val="26"/>
          <w:lang w:val="en-US" w:eastAsia="zh-CN"/>
        </w:rPr>
      </w:pPr>
      <w:bookmarkStart w:id="91" w:name="_Toc135236191"/>
      <w:r>
        <w:rPr>
          <w:rFonts w:hint="default" w:ascii="Times New Roman" w:hAnsi="Times New Roman" w:eastAsia="宋体" w:cs="Times New Roman"/>
          <w:b/>
          <w:color w:val="auto"/>
          <w:sz w:val="26"/>
          <w:szCs w:val="26"/>
          <w:lang w:val="en-US" w:eastAsia="zh-CN"/>
        </w:rPr>
        <w:t>2.2.2  气质</w:t>
      </w:r>
      <w:bookmarkEnd w:id="91"/>
      <w:r>
        <w:rPr>
          <w:rFonts w:hint="default" w:ascii="Times New Roman" w:hAnsi="Times New Roman" w:eastAsia="宋体" w:cs="Times New Roman"/>
          <w:b/>
          <w:color w:val="auto"/>
          <w:sz w:val="26"/>
          <w:szCs w:val="26"/>
          <w:lang w:val="en-US" w:eastAsia="zh-CN"/>
        </w:rPr>
        <w:t>要求</w:t>
      </w:r>
    </w:p>
    <w:p w14:paraId="684BA615">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rPr>
        <w:t>气质组分高位发热量、总硫、硫化氢和二氧化碳含量指标满足《天然气》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GB17820-2018</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中的I类标准要求，质量达到一类气质标准。</w:t>
      </w:r>
    </w:p>
    <w:p w14:paraId="0AFFD021">
      <w:pPr>
        <w:spacing w:line="500" w:lineRule="exact"/>
        <w:ind w:firstLine="522" w:firstLineChars="200"/>
        <w:outlineLvl w:val="2"/>
        <w:rPr>
          <w:rFonts w:hint="default" w:ascii="Times New Roman" w:hAnsi="Times New Roman" w:eastAsia="宋体" w:cs="Times New Roman"/>
          <w:b/>
          <w:color w:val="auto"/>
          <w:sz w:val="26"/>
          <w:szCs w:val="26"/>
          <w:lang w:val="en-US" w:eastAsia="zh-CN"/>
        </w:rPr>
      </w:pPr>
      <w:bookmarkStart w:id="92" w:name="_Toc60144384"/>
      <w:bookmarkStart w:id="93" w:name="_Toc45551070"/>
      <w:bookmarkStart w:id="94" w:name="_Toc11727"/>
      <w:r>
        <w:rPr>
          <w:rFonts w:hint="default" w:ascii="Times New Roman" w:hAnsi="Times New Roman" w:eastAsia="宋体" w:cs="Times New Roman"/>
          <w:b/>
          <w:color w:val="auto"/>
          <w:sz w:val="26"/>
          <w:szCs w:val="26"/>
          <w:lang w:val="en-US" w:eastAsia="zh-CN"/>
        </w:rPr>
        <w:t>2.</w:t>
      </w:r>
      <w:bookmarkEnd w:id="92"/>
      <w:bookmarkEnd w:id="93"/>
      <w:bookmarkEnd w:id="94"/>
      <w:bookmarkStart w:id="95" w:name="_Toc60144385"/>
      <w:bookmarkStart w:id="96" w:name="_Toc31917"/>
      <w:bookmarkStart w:id="97" w:name="_Toc45551071"/>
      <w:r>
        <w:rPr>
          <w:rFonts w:hint="default" w:ascii="Times New Roman" w:hAnsi="Times New Roman" w:eastAsia="宋体" w:cs="Times New Roman"/>
          <w:b/>
          <w:color w:val="auto"/>
          <w:sz w:val="26"/>
          <w:szCs w:val="26"/>
          <w:lang w:val="en-US" w:eastAsia="zh-CN"/>
        </w:rPr>
        <w:t>2.3 拟建项目组成及建设规模</w:t>
      </w:r>
      <w:bookmarkEnd w:id="95"/>
      <w:bookmarkEnd w:id="96"/>
      <w:bookmarkEnd w:id="97"/>
    </w:p>
    <w:p w14:paraId="4FB1AD70">
      <w:pPr>
        <w:spacing w:line="46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本项目</w:t>
      </w:r>
      <w:r>
        <w:rPr>
          <w:rFonts w:hint="default" w:ascii="Times New Roman" w:hAnsi="Times New Roman" w:eastAsia="宋体" w:cs="Times New Roman"/>
          <w:bCs/>
          <w:color w:val="auto"/>
          <w:sz w:val="26"/>
          <w:szCs w:val="26"/>
          <w:lang w:val="en-US" w:eastAsia="zh-CN"/>
        </w:rPr>
        <w:t>改建管道</w:t>
      </w:r>
      <w:r>
        <w:rPr>
          <w:rFonts w:hint="default" w:ascii="Times New Roman" w:hAnsi="Times New Roman" w:eastAsia="宋体" w:cs="Times New Roman"/>
          <w:bCs/>
          <w:color w:val="auto"/>
          <w:sz w:val="26"/>
          <w:szCs w:val="26"/>
        </w:rPr>
        <w:t>长度为</w:t>
      </w:r>
      <w:r>
        <w:rPr>
          <w:rFonts w:hint="default" w:ascii="Times New Roman" w:hAnsi="Times New Roman" w:eastAsia="宋体" w:cs="Times New Roman"/>
          <w:bCs/>
          <w:color w:val="auto"/>
          <w:sz w:val="26"/>
          <w:szCs w:val="26"/>
          <w:lang w:val="en-US" w:eastAsia="zh-CN"/>
        </w:rPr>
        <w:t>1451.9</w:t>
      </w:r>
      <w:r>
        <w:rPr>
          <w:rFonts w:hint="default" w:ascii="Times New Roman" w:hAnsi="Times New Roman" w:eastAsia="宋体" w:cs="Times New Roman"/>
          <w:bCs/>
          <w:color w:val="auto"/>
          <w:sz w:val="26"/>
          <w:szCs w:val="26"/>
        </w:rPr>
        <w:t>m，管线采用外防腐层加强制电流阴极保护的联合保护措施，配套各穿越工程、管线标志、警示带和阴极保护测试桩等附属设施。拟建项目组成一览表详见表2.</w:t>
      </w:r>
      <w:r>
        <w:rPr>
          <w:rFonts w:hint="eastAsia" w:ascii="Times New Roman" w:hAnsi="Times New Roman" w:cs="Times New Roman"/>
          <w:bCs/>
          <w:color w:val="auto"/>
          <w:sz w:val="26"/>
          <w:szCs w:val="26"/>
          <w:lang w:val="en-US" w:eastAsia="zh-CN"/>
        </w:rPr>
        <w:t>2</w:t>
      </w:r>
      <w:r>
        <w:rPr>
          <w:rFonts w:hint="default" w:ascii="Times New Roman" w:hAnsi="Times New Roman" w:eastAsia="宋体" w:cs="Times New Roman"/>
          <w:bCs/>
          <w:color w:val="auto"/>
          <w:sz w:val="26"/>
          <w:szCs w:val="26"/>
        </w:rPr>
        <w:t>-1。</w:t>
      </w:r>
    </w:p>
    <w:p w14:paraId="1DCE81EF">
      <w:pPr>
        <w:pStyle w:val="58"/>
        <w:rPr>
          <w:rFonts w:hint="default" w:ascii="Times New Roman" w:hAnsi="Times New Roman" w:eastAsia="宋体" w:cs="Times New Roman"/>
          <w:color w:val="auto"/>
        </w:rPr>
      </w:pPr>
    </w:p>
    <w:p w14:paraId="79A38F3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rPr>
        <w:t xml:space="preserve">-1  </w:t>
      </w:r>
      <w:r>
        <w:rPr>
          <w:rFonts w:hint="default" w:ascii="Times New Roman" w:hAnsi="Times New Roman" w:eastAsia="宋体" w:cs="Times New Roman"/>
          <w:color w:val="auto"/>
          <w:lang w:val="en-US" w:eastAsia="zh-CN"/>
        </w:rPr>
        <w:t>拟建</w:t>
      </w:r>
      <w:r>
        <w:rPr>
          <w:rFonts w:hint="default" w:ascii="Times New Roman" w:hAnsi="Times New Roman" w:eastAsia="宋体" w:cs="Times New Roman"/>
          <w:color w:val="auto"/>
        </w:rPr>
        <w:t>项目组成表</w:t>
      </w:r>
    </w:p>
    <w:tbl>
      <w:tblPr>
        <w:tblStyle w:val="29"/>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1"/>
        <w:gridCol w:w="524"/>
        <w:gridCol w:w="573"/>
        <w:gridCol w:w="5892"/>
        <w:gridCol w:w="617"/>
      </w:tblGrid>
      <w:tr w14:paraId="3075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27" w:type="pct"/>
            <w:tcBorders>
              <w:top w:val="single" w:color="auto" w:sz="4" w:space="0"/>
              <w:left w:val="single" w:color="auto" w:sz="4" w:space="0"/>
              <w:bottom w:val="single" w:color="auto" w:sz="4" w:space="0"/>
              <w:right w:val="single" w:color="auto" w:sz="4" w:space="0"/>
            </w:tcBorders>
            <w:noWrap w:val="0"/>
            <w:vAlign w:val="center"/>
          </w:tcPr>
          <w:p w14:paraId="4442AA20">
            <w:pPr>
              <w:pStyle w:val="103"/>
              <w:keepNext w:val="0"/>
              <w:spacing w:line="240" w:lineRule="auto"/>
              <w:jc w:val="center"/>
              <w:rPr>
                <w:rFonts w:hint="default" w:ascii="Times New Roman" w:hAnsi="Times New Roman" w:eastAsia="宋体" w:cs="Times New Roman"/>
                <w:b/>
                <w:bCs w:val="0"/>
                <w:color w:val="auto"/>
                <w:sz w:val="22"/>
                <w:szCs w:val="22"/>
              </w:rPr>
            </w:pPr>
            <w:bookmarkStart w:id="98" w:name="_Toc31045"/>
            <w:bookmarkStart w:id="99" w:name="_Toc15172"/>
            <w:bookmarkStart w:id="100" w:name="_Toc30833"/>
            <w:r>
              <w:rPr>
                <w:rFonts w:hint="default" w:ascii="Times New Roman" w:hAnsi="Times New Roman" w:eastAsia="宋体" w:cs="Times New Roman"/>
                <w:b/>
                <w:bCs w:val="0"/>
                <w:color w:val="auto"/>
                <w:sz w:val="22"/>
                <w:szCs w:val="22"/>
              </w:rPr>
              <w:t>项目</w:t>
            </w:r>
            <w:bookmarkEnd w:id="98"/>
            <w:bookmarkEnd w:id="99"/>
            <w:bookmarkEnd w:id="100"/>
          </w:p>
          <w:p w14:paraId="470E45AF">
            <w:pPr>
              <w:pStyle w:val="103"/>
              <w:keepNext w:val="0"/>
              <w:spacing w:line="240" w:lineRule="auto"/>
              <w:jc w:val="center"/>
              <w:rPr>
                <w:rFonts w:hint="default" w:ascii="Times New Roman" w:hAnsi="Times New Roman" w:eastAsia="宋体" w:cs="Times New Roman"/>
                <w:b/>
                <w:bCs w:val="0"/>
                <w:color w:val="auto"/>
                <w:sz w:val="22"/>
                <w:szCs w:val="22"/>
              </w:rPr>
            </w:pPr>
            <w:bookmarkStart w:id="101" w:name="_Toc23221"/>
            <w:bookmarkStart w:id="102" w:name="_Toc26898"/>
            <w:bookmarkStart w:id="103" w:name="_Toc1271"/>
            <w:r>
              <w:rPr>
                <w:rFonts w:hint="default" w:ascii="Times New Roman" w:hAnsi="Times New Roman" w:eastAsia="宋体" w:cs="Times New Roman"/>
                <w:b/>
                <w:bCs w:val="0"/>
                <w:color w:val="auto"/>
                <w:sz w:val="22"/>
                <w:szCs w:val="22"/>
              </w:rPr>
              <w:t>性质</w:t>
            </w:r>
            <w:bookmarkEnd w:id="101"/>
            <w:bookmarkEnd w:id="102"/>
            <w:bookmarkEnd w:id="103"/>
          </w:p>
        </w:tc>
        <w:tc>
          <w:tcPr>
            <w:tcW w:w="659" w:type="pct"/>
            <w:gridSpan w:val="2"/>
            <w:tcBorders>
              <w:top w:val="single" w:color="auto" w:sz="4" w:space="0"/>
              <w:left w:val="nil"/>
              <w:bottom w:val="single" w:color="auto" w:sz="4" w:space="0"/>
              <w:right w:val="single" w:color="auto" w:sz="4" w:space="0"/>
            </w:tcBorders>
            <w:noWrap w:val="0"/>
            <w:vAlign w:val="center"/>
          </w:tcPr>
          <w:p w14:paraId="2B2C47EF">
            <w:pPr>
              <w:pStyle w:val="103"/>
              <w:keepNext w:val="0"/>
              <w:spacing w:line="240" w:lineRule="auto"/>
              <w:jc w:val="center"/>
              <w:rPr>
                <w:rFonts w:hint="default" w:ascii="Times New Roman" w:hAnsi="Times New Roman" w:eastAsia="宋体" w:cs="Times New Roman"/>
                <w:b/>
                <w:bCs w:val="0"/>
                <w:color w:val="auto"/>
                <w:sz w:val="22"/>
                <w:szCs w:val="22"/>
              </w:rPr>
            </w:pPr>
            <w:bookmarkStart w:id="104" w:name="_Toc13898"/>
            <w:bookmarkStart w:id="105" w:name="_Toc26482"/>
            <w:bookmarkStart w:id="106" w:name="_Toc25559"/>
            <w:r>
              <w:rPr>
                <w:rFonts w:hint="default" w:ascii="Times New Roman" w:hAnsi="Times New Roman" w:eastAsia="宋体" w:cs="Times New Roman"/>
                <w:b/>
                <w:bCs w:val="0"/>
                <w:color w:val="auto"/>
                <w:sz w:val="22"/>
                <w:szCs w:val="22"/>
              </w:rPr>
              <w:t>项目组成</w:t>
            </w:r>
            <w:bookmarkEnd w:id="104"/>
            <w:bookmarkEnd w:id="105"/>
            <w:bookmarkEnd w:id="106"/>
          </w:p>
        </w:tc>
        <w:tc>
          <w:tcPr>
            <w:tcW w:w="3540" w:type="pct"/>
            <w:tcBorders>
              <w:top w:val="single" w:color="auto" w:sz="4" w:space="0"/>
              <w:left w:val="nil"/>
              <w:bottom w:val="single" w:color="auto" w:sz="4" w:space="0"/>
              <w:right w:val="single" w:color="auto" w:sz="4" w:space="0"/>
            </w:tcBorders>
            <w:noWrap w:val="0"/>
            <w:vAlign w:val="center"/>
          </w:tcPr>
          <w:p w14:paraId="190D56A1">
            <w:pPr>
              <w:pStyle w:val="103"/>
              <w:keepNext w:val="0"/>
              <w:spacing w:line="240" w:lineRule="auto"/>
              <w:jc w:val="center"/>
              <w:rPr>
                <w:rFonts w:hint="default" w:ascii="Times New Roman" w:hAnsi="Times New Roman" w:eastAsia="宋体" w:cs="Times New Roman"/>
                <w:b/>
                <w:bCs w:val="0"/>
                <w:color w:val="auto"/>
                <w:sz w:val="22"/>
                <w:szCs w:val="22"/>
              </w:rPr>
            </w:pPr>
            <w:bookmarkStart w:id="107" w:name="_Toc21122"/>
            <w:bookmarkStart w:id="108" w:name="_Toc32392"/>
            <w:bookmarkStart w:id="109" w:name="_Toc14968"/>
            <w:r>
              <w:rPr>
                <w:rFonts w:hint="default" w:ascii="Times New Roman" w:hAnsi="Times New Roman" w:eastAsia="宋体" w:cs="Times New Roman"/>
                <w:b/>
                <w:bCs w:val="0"/>
                <w:color w:val="auto"/>
                <w:sz w:val="22"/>
                <w:szCs w:val="22"/>
              </w:rPr>
              <w:t>项目内容</w:t>
            </w:r>
            <w:bookmarkEnd w:id="107"/>
            <w:bookmarkEnd w:id="108"/>
            <w:bookmarkEnd w:id="109"/>
          </w:p>
        </w:tc>
        <w:tc>
          <w:tcPr>
            <w:tcW w:w="371" w:type="pct"/>
            <w:tcBorders>
              <w:top w:val="single" w:color="auto" w:sz="4" w:space="0"/>
              <w:left w:val="nil"/>
              <w:bottom w:val="single" w:color="auto" w:sz="4" w:space="0"/>
              <w:right w:val="single" w:color="auto" w:sz="4" w:space="0"/>
            </w:tcBorders>
            <w:noWrap w:val="0"/>
            <w:vAlign w:val="center"/>
          </w:tcPr>
          <w:p w14:paraId="7FDF44B6">
            <w:pPr>
              <w:pStyle w:val="103"/>
              <w:keepNext w:val="0"/>
              <w:spacing w:line="240" w:lineRule="auto"/>
              <w:jc w:val="center"/>
              <w:rPr>
                <w:rFonts w:hint="default" w:ascii="Times New Roman" w:hAnsi="Times New Roman" w:eastAsia="宋体" w:cs="Times New Roman"/>
                <w:b/>
                <w:bCs w:val="0"/>
                <w:color w:val="auto"/>
                <w:sz w:val="22"/>
                <w:szCs w:val="22"/>
              </w:rPr>
            </w:pPr>
            <w:bookmarkStart w:id="110" w:name="_Toc23073"/>
            <w:bookmarkStart w:id="111" w:name="_Toc26368"/>
            <w:bookmarkStart w:id="112" w:name="_Toc29596"/>
            <w:r>
              <w:rPr>
                <w:rFonts w:hint="default" w:ascii="Times New Roman" w:hAnsi="Times New Roman" w:eastAsia="宋体" w:cs="Times New Roman"/>
                <w:b/>
                <w:bCs w:val="0"/>
                <w:color w:val="auto"/>
                <w:sz w:val="22"/>
                <w:szCs w:val="22"/>
              </w:rPr>
              <w:t>备注</w:t>
            </w:r>
            <w:bookmarkEnd w:id="110"/>
            <w:bookmarkEnd w:id="111"/>
            <w:bookmarkEnd w:id="112"/>
          </w:p>
        </w:tc>
      </w:tr>
      <w:tr w14:paraId="39BC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restart"/>
            <w:tcBorders>
              <w:top w:val="nil"/>
              <w:left w:val="single" w:color="auto" w:sz="4" w:space="0"/>
              <w:bottom w:val="single" w:color="auto" w:sz="4" w:space="0"/>
              <w:right w:val="single" w:color="auto" w:sz="4" w:space="0"/>
            </w:tcBorders>
            <w:noWrap w:val="0"/>
            <w:vAlign w:val="center"/>
          </w:tcPr>
          <w:p w14:paraId="1225200C">
            <w:pPr>
              <w:pStyle w:val="103"/>
              <w:keepNext w:val="0"/>
              <w:spacing w:line="240" w:lineRule="auto"/>
              <w:jc w:val="center"/>
              <w:rPr>
                <w:rFonts w:hint="default" w:ascii="Times New Roman" w:hAnsi="Times New Roman" w:eastAsia="宋体" w:cs="Times New Roman"/>
                <w:color w:val="auto"/>
                <w:sz w:val="22"/>
                <w:szCs w:val="22"/>
              </w:rPr>
            </w:pPr>
            <w:bookmarkStart w:id="113" w:name="_Toc17319"/>
            <w:bookmarkStart w:id="114" w:name="_Toc19444"/>
            <w:bookmarkStart w:id="115" w:name="_Toc26469"/>
            <w:r>
              <w:rPr>
                <w:rFonts w:hint="default" w:ascii="Times New Roman" w:hAnsi="Times New Roman" w:eastAsia="宋体" w:cs="Times New Roman"/>
                <w:color w:val="auto"/>
                <w:sz w:val="22"/>
                <w:szCs w:val="22"/>
              </w:rPr>
              <w:t>主体</w:t>
            </w:r>
            <w:bookmarkEnd w:id="113"/>
            <w:bookmarkEnd w:id="114"/>
            <w:bookmarkEnd w:id="115"/>
          </w:p>
          <w:p w14:paraId="1757FC5A">
            <w:pPr>
              <w:pStyle w:val="103"/>
              <w:keepNext w:val="0"/>
              <w:spacing w:line="240" w:lineRule="auto"/>
              <w:jc w:val="center"/>
              <w:rPr>
                <w:rFonts w:hint="default" w:ascii="Times New Roman" w:hAnsi="Times New Roman" w:eastAsia="宋体" w:cs="Times New Roman"/>
                <w:color w:val="auto"/>
                <w:sz w:val="22"/>
                <w:szCs w:val="22"/>
              </w:rPr>
            </w:pPr>
            <w:bookmarkStart w:id="116" w:name="_Toc6028"/>
            <w:bookmarkStart w:id="117" w:name="_Toc10746"/>
            <w:bookmarkStart w:id="118" w:name="_Toc15271"/>
            <w:r>
              <w:rPr>
                <w:rFonts w:hint="default" w:ascii="Times New Roman" w:hAnsi="Times New Roman" w:eastAsia="宋体" w:cs="Times New Roman"/>
                <w:color w:val="auto"/>
                <w:sz w:val="22"/>
                <w:szCs w:val="22"/>
              </w:rPr>
              <w:t>工程</w:t>
            </w:r>
            <w:bookmarkEnd w:id="116"/>
            <w:bookmarkEnd w:id="117"/>
            <w:bookmarkEnd w:id="118"/>
          </w:p>
        </w:tc>
        <w:tc>
          <w:tcPr>
            <w:tcW w:w="659" w:type="pct"/>
            <w:gridSpan w:val="2"/>
            <w:tcBorders>
              <w:top w:val="single" w:color="auto" w:sz="4" w:space="0"/>
              <w:left w:val="nil"/>
              <w:right w:val="single" w:color="auto" w:sz="4" w:space="0"/>
            </w:tcBorders>
            <w:noWrap w:val="0"/>
            <w:vAlign w:val="center"/>
          </w:tcPr>
          <w:p w14:paraId="459FF310">
            <w:pPr>
              <w:pStyle w:val="103"/>
              <w:keepNext w:val="0"/>
              <w:spacing w:line="240" w:lineRule="auto"/>
              <w:jc w:val="center"/>
              <w:rPr>
                <w:rFonts w:hint="default" w:ascii="Times New Roman" w:hAnsi="Times New Roman" w:eastAsia="宋体" w:cs="Times New Roman"/>
                <w:color w:val="auto"/>
                <w:sz w:val="22"/>
                <w:szCs w:val="22"/>
              </w:rPr>
            </w:pPr>
            <w:bookmarkStart w:id="119" w:name="_Toc19635"/>
            <w:bookmarkStart w:id="120" w:name="_Hlk109985653"/>
            <w:bookmarkStart w:id="121" w:name="_Toc26929"/>
            <w:bookmarkStart w:id="122" w:name="_Toc31089"/>
            <w:r>
              <w:rPr>
                <w:rFonts w:hint="default" w:ascii="Times New Roman" w:hAnsi="Times New Roman" w:eastAsia="宋体" w:cs="Times New Roman"/>
                <w:color w:val="auto"/>
                <w:sz w:val="22"/>
                <w:szCs w:val="22"/>
                <w:lang w:val="en-US" w:eastAsia="zh-CN"/>
              </w:rPr>
              <w:t>改建</w:t>
            </w:r>
            <w:r>
              <w:rPr>
                <w:rFonts w:hint="default" w:ascii="Times New Roman" w:hAnsi="Times New Roman" w:eastAsia="宋体" w:cs="Times New Roman"/>
                <w:color w:val="auto"/>
                <w:sz w:val="22"/>
                <w:szCs w:val="22"/>
              </w:rPr>
              <w:t>管道</w:t>
            </w:r>
            <w:bookmarkEnd w:id="119"/>
            <w:bookmarkEnd w:id="120"/>
            <w:bookmarkEnd w:id="121"/>
            <w:bookmarkEnd w:id="122"/>
          </w:p>
        </w:tc>
        <w:tc>
          <w:tcPr>
            <w:tcW w:w="3540" w:type="pct"/>
            <w:tcBorders>
              <w:top w:val="single" w:color="auto" w:sz="4" w:space="0"/>
              <w:left w:val="nil"/>
              <w:bottom w:val="single" w:color="auto" w:sz="4" w:space="0"/>
              <w:right w:val="single" w:color="auto" w:sz="4" w:space="0"/>
            </w:tcBorders>
            <w:noWrap w:val="0"/>
            <w:vAlign w:val="center"/>
          </w:tcPr>
          <w:p w14:paraId="7DBB1217">
            <w:pPr>
              <w:pStyle w:val="103"/>
              <w:keepNext w:val="0"/>
              <w:spacing w:line="240" w:lineRule="auto"/>
              <w:jc w:val="both"/>
              <w:rPr>
                <w:rFonts w:hint="default" w:ascii="Times New Roman" w:hAnsi="Times New Roman" w:eastAsia="宋体" w:cs="Times New Roman"/>
                <w:color w:val="auto"/>
                <w:sz w:val="22"/>
                <w:szCs w:val="22"/>
              </w:rPr>
            </w:pPr>
            <w:bookmarkStart w:id="123" w:name="_Toc20514"/>
            <w:bookmarkStart w:id="124" w:name="_Toc17370"/>
            <w:bookmarkStart w:id="125" w:name="_Toc29732"/>
            <w:bookmarkStart w:id="126" w:name="_Hlk109985051"/>
            <w:r>
              <w:rPr>
                <w:rFonts w:hint="default" w:ascii="Times New Roman" w:hAnsi="Times New Roman" w:eastAsia="宋体" w:cs="Times New Roman"/>
                <w:color w:val="auto"/>
                <w:sz w:val="22"/>
                <w:szCs w:val="22"/>
              </w:rPr>
              <w:t>输气管道起于</w:t>
            </w:r>
            <w:r>
              <w:rPr>
                <w:rFonts w:hint="default" w:ascii="Times New Roman" w:hAnsi="Times New Roman" w:eastAsia="宋体" w:cs="Times New Roman"/>
                <w:color w:val="auto"/>
                <w:sz w:val="22"/>
                <w:szCs w:val="22"/>
                <w:lang w:val="en-US" w:eastAsia="zh-CN"/>
              </w:rPr>
              <w:t>綦江区文龙街道</w:t>
            </w:r>
            <w:r>
              <w:rPr>
                <w:rFonts w:hint="eastAsia" w:ascii="Times New Roman" w:hAnsi="Times New Roman" w:eastAsia="宋体" w:cs="Times New Roman"/>
                <w:color w:val="auto"/>
                <w:sz w:val="22"/>
                <w:szCs w:val="22"/>
                <w:lang w:val="en-US" w:eastAsia="zh-CN"/>
              </w:rPr>
              <w:t>***村</w:t>
            </w:r>
            <w:r>
              <w:rPr>
                <w:rFonts w:hint="default" w:ascii="Times New Roman" w:hAnsi="Times New Roman" w:eastAsia="宋体" w:cs="Times New Roman"/>
                <w:color w:val="auto"/>
                <w:sz w:val="22"/>
                <w:szCs w:val="22"/>
                <w:lang w:val="en-US" w:eastAsia="zh-CN"/>
              </w:rPr>
              <w:t>金钗井东侧</w:t>
            </w:r>
            <w:r>
              <w:rPr>
                <w:rFonts w:hint="default" w:ascii="Times New Roman" w:hAnsi="Times New Roman" w:eastAsia="宋体" w:cs="Times New Roman"/>
                <w:color w:val="auto"/>
                <w:sz w:val="22"/>
                <w:szCs w:val="22"/>
              </w:rPr>
              <w:t>，止于</w:t>
            </w:r>
            <w:r>
              <w:rPr>
                <w:rFonts w:hint="default" w:ascii="Times New Roman" w:hAnsi="Times New Roman" w:eastAsia="宋体" w:cs="Times New Roman"/>
                <w:color w:val="auto"/>
                <w:sz w:val="22"/>
                <w:szCs w:val="22"/>
                <w:lang w:val="en-US" w:eastAsia="zh-CN"/>
              </w:rPr>
              <w:t>文龙街道</w:t>
            </w:r>
            <w:r>
              <w:rPr>
                <w:rFonts w:hint="eastAsia" w:ascii="Times New Roman" w:hAnsi="Times New Roman" w:eastAsia="宋体"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村云雾蹬西侧</w:t>
            </w:r>
            <w:r>
              <w:rPr>
                <w:rFonts w:hint="default" w:ascii="Times New Roman" w:hAnsi="Times New Roman" w:eastAsia="宋体" w:cs="Times New Roman"/>
                <w:color w:val="auto"/>
                <w:sz w:val="22"/>
                <w:szCs w:val="22"/>
              </w:rPr>
              <w:t>，管道</w:t>
            </w:r>
            <w:r>
              <w:rPr>
                <w:rFonts w:hint="default" w:ascii="Times New Roman" w:hAnsi="Times New Roman" w:eastAsia="宋体" w:cs="Times New Roman"/>
                <w:color w:val="auto"/>
                <w:sz w:val="22"/>
                <w:szCs w:val="22"/>
                <w:lang w:val="en-US" w:eastAsia="zh-CN"/>
              </w:rPr>
              <w:t>改建</w:t>
            </w:r>
            <w:r>
              <w:rPr>
                <w:rFonts w:hint="default" w:ascii="Times New Roman" w:hAnsi="Times New Roman" w:eastAsia="宋体" w:cs="Times New Roman"/>
                <w:color w:val="auto"/>
                <w:sz w:val="22"/>
                <w:szCs w:val="22"/>
              </w:rPr>
              <w:t>总长度约</w:t>
            </w:r>
            <w:r>
              <w:rPr>
                <w:rFonts w:hint="default" w:ascii="Times New Roman" w:hAnsi="Times New Roman" w:eastAsia="宋体" w:cs="Times New Roman"/>
                <w:color w:val="auto"/>
                <w:sz w:val="22"/>
                <w:szCs w:val="22"/>
                <w:lang w:val="en-US" w:eastAsia="zh-CN"/>
              </w:rPr>
              <w:t>1451.9</w:t>
            </w:r>
            <w:r>
              <w:rPr>
                <w:rFonts w:hint="default" w:ascii="Times New Roman" w:hAnsi="Times New Roman" w:eastAsia="宋体" w:cs="Times New Roman"/>
                <w:color w:val="auto"/>
                <w:sz w:val="22"/>
                <w:szCs w:val="22"/>
              </w:rPr>
              <w:t>m，管道规格为D89×5 L245N PSL2无缝钢管</w:t>
            </w:r>
            <w:r>
              <w:rPr>
                <w:rFonts w:hint="default" w:ascii="Times New Roman" w:hAnsi="Times New Roman" w:eastAsia="宋体" w:cs="Times New Roman"/>
                <w:color w:val="auto"/>
                <w:kern w:val="0"/>
                <w:sz w:val="22"/>
                <w:szCs w:val="22"/>
              </w:rPr>
              <w:t>，设计输气量为</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kern w:val="0"/>
                <w:sz w:val="22"/>
                <w:szCs w:val="22"/>
                <w:vertAlign w:val="superscript"/>
              </w:rPr>
              <w:t>4</w:t>
            </w:r>
            <w:r>
              <w:rPr>
                <w:rFonts w:hint="default" w:ascii="Times New Roman" w:hAnsi="Times New Roman" w:eastAsia="宋体" w:cs="Times New Roman"/>
                <w:color w:val="auto"/>
                <w:kern w:val="0"/>
                <w:sz w:val="22"/>
                <w:szCs w:val="22"/>
              </w:rPr>
              <w:t>m</w:t>
            </w:r>
            <w:r>
              <w:rPr>
                <w:rFonts w:hint="default" w:ascii="Times New Roman" w:hAnsi="Times New Roman" w:eastAsia="宋体" w:cs="Times New Roman"/>
                <w:color w:val="auto"/>
                <w:kern w:val="0"/>
                <w:sz w:val="22"/>
                <w:szCs w:val="22"/>
                <w:vertAlign w:val="superscript"/>
              </w:rPr>
              <w:t>3</w:t>
            </w:r>
            <w:r>
              <w:rPr>
                <w:rFonts w:hint="default" w:ascii="Times New Roman" w:hAnsi="Times New Roman" w:eastAsia="宋体" w:cs="Times New Roman"/>
                <w:color w:val="auto"/>
                <w:kern w:val="0"/>
                <w:sz w:val="22"/>
                <w:szCs w:val="22"/>
              </w:rPr>
              <w:t>/d，设计压力为</w:t>
            </w:r>
            <w:r>
              <w:rPr>
                <w:rFonts w:hint="default" w:ascii="Times New Roman" w:hAnsi="Times New Roman" w:eastAsia="宋体" w:cs="Times New Roman"/>
                <w:color w:val="auto"/>
                <w:kern w:val="0"/>
                <w:sz w:val="22"/>
                <w:szCs w:val="22"/>
                <w:lang w:val="en-US" w:eastAsia="zh-CN"/>
              </w:rPr>
              <w:t>4.0</w:t>
            </w:r>
            <w:r>
              <w:rPr>
                <w:rFonts w:hint="default" w:ascii="Times New Roman" w:hAnsi="Times New Roman" w:eastAsia="宋体" w:cs="Times New Roman"/>
                <w:color w:val="auto"/>
                <w:sz w:val="22"/>
                <w:szCs w:val="22"/>
              </w:rPr>
              <w:t>Mpa</w:t>
            </w:r>
            <w:bookmarkEnd w:id="123"/>
            <w:bookmarkEnd w:id="124"/>
            <w:bookmarkEnd w:id="125"/>
            <w:bookmarkEnd w:id="126"/>
          </w:p>
        </w:tc>
        <w:tc>
          <w:tcPr>
            <w:tcW w:w="371" w:type="pct"/>
            <w:tcBorders>
              <w:top w:val="single" w:color="auto" w:sz="4" w:space="0"/>
              <w:left w:val="nil"/>
              <w:bottom w:val="single" w:color="auto" w:sz="4" w:space="0"/>
              <w:right w:val="single" w:color="auto" w:sz="4" w:space="0"/>
            </w:tcBorders>
            <w:noWrap w:val="0"/>
            <w:vAlign w:val="center"/>
          </w:tcPr>
          <w:p w14:paraId="2E617048">
            <w:pPr>
              <w:pStyle w:val="103"/>
              <w:keepNext w:val="0"/>
              <w:spacing w:line="240" w:lineRule="auto"/>
              <w:jc w:val="center"/>
              <w:rPr>
                <w:rFonts w:hint="default" w:ascii="Times New Roman" w:hAnsi="Times New Roman" w:eastAsia="宋体" w:cs="Times New Roman"/>
                <w:color w:val="auto"/>
                <w:sz w:val="22"/>
                <w:szCs w:val="22"/>
              </w:rPr>
            </w:pPr>
            <w:bookmarkStart w:id="127" w:name="_Toc14217"/>
            <w:bookmarkStart w:id="128" w:name="_Toc16221"/>
            <w:bookmarkStart w:id="129" w:name="_Toc16672"/>
            <w:r>
              <w:rPr>
                <w:rFonts w:hint="default" w:ascii="Times New Roman" w:hAnsi="Times New Roman" w:eastAsia="宋体" w:cs="Times New Roman"/>
                <w:color w:val="auto"/>
                <w:sz w:val="22"/>
                <w:szCs w:val="22"/>
              </w:rPr>
              <w:t>新建</w:t>
            </w:r>
            <w:bookmarkEnd w:id="127"/>
            <w:bookmarkEnd w:id="128"/>
            <w:bookmarkEnd w:id="129"/>
          </w:p>
        </w:tc>
      </w:tr>
      <w:tr w14:paraId="7A11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top w:val="nil"/>
              <w:left w:val="single" w:color="auto" w:sz="4" w:space="0"/>
              <w:bottom w:val="single" w:color="auto" w:sz="4" w:space="0"/>
              <w:right w:val="single" w:color="auto" w:sz="4" w:space="0"/>
            </w:tcBorders>
            <w:noWrap w:val="0"/>
            <w:vAlign w:val="center"/>
          </w:tcPr>
          <w:p w14:paraId="4606AC0A">
            <w:pPr>
              <w:widowControl/>
              <w:jc w:val="center"/>
              <w:rPr>
                <w:rFonts w:hint="default" w:ascii="Times New Roman" w:hAnsi="Times New Roman" w:eastAsia="宋体" w:cs="Times New Roman"/>
                <w:color w:val="auto"/>
                <w:sz w:val="22"/>
                <w:szCs w:val="22"/>
              </w:rPr>
            </w:pPr>
          </w:p>
        </w:tc>
        <w:tc>
          <w:tcPr>
            <w:tcW w:w="659" w:type="pct"/>
            <w:gridSpan w:val="2"/>
            <w:tcBorders>
              <w:top w:val="single" w:color="auto" w:sz="4" w:space="0"/>
              <w:left w:val="nil"/>
              <w:right w:val="single" w:color="auto" w:sz="4" w:space="0"/>
            </w:tcBorders>
            <w:noWrap w:val="0"/>
            <w:vAlign w:val="center"/>
          </w:tcPr>
          <w:p w14:paraId="0FCEABF0">
            <w:pPr>
              <w:pStyle w:val="103"/>
              <w:keepNext w:val="0"/>
              <w:spacing w:line="240" w:lineRule="auto"/>
              <w:jc w:val="center"/>
              <w:rPr>
                <w:rFonts w:hint="default" w:ascii="Times New Roman" w:hAnsi="Times New Roman" w:eastAsia="宋体" w:cs="Times New Roman"/>
                <w:color w:val="auto"/>
                <w:sz w:val="22"/>
                <w:szCs w:val="22"/>
              </w:rPr>
            </w:pPr>
            <w:bookmarkStart w:id="130" w:name="_Toc9164"/>
            <w:bookmarkStart w:id="131" w:name="_Toc27936"/>
            <w:bookmarkStart w:id="132" w:name="_Toc4195"/>
            <w:r>
              <w:rPr>
                <w:rFonts w:hint="default" w:ascii="Times New Roman" w:hAnsi="Times New Roman" w:eastAsia="宋体" w:cs="Times New Roman"/>
                <w:color w:val="auto"/>
                <w:sz w:val="22"/>
                <w:szCs w:val="22"/>
              </w:rPr>
              <w:t>穿越工程</w:t>
            </w:r>
            <w:bookmarkEnd w:id="130"/>
            <w:bookmarkEnd w:id="131"/>
            <w:bookmarkEnd w:id="132"/>
          </w:p>
        </w:tc>
        <w:tc>
          <w:tcPr>
            <w:tcW w:w="3540" w:type="pct"/>
            <w:tcBorders>
              <w:top w:val="single" w:color="auto" w:sz="4" w:space="0"/>
              <w:left w:val="nil"/>
              <w:bottom w:val="single" w:color="auto" w:sz="4" w:space="0"/>
              <w:right w:val="single" w:color="auto" w:sz="4" w:space="0"/>
            </w:tcBorders>
            <w:noWrap w:val="0"/>
            <w:vAlign w:val="center"/>
          </w:tcPr>
          <w:p w14:paraId="13294D68">
            <w:pPr>
              <w:pStyle w:val="103"/>
              <w:keepNext w:val="0"/>
              <w:spacing w:line="240" w:lineRule="auto"/>
              <w:jc w:val="both"/>
              <w:rPr>
                <w:rFonts w:hint="default" w:ascii="Times New Roman" w:hAnsi="Times New Roman" w:eastAsia="宋体" w:cs="Times New Roman"/>
                <w:color w:val="auto"/>
                <w:sz w:val="22"/>
                <w:szCs w:val="22"/>
              </w:rPr>
            </w:pPr>
            <w:bookmarkStart w:id="133" w:name="_Toc16598"/>
            <w:bookmarkStart w:id="134" w:name="_Toc31077"/>
            <w:bookmarkStart w:id="135" w:name="_Toc2271"/>
            <w:r>
              <w:rPr>
                <w:rFonts w:hint="default" w:ascii="Times New Roman" w:hAnsi="Times New Roman" w:eastAsia="宋体" w:cs="Times New Roman"/>
                <w:color w:val="auto"/>
                <w:sz w:val="22"/>
                <w:szCs w:val="22"/>
              </w:rPr>
              <w:t>沿线穿越碎石道路1次、水泥道路</w:t>
            </w:r>
            <w:r>
              <w:rPr>
                <w:rFonts w:hint="default" w:ascii="Times New Roman" w:hAnsi="Times New Roman" w:eastAsia="宋体" w:cs="Times New Roman"/>
                <w:color w:val="auto"/>
                <w:sz w:val="22"/>
                <w:szCs w:val="22"/>
                <w:lang w:val="en-US" w:eastAsia="zh-CN"/>
              </w:rPr>
              <w:t>4次</w:t>
            </w:r>
            <w:r>
              <w:rPr>
                <w:rFonts w:hint="default" w:ascii="Times New Roman" w:hAnsi="Times New Roman" w:eastAsia="宋体" w:cs="Times New Roman"/>
                <w:color w:val="auto"/>
                <w:sz w:val="22"/>
                <w:szCs w:val="22"/>
              </w:rPr>
              <w:t>、沟渠</w:t>
            </w:r>
            <w:r>
              <w:rPr>
                <w:rFonts w:hint="default" w:ascii="Times New Roman" w:hAnsi="Times New Roman" w:eastAsia="宋体" w:cs="Times New Roman"/>
                <w:color w:val="auto"/>
                <w:sz w:val="22"/>
                <w:szCs w:val="22"/>
                <w:lang w:val="en-US" w:eastAsia="zh-CN"/>
              </w:rPr>
              <w:t>1次，均采用</w:t>
            </w:r>
            <w:r>
              <w:rPr>
                <w:rFonts w:hint="default" w:ascii="Times New Roman" w:hAnsi="Times New Roman" w:eastAsia="宋体" w:cs="Times New Roman"/>
                <w:color w:val="auto"/>
                <w:sz w:val="22"/>
                <w:szCs w:val="22"/>
              </w:rPr>
              <w:t>开挖</w:t>
            </w:r>
            <w:r>
              <w:rPr>
                <w:rFonts w:hint="default" w:ascii="Times New Roman" w:hAnsi="Times New Roman" w:eastAsia="宋体" w:cs="Times New Roman"/>
                <w:color w:val="auto"/>
                <w:sz w:val="22"/>
                <w:szCs w:val="22"/>
                <w:lang w:val="en-US" w:eastAsia="zh-CN"/>
              </w:rPr>
              <w:t>方式</w:t>
            </w:r>
            <w:bookmarkEnd w:id="133"/>
            <w:bookmarkEnd w:id="134"/>
            <w:bookmarkEnd w:id="135"/>
          </w:p>
        </w:tc>
        <w:tc>
          <w:tcPr>
            <w:tcW w:w="371" w:type="pct"/>
            <w:tcBorders>
              <w:top w:val="single" w:color="auto" w:sz="4" w:space="0"/>
              <w:left w:val="nil"/>
              <w:bottom w:val="single" w:color="auto" w:sz="4" w:space="0"/>
              <w:right w:val="single" w:color="auto" w:sz="4" w:space="0"/>
            </w:tcBorders>
            <w:noWrap w:val="0"/>
            <w:vAlign w:val="center"/>
          </w:tcPr>
          <w:p w14:paraId="0352704B">
            <w:pPr>
              <w:pStyle w:val="103"/>
              <w:keepNext w:val="0"/>
              <w:spacing w:line="240" w:lineRule="auto"/>
              <w:jc w:val="center"/>
              <w:rPr>
                <w:rFonts w:hint="default" w:ascii="Times New Roman" w:hAnsi="Times New Roman" w:eastAsia="宋体" w:cs="Times New Roman"/>
                <w:color w:val="auto"/>
                <w:sz w:val="22"/>
                <w:szCs w:val="22"/>
              </w:rPr>
            </w:pPr>
            <w:bookmarkStart w:id="136" w:name="_Toc13443"/>
            <w:bookmarkStart w:id="137" w:name="_Toc28823"/>
            <w:bookmarkStart w:id="138" w:name="_Toc1532"/>
            <w:r>
              <w:rPr>
                <w:rFonts w:hint="default" w:ascii="Times New Roman" w:hAnsi="Times New Roman" w:eastAsia="宋体" w:cs="Times New Roman"/>
                <w:color w:val="auto"/>
                <w:sz w:val="22"/>
                <w:szCs w:val="22"/>
              </w:rPr>
              <w:t>新建</w:t>
            </w:r>
            <w:bookmarkEnd w:id="136"/>
            <w:bookmarkEnd w:id="137"/>
            <w:bookmarkEnd w:id="138"/>
          </w:p>
        </w:tc>
      </w:tr>
      <w:tr w14:paraId="056F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restart"/>
            <w:tcBorders>
              <w:top w:val="nil"/>
              <w:left w:val="single" w:color="auto" w:sz="4" w:space="0"/>
              <w:bottom w:val="single" w:color="auto" w:sz="4" w:space="0"/>
              <w:right w:val="single" w:color="auto" w:sz="4" w:space="0"/>
            </w:tcBorders>
            <w:noWrap w:val="0"/>
            <w:vAlign w:val="center"/>
          </w:tcPr>
          <w:p w14:paraId="3E57EAC9">
            <w:pPr>
              <w:pStyle w:val="103"/>
              <w:keepNext w:val="0"/>
              <w:spacing w:line="240" w:lineRule="auto"/>
              <w:jc w:val="center"/>
              <w:rPr>
                <w:rFonts w:hint="default" w:ascii="Times New Roman" w:hAnsi="Times New Roman" w:eastAsia="宋体" w:cs="Times New Roman"/>
                <w:color w:val="auto"/>
                <w:sz w:val="22"/>
                <w:szCs w:val="22"/>
              </w:rPr>
            </w:pPr>
            <w:bookmarkStart w:id="139" w:name="_Toc17967"/>
            <w:bookmarkStart w:id="140" w:name="_Toc14549"/>
            <w:bookmarkStart w:id="141" w:name="_Toc10256"/>
            <w:r>
              <w:rPr>
                <w:rFonts w:hint="default" w:ascii="Times New Roman" w:hAnsi="Times New Roman" w:eastAsia="宋体" w:cs="Times New Roman"/>
                <w:color w:val="auto"/>
                <w:sz w:val="22"/>
                <w:szCs w:val="22"/>
              </w:rPr>
              <w:t>辅助</w:t>
            </w:r>
            <w:bookmarkEnd w:id="139"/>
            <w:bookmarkEnd w:id="140"/>
            <w:bookmarkEnd w:id="141"/>
          </w:p>
          <w:p w14:paraId="75F28705">
            <w:pPr>
              <w:pStyle w:val="103"/>
              <w:keepNext w:val="0"/>
              <w:spacing w:line="240" w:lineRule="auto"/>
              <w:jc w:val="center"/>
              <w:rPr>
                <w:rFonts w:hint="default" w:ascii="Times New Roman" w:hAnsi="Times New Roman" w:eastAsia="宋体" w:cs="Times New Roman"/>
                <w:color w:val="auto"/>
                <w:sz w:val="22"/>
                <w:szCs w:val="22"/>
              </w:rPr>
            </w:pPr>
            <w:bookmarkStart w:id="142" w:name="_Toc8554"/>
            <w:bookmarkStart w:id="143" w:name="_Toc32702"/>
            <w:bookmarkStart w:id="144" w:name="_Toc31059"/>
            <w:r>
              <w:rPr>
                <w:rFonts w:hint="default" w:ascii="Times New Roman" w:hAnsi="Times New Roman" w:eastAsia="宋体" w:cs="Times New Roman"/>
                <w:color w:val="auto"/>
                <w:sz w:val="22"/>
                <w:szCs w:val="22"/>
              </w:rPr>
              <w:t>工程</w:t>
            </w:r>
            <w:bookmarkEnd w:id="142"/>
            <w:bookmarkEnd w:id="143"/>
            <w:bookmarkEnd w:id="144"/>
          </w:p>
        </w:tc>
        <w:tc>
          <w:tcPr>
            <w:tcW w:w="659" w:type="pct"/>
            <w:gridSpan w:val="2"/>
            <w:tcBorders>
              <w:top w:val="single" w:color="auto" w:sz="4" w:space="0"/>
              <w:left w:val="nil"/>
              <w:bottom w:val="single" w:color="auto" w:sz="4" w:space="0"/>
              <w:right w:val="single" w:color="auto" w:sz="4" w:space="0"/>
            </w:tcBorders>
            <w:noWrap w:val="0"/>
            <w:vAlign w:val="center"/>
          </w:tcPr>
          <w:p w14:paraId="58216510">
            <w:pPr>
              <w:adjustRightInd w:val="0"/>
              <w:jc w:val="center"/>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防腐工程</w:t>
            </w:r>
          </w:p>
        </w:tc>
        <w:tc>
          <w:tcPr>
            <w:tcW w:w="3540" w:type="pct"/>
            <w:tcBorders>
              <w:top w:val="single" w:color="auto" w:sz="4" w:space="0"/>
              <w:left w:val="nil"/>
              <w:bottom w:val="single" w:color="auto" w:sz="4" w:space="0"/>
              <w:right w:val="single" w:color="auto" w:sz="4" w:space="0"/>
            </w:tcBorders>
            <w:noWrap w:val="0"/>
            <w:vAlign w:val="center"/>
          </w:tcPr>
          <w:p w14:paraId="30CC3E88">
            <w:pPr>
              <w:adjustRightInd w:val="0"/>
              <w:jc w:val="both"/>
              <w:textAlignment w:val="baseline"/>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管道外腐蚀控制采取外防腐层加强制电流阴极保护的方案。管道</w:t>
            </w:r>
            <w:r>
              <w:rPr>
                <w:rFonts w:hint="default" w:ascii="Times New Roman" w:hAnsi="Times New Roman" w:eastAsia="宋体" w:cs="Times New Roman"/>
                <w:color w:val="auto"/>
                <w:sz w:val="22"/>
                <w:szCs w:val="22"/>
                <w:lang w:val="en-US" w:eastAsia="zh-CN"/>
              </w:rPr>
              <w:t>外</w:t>
            </w:r>
            <w:r>
              <w:rPr>
                <w:rFonts w:hint="default" w:ascii="Times New Roman" w:hAnsi="Times New Roman" w:eastAsia="宋体" w:cs="Times New Roman"/>
                <w:color w:val="auto"/>
                <w:sz w:val="22"/>
                <w:szCs w:val="22"/>
              </w:rPr>
              <w:t>防腐采用三层PE加强级防腐层</w:t>
            </w:r>
            <w:r>
              <w:rPr>
                <w:rFonts w:hint="default" w:ascii="Times New Roman" w:hAnsi="Times New Roman" w:eastAsia="宋体" w:cs="Times New Roman"/>
                <w:color w:val="auto"/>
                <w:sz w:val="22"/>
                <w:szCs w:val="22"/>
                <w:lang w:eastAsia="zh-CN"/>
              </w:rPr>
              <w:t>，弯头外防腐采用三层辐射交联聚乙烯热收缩套连续搭接包覆</w:t>
            </w:r>
            <w:r>
              <w:rPr>
                <w:rFonts w:hint="default" w:ascii="Times New Roman" w:hAnsi="Times New Roman" w:eastAsia="宋体" w:cs="Times New Roman"/>
                <w:color w:val="auto"/>
                <w:sz w:val="22"/>
                <w:szCs w:val="22"/>
                <w:lang w:val="en-US" w:eastAsia="zh-CN"/>
              </w:rPr>
              <w:t>等</w:t>
            </w:r>
          </w:p>
        </w:tc>
        <w:tc>
          <w:tcPr>
            <w:tcW w:w="371" w:type="pct"/>
            <w:tcBorders>
              <w:top w:val="nil"/>
              <w:left w:val="nil"/>
              <w:bottom w:val="single" w:color="auto" w:sz="4" w:space="0"/>
              <w:right w:val="single" w:color="auto" w:sz="4" w:space="0"/>
            </w:tcBorders>
            <w:noWrap w:val="0"/>
            <w:vAlign w:val="center"/>
          </w:tcPr>
          <w:p w14:paraId="2435FC1B">
            <w:pPr>
              <w:pStyle w:val="103"/>
              <w:keepNext w:val="0"/>
              <w:spacing w:line="240" w:lineRule="auto"/>
              <w:jc w:val="center"/>
              <w:rPr>
                <w:rFonts w:hint="default" w:ascii="Times New Roman" w:hAnsi="Times New Roman" w:eastAsia="宋体" w:cs="Times New Roman"/>
                <w:color w:val="auto"/>
                <w:sz w:val="22"/>
                <w:szCs w:val="22"/>
              </w:rPr>
            </w:pPr>
            <w:bookmarkStart w:id="145" w:name="_Toc31991"/>
            <w:bookmarkStart w:id="146" w:name="_Toc23915"/>
            <w:bookmarkStart w:id="147" w:name="_Toc20664"/>
            <w:r>
              <w:rPr>
                <w:rFonts w:hint="default" w:ascii="Times New Roman" w:hAnsi="Times New Roman" w:eastAsia="宋体" w:cs="Times New Roman"/>
                <w:color w:val="auto"/>
                <w:sz w:val="22"/>
                <w:szCs w:val="22"/>
              </w:rPr>
              <w:t>新建</w:t>
            </w:r>
            <w:bookmarkEnd w:id="145"/>
            <w:bookmarkEnd w:id="146"/>
            <w:bookmarkEnd w:id="147"/>
          </w:p>
        </w:tc>
      </w:tr>
      <w:tr w14:paraId="6778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top w:val="nil"/>
              <w:left w:val="single" w:color="auto" w:sz="4" w:space="0"/>
              <w:bottom w:val="single" w:color="auto" w:sz="4" w:space="0"/>
              <w:right w:val="single" w:color="auto" w:sz="4" w:space="0"/>
            </w:tcBorders>
            <w:noWrap w:val="0"/>
            <w:vAlign w:val="center"/>
          </w:tcPr>
          <w:p w14:paraId="57ABC631">
            <w:pPr>
              <w:pStyle w:val="103"/>
              <w:keepNext w:val="0"/>
              <w:spacing w:line="240" w:lineRule="auto"/>
              <w:jc w:val="center"/>
              <w:rPr>
                <w:rFonts w:hint="default" w:ascii="Times New Roman" w:hAnsi="Times New Roman" w:eastAsia="宋体" w:cs="Times New Roman"/>
                <w:color w:val="auto"/>
                <w:sz w:val="22"/>
                <w:szCs w:val="22"/>
              </w:rPr>
            </w:pPr>
          </w:p>
        </w:tc>
        <w:tc>
          <w:tcPr>
            <w:tcW w:w="659" w:type="pct"/>
            <w:gridSpan w:val="2"/>
            <w:tcBorders>
              <w:top w:val="single" w:color="auto" w:sz="4" w:space="0"/>
              <w:left w:val="nil"/>
              <w:bottom w:val="single" w:color="auto" w:sz="4" w:space="0"/>
              <w:right w:val="single" w:color="auto" w:sz="4" w:space="0"/>
            </w:tcBorders>
            <w:noWrap w:val="0"/>
            <w:vAlign w:val="center"/>
          </w:tcPr>
          <w:p w14:paraId="5C73A3EF">
            <w:pPr>
              <w:pStyle w:val="103"/>
              <w:keepNext w:val="0"/>
              <w:spacing w:line="240" w:lineRule="auto"/>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水工保护</w:t>
            </w:r>
          </w:p>
        </w:tc>
        <w:tc>
          <w:tcPr>
            <w:tcW w:w="3540" w:type="pct"/>
            <w:tcBorders>
              <w:top w:val="single" w:color="auto" w:sz="4" w:space="0"/>
              <w:left w:val="nil"/>
              <w:bottom w:val="single" w:color="auto" w:sz="4" w:space="0"/>
              <w:right w:val="single" w:color="auto" w:sz="4" w:space="0"/>
            </w:tcBorders>
            <w:noWrap w:val="0"/>
            <w:vAlign w:val="center"/>
          </w:tcPr>
          <w:p w14:paraId="4E1AA326">
            <w:pPr>
              <w:adjustRightInd w:val="0"/>
              <w:jc w:val="both"/>
              <w:textAlignment w:val="baseline"/>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堡坎、截水墙、挡土墙、条石防护、固定墩等</w:t>
            </w:r>
          </w:p>
        </w:tc>
        <w:tc>
          <w:tcPr>
            <w:tcW w:w="371" w:type="pct"/>
            <w:tcBorders>
              <w:top w:val="nil"/>
              <w:left w:val="nil"/>
              <w:bottom w:val="single" w:color="auto" w:sz="4" w:space="0"/>
              <w:right w:val="single" w:color="auto" w:sz="4" w:space="0"/>
            </w:tcBorders>
            <w:noWrap w:val="0"/>
            <w:vAlign w:val="center"/>
          </w:tcPr>
          <w:p w14:paraId="1EF69F1A">
            <w:pPr>
              <w:pStyle w:val="103"/>
              <w:keepNext w:val="0"/>
              <w:spacing w:line="240" w:lineRule="auto"/>
              <w:jc w:val="center"/>
              <w:rPr>
                <w:rFonts w:hint="default" w:ascii="Times New Roman" w:hAnsi="Times New Roman" w:eastAsia="宋体" w:cs="Times New Roman"/>
                <w:color w:val="auto"/>
                <w:sz w:val="22"/>
                <w:szCs w:val="22"/>
              </w:rPr>
            </w:pPr>
            <w:bookmarkStart w:id="148" w:name="_Toc31690"/>
            <w:bookmarkStart w:id="149" w:name="_Toc31458"/>
            <w:bookmarkStart w:id="150" w:name="_Toc14854"/>
            <w:r>
              <w:rPr>
                <w:rFonts w:hint="default" w:ascii="Times New Roman" w:hAnsi="Times New Roman" w:eastAsia="宋体" w:cs="Times New Roman"/>
                <w:color w:val="auto"/>
                <w:sz w:val="22"/>
                <w:szCs w:val="22"/>
              </w:rPr>
              <w:t>新建</w:t>
            </w:r>
            <w:bookmarkEnd w:id="148"/>
            <w:bookmarkEnd w:id="149"/>
            <w:bookmarkEnd w:id="150"/>
          </w:p>
        </w:tc>
      </w:tr>
      <w:tr w14:paraId="3BE6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top w:val="nil"/>
              <w:left w:val="single" w:color="auto" w:sz="4" w:space="0"/>
              <w:bottom w:val="single" w:color="auto" w:sz="4" w:space="0"/>
              <w:right w:val="single" w:color="auto" w:sz="4" w:space="0"/>
            </w:tcBorders>
            <w:noWrap w:val="0"/>
            <w:vAlign w:val="center"/>
          </w:tcPr>
          <w:p w14:paraId="5165E2FD">
            <w:pPr>
              <w:widowControl/>
              <w:jc w:val="center"/>
              <w:rPr>
                <w:rFonts w:hint="default" w:ascii="Times New Roman" w:hAnsi="Times New Roman" w:eastAsia="宋体" w:cs="Times New Roman"/>
                <w:color w:val="auto"/>
                <w:sz w:val="22"/>
                <w:szCs w:val="22"/>
              </w:rPr>
            </w:pPr>
          </w:p>
        </w:tc>
        <w:tc>
          <w:tcPr>
            <w:tcW w:w="659" w:type="pct"/>
            <w:gridSpan w:val="2"/>
            <w:tcBorders>
              <w:top w:val="single" w:color="auto" w:sz="4" w:space="0"/>
              <w:left w:val="nil"/>
              <w:bottom w:val="single" w:color="auto" w:sz="4" w:space="0"/>
              <w:right w:val="single" w:color="auto" w:sz="4" w:space="0"/>
            </w:tcBorders>
            <w:noWrap w:val="0"/>
            <w:vAlign w:val="center"/>
          </w:tcPr>
          <w:p w14:paraId="07758E96">
            <w:pPr>
              <w:pStyle w:val="103"/>
              <w:keepNext w:val="0"/>
              <w:spacing w:line="240" w:lineRule="auto"/>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线路标识</w:t>
            </w:r>
          </w:p>
        </w:tc>
        <w:tc>
          <w:tcPr>
            <w:tcW w:w="3540" w:type="pct"/>
            <w:tcBorders>
              <w:top w:val="single" w:color="auto" w:sz="4" w:space="0"/>
              <w:left w:val="nil"/>
              <w:bottom w:val="single" w:color="auto" w:sz="4" w:space="0"/>
              <w:right w:val="single" w:color="auto" w:sz="4" w:space="0"/>
            </w:tcBorders>
            <w:noWrap w:val="0"/>
            <w:vAlign w:val="center"/>
          </w:tcPr>
          <w:p w14:paraId="44FD950A">
            <w:pPr>
              <w:pStyle w:val="103"/>
              <w:keepNext w:val="0"/>
              <w:spacing w:line="240" w:lineRule="auto"/>
              <w:jc w:val="both"/>
              <w:rPr>
                <w:rFonts w:hint="default" w:ascii="Times New Roman" w:hAnsi="Times New Roman" w:eastAsia="宋体" w:cs="Times New Roman"/>
                <w:color w:val="auto"/>
                <w:sz w:val="22"/>
                <w:szCs w:val="22"/>
              </w:rPr>
            </w:pPr>
            <w:bookmarkStart w:id="151" w:name="_Toc28617"/>
            <w:bookmarkStart w:id="152" w:name="_Toc7593"/>
            <w:bookmarkStart w:id="153" w:name="_Toc14180"/>
            <w:bookmarkStart w:id="154" w:name="_Toc32406"/>
            <w:bookmarkStart w:id="155" w:name="_Toc22165"/>
            <w:bookmarkStart w:id="156" w:name="_Toc22861"/>
            <w:bookmarkStart w:id="157" w:name="_Toc9462"/>
            <w:bookmarkStart w:id="158" w:name="_Toc11257"/>
            <w:bookmarkStart w:id="159" w:name="_Toc6774"/>
            <w:r>
              <w:rPr>
                <w:rFonts w:hint="default" w:ascii="Times New Roman" w:hAnsi="Times New Roman" w:eastAsia="宋体" w:cs="Times New Roman"/>
                <w:color w:val="auto"/>
                <w:sz w:val="22"/>
                <w:szCs w:val="22"/>
              </w:rPr>
              <w:t>标志桩</w:t>
            </w:r>
            <w:bookmarkEnd w:id="151"/>
            <w:bookmarkEnd w:id="152"/>
            <w:bookmarkEnd w:id="153"/>
            <w:r>
              <w:rPr>
                <w:rFonts w:hint="default" w:ascii="Times New Roman" w:hAnsi="Times New Roman" w:eastAsia="宋体" w:cs="Times New Roman"/>
                <w:color w:val="auto"/>
                <w:sz w:val="22"/>
                <w:szCs w:val="22"/>
                <w:lang w:val="en-US" w:eastAsia="zh-CN"/>
              </w:rPr>
              <w:t>29个</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lang w:val="en-US" w:eastAsia="zh-CN"/>
              </w:rPr>
              <w:t>测试桩2套、警示牌12个</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警示带</w:t>
            </w:r>
            <w:bookmarkEnd w:id="154"/>
            <w:bookmarkEnd w:id="155"/>
            <w:bookmarkEnd w:id="156"/>
            <w:r>
              <w:rPr>
                <w:rFonts w:hint="default" w:ascii="Times New Roman" w:hAnsi="Times New Roman" w:eastAsia="宋体" w:cs="Times New Roman"/>
                <w:color w:val="auto"/>
                <w:sz w:val="22"/>
                <w:szCs w:val="22"/>
                <w:lang w:val="en-US" w:eastAsia="zh-CN"/>
              </w:rPr>
              <w:t>等，</w:t>
            </w:r>
            <w:r>
              <w:rPr>
                <w:rFonts w:hint="default" w:ascii="Times New Roman" w:hAnsi="Times New Roman" w:eastAsia="宋体" w:cs="Times New Roman"/>
                <w:color w:val="auto"/>
                <w:sz w:val="22"/>
                <w:szCs w:val="22"/>
              </w:rPr>
              <w:t>其中每50m设置一个标志桩，并保证可视范围内至少有两个标志桩，有转角处转角桩和里程桩可合并设置。管道敷设时距管顶</w:t>
            </w:r>
            <w:r>
              <w:rPr>
                <w:rFonts w:hint="default" w:ascii="Times New Roman" w:hAnsi="Times New Roman" w:eastAsia="宋体" w:cs="Times New Roman"/>
                <w:color w:val="auto"/>
                <w:sz w:val="22"/>
                <w:szCs w:val="22"/>
                <w:lang w:val="en-US" w:eastAsia="zh-CN"/>
              </w:rPr>
              <w:t>0.</w:t>
            </w:r>
            <w:r>
              <w:rPr>
                <w:rFonts w:hint="default" w:ascii="Times New Roman" w:hAnsi="Times New Roman" w:eastAsia="宋体" w:cs="Times New Roman"/>
                <w:color w:val="auto"/>
                <w:sz w:val="22"/>
                <w:szCs w:val="22"/>
              </w:rPr>
              <w:t>5m处需埋设警示带，管道上方连续设置警示带，警示带长度与</w:t>
            </w:r>
            <w:r>
              <w:rPr>
                <w:rFonts w:hint="default" w:ascii="Times New Roman" w:hAnsi="Times New Roman" w:eastAsia="宋体" w:cs="Times New Roman"/>
                <w:color w:val="auto"/>
                <w:sz w:val="22"/>
                <w:szCs w:val="22"/>
                <w:lang w:val="en-US" w:eastAsia="zh-CN"/>
              </w:rPr>
              <w:t>改</w:t>
            </w:r>
            <w:r>
              <w:rPr>
                <w:rFonts w:hint="default" w:ascii="Times New Roman" w:hAnsi="Times New Roman" w:eastAsia="宋体" w:cs="Times New Roman"/>
                <w:color w:val="auto"/>
                <w:sz w:val="22"/>
                <w:szCs w:val="22"/>
              </w:rPr>
              <w:t>建管道长度一致。</w:t>
            </w:r>
            <w:bookmarkEnd w:id="157"/>
            <w:bookmarkEnd w:id="158"/>
            <w:bookmarkEnd w:id="159"/>
          </w:p>
        </w:tc>
        <w:tc>
          <w:tcPr>
            <w:tcW w:w="371" w:type="pct"/>
            <w:tcBorders>
              <w:top w:val="nil"/>
              <w:left w:val="nil"/>
              <w:bottom w:val="single" w:color="auto" w:sz="4" w:space="0"/>
              <w:right w:val="single" w:color="auto" w:sz="4" w:space="0"/>
            </w:tcBorders>
            <w:noWrap w:val="0"/>
            <w:vAlign w:val="center"/>
          </w:tcPr>
          <w:p w14:paraId="62C04280">
            <w:pPr>
              <w:widowControl/>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新建</w:t>
            </w:r>
          </w:p>
        </w:tc>
      </w:tr>
      <w:tr w14:paraId="0748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restart"/>
            <w:tcBorders>
              <w:top w:val="nil"/>
              <w:left w:val="single" w:color="auto" w:sz="4" w:space="0"/>
              <w:bottom w:val="single" w:color="auto" w:sz="4" w:space="0"/>
              <w:right w:val="single" w:color="auto" w:sz="4" w:space="0"/>
            </w:tcBorders>
            <w:noWrap w:val="0"/>
            <w:vAlign w:val="center"/>
          </w:tcPr>
          <w:p w14:paraId="5E40785C">
            <w:pPr>
              <w:pStyle w:val="103"/>
              <w:keepNext w:val="0"/>
              <w:spacing w:line="240" w:lineRule="auto"/>
              <w:jc w:val="center"/>
              <w:rPr>
                <w:rFonts w:hint="default" w:ascii="Times New Roman" w:hAnsi="Times New Roman" w:eastAsia="宋体" w:cs="Times New Roman"/>
                <w:color w:val="auto"/>
                <w:sz w:val="22"/>
                <w:szCs w:val="22"/>
              </w:rPr>
            </w:pPr>
            <w:bookmarkStart w:id="160" w:name="_Toc17599"/>
            <w:bookmarkStart w:id="161" w:name="_Toc26762"/>
            <w:bookmarkStart w:id="162" w:name="_Toc4826"/>
            <w:r>
              <w:rPr>
                <w:rFonts w:hint="default" w:ascii="Times New Roman" w:hAnsi="Times New Roman" w:eastAsia="宋体" w:cs="Times New Roman"/>
                <w:color w:val="auto"/>
                <w:sz w:val="22"/>
                <w:szCs w:val="22"/>
              </w:rPr>
              <w:t>公用</w:t>
            </w:r>
            <w:bookmarkEnd w:id="160"/>
            <w:bookmarkEnd w:id="161"/>
            <w:bookmarkEnd w:id="162"/>
          </w:p>
          <w:p w14:paraId="579A69CE">
            <w:pPr>
              <w:pStyle w:val="103"/>
              <w:keepNext w:val="0"/>
              <w:spacing w:line="240" w:lineRule="auto"/>
              <w:jc w:val="center"/>
              <w:rPr>
                <w:rFonts w:hint="default" w:ascii="Times New Roman" w:hAnsi="Times New Roman" w:eastAsia="宋体" w:cs="Times New Roman"/>
                <w:color w:val="auto"/>
                <w:sz w:val="22"/>
                <w:szCs w:val="22"/>
              </w:rPr>
            </w:pPr>
            <w:bookmarkStart w:id="163" w:name="_Toc15895"/>
            <w:bookmarkStart w:id="164" w:name="_Toc24807"/>
            <w:bookmarkStart w:id="165" w:name="_Toc4933"/>
            <w:r>
              <w:rPr>
                <w:rFonts w:hint="default" w:ascii="Times New Roman" w:hAnsi="Times New Roman" w:eastAsia="宋体" w:cs="Times New Roman"/>
                <w:color w:val="auto"/>
                <w:sz w:val="22"/>
                <w:szCs w:val="22"/>
              </w:rPr>
              <w:t>工程</w:t>
            </w:r>
            <w:bookmarkEnd w:id="163"/>
            <w:bookmarkEnd w:id="164"/>
            <w:bookmarkEnd w:id="165"/>
          </w:p>
        </w:tc>
        <w:tc>
          <w:tcPr>
            <w:tcW w:w="659" w:type="pct"/>
            <w:gridSpan w:val="2"/>
            <w:tcBorders>
              <w:top w:val="single" w:color="auto" w:sz="4" w:space="0"/>
              <w:left w:val="nil"/>
              <w:bottom w:val="single" w:color="auto" w:sz="4" w:space="0"/>
              <w:right w:val="single" w:color="auto" w:sz="4" w:space="0"/>
            </w:tcBorders>
            <w:noWrap w:val="0"/>
            <w:vAlign w:val="center"/>
          </w:tcPr>
          <w:p w14:paraId="1A49DE5E">
            <w:pPr>
              <w:pStyle w:val="103"/>
              <w:keepNext w:val="0"/>
              <w:spacing w:line="240" w:lineRule="auto"/>
              <w:ind w:firstLine="0" w:firstLineChars="0"/>
              <w:jc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val="en-US" w:eastAsia="zh-CN"/>
              </w:rPr>
              <w:t>供水</w:t>
            </w:r>
          </w:p>
        </w:tc>
        <w:tc>
          <w:tcPr>
            <w:tcW w:w="3540" w:type="pct"/>
            <w:tcBorders>
              <w:top w:val="single" w:color="auto" w:sz="4" w:space="0"/>
              <w:left w:val="nil"/>
              <w:bottom w:val="single" w:color="auto" w:sz="4" w:space="0"/>
              <w:right w:val="single" w:color="auto" w:sz="4" w:space="0"/>
            </w:tcBorders>
            <w:noWrap w:val="0"/>
            <w:vAlign w:val="center"/>
          </w:tcPr>
          <w:p w14:paraId="608E992F">
            <w:pPr>
              <w:pStyle w:val="103"/>
              <w:keepNext w:val="0"/>
              <w:spacing w:line="240" w:lineRule="auto"/>
              <w:ind w:firstLine="0" w:firstLineChars="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施工</w:t>
            </w:r>
            <w:r>
              <w:rPr>
                <w:rFonts w:hint="default" w:ascii="Times New Roman" w:hAnsi="Times New Roman" w:eastAsia="宋体" w:cs="Times New Roman"/>
                <w:color w:val="auto"/>
                <w:sz w:val="22"/>
                <w:szCs w:val="22"/>
                <w:shd w:val="clear" w:fill="FFFFFF"/>
              </w:rPr>
              <w:t>期</w:t>
            </w:r>
            <w:r>
              <w:rPr>
                <w:rFonts w:hint="default" w:ascii="Times New Roman" w:hAnsi="Times New Roman" w:eastAsia="宋体" w:cs="Times New Roman"/>
                <w:color w:val="auto"/>
                <w:sz w:val="22"/>
                <w:szCs w:val="22"/>
              </w:rPr>
              <w:t>施工人员生活</w:t>
            </w:r>
            <w:r>
              <w:rPr>
                <w:rFonts w:hint="default" w:ascii="Times New Roman" w:hAnsi="Times New Roman" w:eastAsia="宋体" w:cs="Times New Roman"/>
                <w:color w:val="auto"/>
                <w:sz w:val="22"/>
                <w:szCs w:val="22"/>
                <w:lang w:val="en-US" w:eastAsia="zh-CN"/>
              </w:rPr>
              <w:t>用</w:t>
            </w:r>
            <w:r>
              <w:rPr>
                <w:rFonts w:hint="default" w:ascii="Times New Roman" w:hAnsi="Times New Roman" w:eastAsia="宋体" w:cs="Times New Roman"/>
                <w:color w:val="auto"/>
                <w:sz w:val="22"/>
                <w:szCs w:val="22"/>
              </w:rPr>
              <w:t>水依托沿</w:t>
            </w:r>
            <w:r>
              <w:rPr>
                <w:rFonts w:hint="default" w:ascii="Times New Roman" w:hAnsi="Times New Roman" w:eastAsia="宋体" w:cs="Times New Roman"/>
                <w:color w:val="auto"/>
                <w:sz w:val="22"/>
                <w:szCs w:val="22"/>
                <w:lang w:val="en-US" w:eastAsia="zh-CN"/>
              </w:rPr>
              <w:t>租用房屋供水设施，试压用水依托新盛站内供水设施</w:t>
            </w:r>
          </w:p>
        </w:tc>
        <w:tc>
          <w:tcPr>
            <w:tcW w:w="371" w:type="pct"/>
            <w:tcBorders>
              <w:top w:val="single" w:color="auto" w:sz="4" w:space="0"/>
              <w:left w:val="nil"/>
              <w:bottom w:val="single" w:color="auto" w:sz="4" w:space="0"/>
              <w:right w:val="single" w:color="auto" w:sz="4" w:space="0"/>
            </w:tcBorders>
            <w:noWrap w:val="0"/>
            <w:vAlign w:val="center"/>
          </w:tcPr>
          <w:p w14:paraId="42444060">
            <w:pPr>
              <w:pStyle w:val="103"/>
              <w:keepNext w:val="0"/>
              <w:spacing w:line="240" w:lineRule="auto"/>
              <w:ind w:firstLine="0" w:firstLineChars="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依托</w:t>
            </w:r>
          </w:p>
        </w:tc>
      </w:tr>
      <w:tr w14:paraId="3768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top w:val="nil"/>
              <w:left w:val="single" w:color="auto" w:sz="4" w:space="0"/>
              <w:bottom w:val="single" w:color="auto" w:sz="4" w:space="0"/>
              <w:right w:val="single" w:color="auto" w:sz="4" w:space="0"/>
            </w:tcBorders>
            <w:noWrap w:val="0"/>
            <w:vAlign w:val="center"/>
          </w:tcPr>
          <w:p w14:paraId="1758D712">
            <w:pPr>
              <w:widowControl/>
              <w:jc w:val="center"/>
              <w:rPr>
                <w:rFonts w:hint="default" w:ascii="Times New Roman" w:hAnsi="Times New Roman" w:eastAsia="宋体" w:cs="Times New Roman"/>
                <w:color w:val="auto"/>
                <w:sz w:val="22"/>
                <w:szCs w:val="22"/>
              </w:rPr>
            </w:pPr>
          </w:p>
        </w:tc>
        <w:tc>
          <w:tcPr>
            <w:tcW w:w="659" w:type="pct"/>
            <w:gridSpan w:val="2"/>
            <w:tcBorders>
              <w:top w:val="single" w:color="auto" w:sz="4" w:space="0"/>
              <w:left w:val="nil"/>
              <w:bottom w:val="single" w:color="auto" w:sz="4" w:space="0"/>
              <w:right w:val="single" w:color="auto" w:sz="4" w:space="0"/>
            </w:tcBorders>
            <w:noWrap w:val="0"/>
            <w:vAlign w:val="center"/>
          </w:tcPr>
          <w:p w14:paraId="23D90E4F">
            <w:pPr>
              <w:pStyle w:val="103"/>
              <w:keepNext w:val="0"/>
              <w:spacing w:line="240" w:lineRule="auto"/>
              <w:ind w:firstLine="0" w:firstLineChars="0"/>
              <w:jc w:val="center"/>
              <w:rPr>
                <w:rFonts w:hint="default" w:ascii="Times New Roman" w:hAnsi="Times New Roman" w:eastAsia="宋体" w:cs="Times New Roman"/>
                <w:b w:val="0"/>
                <w:bCs/>
                <w:color w:val="auto"/>
                <w:kern w:val="44"/>
                <w:sz w:val="22"/>
                <w:szCs w:val="22"/>
                <w:lang w:val="en-US" w:eastAsia="zh-CN" w:bidi="ar-SA"/>
              </w:rPr>
            </w:pPr>
            <w:r>
              <w:rPr>
                <w:rFonts w:hint="default" w:ascii="Times New Roman" w:hAnsi="Times New Roman" w:eastAsia="宋体" w:cs="Times New Roman"/>
                <w:color w:val="auto"/>
                <w:sz w:val="22"/>
                <w:szCs w:val="22"/>
              </w:rPr>
              <w:t>供电</w:t>
            </w:r>
          </w:p>
        </w:tc>
        <w:tc>
          <w:tcPr>
            <w:tcW w:w="3540" w:type="pct"/>
            <w:tcBorders>
              <w:top w:val="single" w:color="auto" w:sz="4" w:space="0"/>
              <w:left w:val="nil"/>
              <w:bottom w:val="single" w:color="auto" w:sz="4" w:space="0"/>
              <w:right w:val="single" w:color="auto" w:sz="4" w:space="0"/>
            </w:tcBorders>
            <w:noWrap w:val="0"/>
            <w:vAlign w:val="center"/>
          </w:tcPr>
          <w:p w14:paraId="1C5BA60E">
            <w:pPr>
              <w:pStyle w:val="103"/>
              <w:keepNext w:val="0"/>
              <w:spacing w:line="240" w:lineRule="auto"/>
              <w:ind w:firstLine="0" w:firstLineChars="0"/>
              <w:jc w:val="both"/>
              <w:rPr>
                <w:rFonts w:hint="default" w:ascii="Times New Roman" w:hAnsi="Times New Roman" w:eastAsia="宋体" w:cs="Times New Roman"/>
                <w:b w:val="0"/>
                <w:bCs/>
                <w:color w:val="auto"/>
                <w:kern w:val="44"/>
                <w:sz w:val="22"/>
                <w:szCs w:val="22"/>
                <w:lang w:val="en-US" w:eastAsia="zh-CN" w:bidi="ar-SA"/>
              </w:rPr>
            </w:pPr>
            <w:r>
              <w:rPr>
                <w:rFonts w:hint="default" w:ascii="Times New Roman" w:hAnsi="Times New Roman" w:eastAsia="宋体" w:cs="Times New Roman"/>
                <w:color w:val="auto"/>
                <w:sz w:val="22"/>
                <w:szCs w:val="22"/>
              </w:rPr>
              <w:t>依托周边已建供电设施引入</w:t>
            </w:r>
          </w:p>
        </w:tc>
        <w:tc>
          <w:tcPr>
            <w:tcW w:w="371" w:type="pct"/>
            <w:tcBorders>
              <w:top w:val="single" w:color="auto" w:sz="4" w:space="0"/>
              <w:left w:val="nil"/>
              <w:bottom w:val="single" w:color="auto" w:sz="4" w:space="0"/>
              <w:right w:val="single" w:color="auto" w:sz="4" w:space="0"/>
            </w:tcBorders>
            <w:noWrap w:val="0"/>
            <w:vAlign w:val="center"/>
          </w:tcPr>
          <w:p w14:paraId="6FA8D092">
            <w:pPr>
              <w:pStyle w:val="103"/>
              <w:keepNext w:val="0"/>
              <w:spacing w:line="240" w:lineRule="auto"/>
              <w:ind w:firstLine="0" w:firstLineChars="0"/>
              <w:jc w:val="center"/>
              <w:rPr>
                <w:rFonts w:hint="default" w:ascii="Times New Roman" w:hAnsi="Times New Roman" w:eastAsia="宋体" w:cs="Times New Roman"/>
                <w:b w:val="0"/>
                <w:bCs/>
                <w:color w:val="auto"/>
                <w:kern w:val="44"/>
                <w:sz w:val="22"/>
                <w:szCs w:val="22"/>
                <w:lang w:val="en-US" w:eastAsia="zh-CN" w:bidi="ar-SA"/>
              </w:rPr>
            </w:pPr>
            <w:r>
              <w:rPr>
                <w:rFonts w:hint="default" w:ascii="Times New Roman" w:hAnsi="Times New Roman" w:eastAsia="宋体" w:cs="Times New Roman"/>
                <w:color w:val="auto"/>
                <w:sz w:val="22"/>
                <w:szCs w:val="22"/>
              </w:rPr>
              <w:t>依托</w:t>
            </w:r>
          </w:p>
        </w:tc>
      </w:tr>
      <w:tr w14:paraId="03A2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restart"/>
            <w:tcBorders>
              <w:top w:val="nil"/>
              <w:left w:val="single" w:color="auto" w:sz="4" w:space="0"/>
              <w:bottom w:val="single" w:color="auto" w:sz="4" w:space="0"/>
              <w:right w:val="single" w:color="auto" w:sz="4" w:space="0"/>
            </w:tcBorders>
            <w:noWrap w:val="0"/>
            <w:vAlign w:val="center"/>
          </w:tcPr>
          <w:p w14:paraId="38001916">
            <w:pPr>
              <w:pStyle w:val="103"/>
              <w:keepNext w:val="0"/>
              <w:spacing w:line="240" w:lineRule="auto"/>
              <w:jc w:val="center"/>
              <w:rPr>
                <w:rFonts w:hint="default" w:ascii="Times New Roman" w:hAnsi="Times New Roman" w:eastAsia="宋体" w:cs="Times New Roman"/>
                <w:color w:val="auto"/>
                <w:sz w:val="22"/>
                <w:szCs w:val="22"/>
              </w:rPr>
            </w:pPr>
            <w:bookmarkStart w:id="166" w:name="_Toc22751"/>
            <w:bookmarkStart w:id="167" w:name="_Toc17028"/>
            <w:bookmarkStart w:id="168" w:name="_Toc3537"/>
            <w:r>
              <w:rPr>
                <w:rFonts w:hint="default" w:ascii="Times New Roman" w:hAnsi="Times New Roman" w:eastAsia="宋体" w:cs="Times New Roman"/>
                <w:color w:val="auto"/>
                <w:sz w:val="22"/>
                <w:szCs w:val="22"/>
              </w:rPr>
              <w:t>临时</w:t>
            </w:r>
            <w:bookmarkEnd w:id="166"/>
            <w:bookmarkEnd w:id="167"/>
            <w:bookmarkEnd w:id="168"/>
          </w:p>
          <w:p w14:paraId="725EAC20">
            <w:pPr>
              <w:pStyle w:val="103"/>
              <w:keepNext w:val="0"/>
              <w:spacing w:line="240" w:lineRule="auto"/>
              <w:jc w:val="center"/>
              <w:rPr>
                <w:rFonts w:hint="default" w:ascii="Times New Roman" w:hAnsi="Times New Roman" w:eastAsia="宋体" w:cs="Times New Roman"/>
                <w:color w:val="auto"/>
                <w:sz w:val="22"/>
                <w:szCs w:val="22"/>
              </w:rPr>
            </w:pPr>
            <w:bookmarkStart w:id="169" w:name="_Toc12862"/>
            <w:bookmarkStart w:id="170" w:name="_Toc19315"/>
            <w:bookmarkStart w:id="171" w:name="_Toc10264"/>
            <w:r>
              <w:rPr>
                <w:rFonts w:hint="default" w:ascii="Times New Roman" w:hAnsi="Times New Roman" w:eastAsia="宋体" w:cs="Times New Roman"/>
                <w:color w:val="auto"/>
                <w:sz w:val="22"/>
                <w:szCs w:val="22"/>
              </w:rPr>
              <w:t>工程</w:t>
            </w:r>
            <w:bookmarkEnd w:id="169"/>
            <w:bookmarkEnd w:id="170"/>
            <w:bookmarkEnd w:id="171"/>
          </w:p>
        </w:tc>
        <w:tc>
          <w:tcPr>
            <w:tcW w:w="659" w:type="pct"/>
            <w:gridSpan w:val="2"/>
            <w:tcBorders>
              <w:top w:val="single" w:color="auto" w:sz="4" w:space="0"/>
              <w:left w:val="nil"/>
              <w:bottom w:val="single" w:color="auto" w:sz="4" w:space="0"/>
              <w:right w:val="single" w:color="auto" w:sz="4" w:space="0"/>
            </w:tcBorders>
            <w:noWrap w:val="0"/>
            <w:vAlign w:val="center"/>
          </w:tcPr>
          <w:p w14:paraId="62740731">
            <w:pPr>
              <w:pStyle w:val="103"/>
              <w:keepNext w:val="0"/>
              <w:spacing w:line="240" w:lineRule="auto"/>
              <w:jc w:val="center"/>
              <w:rPr>
                <w:rFonts w:hint="default" w:ascii="Times New Roman" w:hAnsi="Times New Roman" w:eastAsia="宋体" w:cs="Times New Roman"/>
                <w:color w:val="auto"/>
                <w:sz w:val="22"/>
                <w:szCs w:val="22"/>
              </w:rPr>
            </w:pPr>
            <w:bookmarkStart w:id="172" w:name="_Toc14140"/>
            <w:bookmarkStart w:id="173" w:name="_Toc16223"/>
            <w:bookmarkStart w:id="174" w:name="_Toc16207"/>
            <w:r>
              <w:rPr>
                <w:rFonts w:hint="default" w:ascii="Times New Roman" w:hAnsi="Times New Roman" w:eastAsia="宋体" w:cs="Times New Roman"/>
                <w:color w:val="auto"/>
                <w:sz w:val="22"/>
                <w:szCs w:val="22"/>
              </w:rPr>
              <w:t>施工营地</w:t>
            </w:r>
            <w:bookmarkEnd w:id="172"/>
            <w:bookmarkEnd w:id="173"/>
            <w:bookmarkEnd w:id="174"/>
          </w:p>
        </w:tc>
        <w:tc>
          <w:tcPr>
            <w:tcW w:w="3540" w:type="pct"/>
            <w:tcBorders>
              <w:top w:val="single" w:color="auto" w:sz="4" w:space="0"/>
              <w:left w:val="nil"/>
              <w:bottom w:val="single" w:color="auto" w:sz="4" w:space="0"/>
              <w:right w:val="single" w:color="auto" w:sz="4" w:space="0"/>
            </w:tcBorders>
            <w:noWrap w:val="0"/>
            <w:vAlign w:val="center"/>
          </w:tcPr>
          <w:p w14:paraId="2062A84B">
            <w:pPr>
              <w:pStyle w:val="103"/>
              <w:keepNext w:val="0"/>
              <w:spacing w:line="240" w:lineRule="auto"/>
              <w:jc w:val="both"/>
              <w:rPr>
                <w:rFonts w:hint="default" w:ascii="Times New Roman" w:hAnsi="Times New Roman" w:eastAsia="宋体" w:cs="Times New Roman"/>
                <w:color w:val="auto"/>
                <w:sz w:val="22"/>
                <w:szCs w:val="22"/>
              </w:rPr>
            </w:pPr>
            <w:bookmarkStart w:id="175" w:name="_Toc23317"/>
            <w:bookmarkStart w:id="176" w:name="_Toc11012"/>
            <w:bookmarkStart w:id="177" w:name="_Toc29411"/>
            <w:r>
              <w:rPr>
                <w:rFonts w:hint="default" w:ascii="Times New Roman" w:hAnsi="Times New Roman" w:eastAsia="宋体" w:cs="Times New Roman"/>
                <w:color w:val="auto"/>
                <w:sz w:val="22"/>
                <w:szCs w:val="22"/>
              </w:rPr>
              <w:t>不设置施工营地，施工人员就近依托沿线</w:t>
            </w:r>
            <w:r>
              <w:rPr>
                <w:rFonts w:hint="default" w:ascii="Times New Roman" w:hAnsi="Times New Roman" w:eastAsia="宋体" w:cs="Times New Roman"/>
                <w:color w:val="auto"/>
                <w:sz w:val="22"/>
                <w:szCs w:val="22"/>
                <w:lang w:val="en-US" w:eastAsia="zh-CN"/>
              </w:rPr>
              <w:t>居</w:t>
            </w:r>
            <w:r>
              <w:rPr>
                <w:rFonts w:hint="default" w:ascii="Times New Roman" w:hAnsi="Times New Roman" w:eastAsia="宋体" w:cs="Times New Roman"/>
                <w:color w:val="auto"/>
                <w:sz w:val="22"/>
                <w:szCs w:val="22"/>
              </w:rPr>
              <w:t>民房</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lang w:val="en-US" w:eastAsia="zh-CN"/>
              </w:rPr>
              <w:t>旅馆</w:t>
            </w:r>
            <w:r>
              <w:rPr>
                <w:rFonts w:hint="default" w:ascii="Times New Roman" w:hAnsi="Times New Roman" w:eastAsia="宋体" w:cs="Times New Roman"/>
                <w:color w:val="auto"/>
                <w:sz w:val="22"/>
                <w:szCs w:val="22"/>
              </w:rPr>
              <w:t>解决食宿</w:t>
            </w:r>
            <w:bookmarkEnd w:id="175"/>
            <w:bookmarkEnd w:id="176"/>
            <w:bookmarkEnd w:id="177"/>
          </w:p>
        </w:tc>
        <w:tc>
          <w:tcPr>
            <w:tcW w:w="371" w:type="pct"/>
            <w:tcBorders>
              <w:top w:val="single" w:color="auto" w:sz="4" w:space="0"/>
              <w:left w:val="nil"/>
              <w:bottom w:val="single" w:color="auto" w:sz="4" w:space="0"/>
              <w:right w:val="single" w:color="auto" w:sz="4" w:space="0"/>
            </w:tcBorders>
            <w:noWrap w:val="0"/>
            <w:vAlign w:val="center"/>
          </w:tcPr>
          <w:p w14:paraId="218BA14C">
            <w:pPr>
              <w:pStyle w:val="103"/>
              <w:keepNext w:val="0"/>
              <w:spacing w:line="240" w:lineRule="auto"/>
              <w:jc w:val="center"/>
              <w:rPr>
                <w:rFonts w:hint="default" w:ascii="Times New Roman" w:hAnsi="Times New Roman" w:eastAsia="宋体" w:cs="Times New Roman"/>
                <w:color w:val="auto"/>
                <w:sz w:val="22"/>
                <w:szCs w:val="22"/>
              </w:rPr>
            </w:pPr>
            <w:bookmarkStart w:id="178" w:name="_Toc25770"/>
            <w:bookmarkStart w:id="179" w:name="_Toc26970"/>
            <w:bookmarkStart w:id="180" w:name="_Toc14384"/>
            <w:r>
              <w:rPr>
                <w:rFonts w:hint="default" w:ascii="Times New Roman" w:hAnsi="Times New Roman" w:eastAsia="宋体" w:cs="Times New Roman"/>
                <w:color w:val="auto"/>
                <w:sz w:val="22"/>
                <w:szCs w:val="22"/>
              </w:rPr>
              <w:t>依托</w:t>
            </w:r>
            <w:bookmarkEnd w:id="178"/>
            <w:bookmarkEnd w:id="179"/>
            <w:bookmarkEnd w:id="180"/>
          </w:p>
        </w:tc>
      </w:tr>
      <w:tr w14:paraId="27A2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top w:val="nil"/>
              <w:left w:val="single" w:color="auto" w:sz="4" w:space="0"/>
              <w:bottom w:val="single" w:color="auto" w:sz="4" w:space="0"/>
              <w:right w:val="single" w:color="auto" w:sz="4" w:space="0"/>
            </w:tcBorders>
            <w:noWrap w:val="0"/>
            <w:vAlign w:val="center"/>
          </w:tcPr>
          <w:p w14:paraId="0B09D9CE">
            <w:pPr>
              <w:widowControl/>
              <w:jc w:val="center"/>
              <w:rPr>
                <w:rFonts w:hint="default" w:ascii="Times New Roman" w:hAnsi="Times New Roman" w:eastAsia="宋体" w:cs="Times New Roman"/>
                <w:color w:val="auto"/>
                <w:sz w:val="22"/>
                <w:szCs w:val="22"/>
              </w:rPr>
            </w:pPr>
          </w:p>
        </w:tc>
        <w:tc>
          <w:tcPr>
            <w:tcW w:w="659" w:type="pct"/>
            <w:gridSpan w:val="2"/>
            <w:tcBorders>
              <w:top w:val="single" w:color="auto" w:sz="4" w:space="0"/>
              <w:left w:val="nil"/>
              <w:bottom w:val="single" w:color="auto" w:sz="4" w:space="0"/>
              <w:right w:val="single" w:color="auto" w:sz="4" w:space="0"/>
            </w:tcBorders>
            <w:noWrap w:val="0"/>
            <w:vAlign w:val="center"/>
          </w:tcPr>
          <w:p w14:paraId="1058D4DD">
            <w:pPr>
              <w:pStyle w:val="103"/>
              <w:keepNext w:val="0"/>
              <w:spacing w:line="240" w:lineRule="auto"/>
              <w:jc w:val="center"/>
              <w:rPr>
                <w:rFonts w:hint="default" w:ascii="Times New Roman" w:hAnsi="Times New Roman" w:eastAsia="宋体" w:cs="Times New Roman"/>
                <w:color w:val="auto"/>
                <w:sz w:val="22"/>
                <w:szCs w:val="22"/>
              </w:rPr>
            </w:pPr>
            <w:bookmarkStart w:id="181" w:name="_Toc25452"/>
            <w:bookmarkStart w:id="182" w:name="_Toc31738"/>
            <w:bookmarkStart w:id="183" w:name="_Toc15631"/>
            <w:r>
              <w:rPr>
                <w:rFonts w:hint="default" w:ascii="Times New Roman" w:hAnsi="Times New Roman" w:eastAsia="宋体" w:cs="Times New Roman"/>
                <w:color w:val="auto"/>
                <w:sz w:val="22"/>
                <w:szCs w:val="22"/>
              </w:rPr>
              <w:t>临时堆</w:t>
            </w:r>
          </w:p>
          <w:p w14:paraId="1E743E5F">
            <w:pPr>
              <w:pStyle w:val="103"/>
              <w:keepNext w:val="0"/>
              <w:spacing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管场</w:t>
            </w:r>
            <w:bookmarkEnd w:id="181"/>
            <w:bookmarkEnd w:id="182"/>
            <w:bookmarkEnd w:id="183"/>
          </w:p>
        </w:tc>
        <w:tc>
          <w:tcPr>
            <w:tcW w:w="3540" w:type="pct"/>
            <w:tcBorders>
              <w:top w:val="single" w:color="auto" w:sz="4" w:space="0"/>
              <w:left w:val="nil"/>
              <w:bottom w:val="single" w:color="auto" w:sz="4" w:space="0"/>
              <w:right w:val="single" w:color="auto" w:sz="4" w:space="0"/>
            </w:tcBorders>
            <w:noWrap w:val="0"/>
            <w:vAlign w:val="center"/>
          </w:tcPr>
          <w:p w14:paraId="244A5DD3">
            <w:pPr>
              <w:pStyle w:val="103"/>
              <w:keepNext w:val="0"/>
              <w:spacing w:line="240" w:lineRule="auto"/>
              <w:jc w:val="both"/>
              <w:rPr>
                <w:rFonts w:hint="default" w:ascii="Times New Roman" w:hAnsi="Times New Roman" w:eastAsia="宋体" w:cs="Times New Roman"/>
                <w:color w:val="auto"/>
                <w:sz w:val="22"/>
                <w:szCs w:val="22"/>
              </w:rPr>
            </w:pPr>
            <w:bookmarkStart w:id="184" w:name="_Toc2281"/>
            <w:bookmarkStart w:id="185" w:name="_Toc9716"/>
            <w:bookmarkStart w:id="186" w:name="_Toc27294"/>
            <w:r>
              <w:rPr>
                <w:rFonts w:hint="default" w:ascii="Times New Roman" w:hAnsi="Times New Roman" w:eastAsia="宋体" w:cs="Times New Roman"/>
                <w:color w:val="auto"/>
                <w:sz w:val="22"/>
                <w:szCs w:val="22"/>
              </w:rPr>
              <w:t>共设置临时堆管场</w:t>
            </w:r>
            <w:r>
              <w:rPr>
                <w:rFonts w:hint="default" w:ascii="Times New Roman" w:hAnsi="Times New Roman" w:eastAsia="宋体" w:cs="Times New Roman"/>
                <w:color w:val="auto"/>
                <w:sz w:val="22"/>
                <w:szCs w:val="22"/>
                <w:lang w:val="en-US" w:eastAsia="zh-CN"/>
              </w:rPr>
              <w:t>1</w:t>
            </w:r>
            <w:r>
              <w:rPr>
                <w:rFonts w:hint="default" w:ascii="Times New Roman" w:hAnsi="Times New Roman" w:eastAsia="宋体" w:cs="Times New Roman"/>
                <w:color w:val="auto"/>
                <w:sz w:val="22"/>
                <w:szCs w:val="22"/>
              </w:rPr>
              <w:t>处，总占地面积为</w:t>
            </w:r>
            <w:r>
              <w:rPr>
                <w:rFonts w:hint="default" w:ascii="Times New Roman" w:hAnsi="Times New Roman" w:eastAsia="宋体" w:cs="Times New Roman"/>
                <w:color w:val="auto"/>
                <w:sz w:val="22"/>
                <w:szCs w:val="22"/>
                <w:lang w:val="en-US" w:eastAsia="zh-CN"/>
              </w:rPr>
              <w:t>3</w:t>
            </w:r>
            <w:r>
              <w:rPr>
                <w:rFonts w:hint="default" w:ascii="Times New Roman" w:hAnsi="Times New Roman" w:eastAsia="宋体" w:cs="Times New Roman"/>
                <w:color w:val="auto"/>
                <w:sz w:val="22"/>
                <w:szCs w:val="22"/>
              </w:rPr>
              <w:t>00m</w:t>
            </w:r>
            <w:r>
              <w:rPr>
                <w:rFonts w:hint="default" w:ascii="Times New Roman" w:hAnsi="Times New Roman" w:eastAsia="宋体" w:cs="Times New Roman"/>
                <w:color w:val="auto"/>
                <w:sz w:val="22"/>
                <w:szCs w:val="22"/>
                <w:vertAlign w:val="superscript"/>
              </w:rPr>
              <w:t>2</w:t>
            </w:r>
            <w:r>
              <w:rPr>
                <w:rFonts w:hint="default" w:ascii="Times New Roman" w:hAnsi="Times New Roman" w:eastAsia="宋体" w:cs="Times New Roman"/>
                <w:color w:val="auto"/>
                <w:sz w:val="22"/>
                <w:szCs w:val="22"/>
              </w:rPr>
              <w:t>。</w:t>
            </w:r>
            <w:bookmarkEnd w:id="184"/>
            <w:bookmarkEnd w:id="185"/>
            <w:bookmarkEnd w:id="186"/>
          </w:p>
        </w:tc>
        <w:tc>
          <w:tcPr>
            <w:tcW w:w="371" w:type="pct"/>
            <w:tcBorders>
              <w:top w:val="single" w:color="auto" w:sz="4" w:space="0"/>
              <w:left w:val="nil"/>
              <w:bottom w:val="single" w:color="auto" w:sz="4" w:space="0"/>
              <w:right w:val="single" w:color="auto" w:sz="4" w:space="0"/>
            </w:tcBorders>
            <w:noWrap w:val="0"/>
            <w:vAlign w:val="center"/>
          </w:tcPr>
          <w:p w14:paraId="6A5693DD">
            <w:pPr>
              <w:pStyle w:val="103"/>
              <w:keepNext w:val="0"/>
              <w:spacing w:line="240" w:lineRule="auto"/>
              <w:jc w:val="center"/>
              <w:rPr>
                <w:rFonts w:hint="default" w:ascii="Times New Roman" w:hAnsi="Times New Roman" w:eastAsia="宋体" w:cs="Times New Roman"/>
                <w:color w:val="auto"/>
                <w:sz w:val="22"/>
                <w:szCs w:val="22"/>
              </w:rPr>
            </w:pPr>
            <w:bookmarkStart w:id="187" w:name="_Toc16401"/>
            <w:bookmarkStart w:id="188" w:name="_Toc28663"/>
            <w:bookmarkStart w:id="189" w:name="_Toc21479"/>
            <w:r>
              <w:rPr>
                <w:rFonts w:hint="default" w:ascii="Times New Roman" w:hAnsi="Times New Roman" w:eastAsia="宋体" w:cs="Times New Roman"/>
                <w:color w:val="auto"/>
                <w:sz w:val="22"/>
                <w:szCs w:val="22"/>
              </w:rPr>
              <w:t>新建</w:t>
            </w:r>
            <w:bookmarkEnd w:id="187"/>
            <w:bookmarkEnd w:id="188"/>
            <w:bookmarkEnd w:id="189"/>
          </w:p>
        </w:tc>
      </w:tr>
      <w:tr w14:paraId="4160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top w:val="nil"/>
              <w:left w:val="single" w:color="auto" w:sz="4" w:space="0"/>
              <w:bottom w:val="single" w:color="auto" w:sz="4" w:space="0"/>
              <w:right w:val="single" w:color="auto" w:sz="4" w:space="0"/>
            </w:tcBorders>
            <w:noWrap w:val="0"/>
            <w:vAlign w:val="center"/>
          </w:tcPr>
          <w:p w14:paraId="4A25140F">
            <w:pPr>
              <w:widowControl/>
              <w:jc w:val="center"/>
              <w:rPr>
                <w:rFonts w:hint="default" w:ascii="Times New Roman" w:hAnsi="Times New Roman" w:eastAsia="宋体" w:cs="Times New Roman"/>
                <w:color w:val="auto"/>
                <w:sz w:val="22"/>
                <w:szCs w:val="22"/>
              </w:rPr>
            </w:pPr>
          </w:p>
        </w:tc>
        <w:tc>
          <w:tcPr>
            <w:tcW w:w="659" w:type="pct"/>
            <w:gridSpan w:val="2"/>
            <w:tcBorders>
              <w:top w:val="single" w:color="auto" w:sz="4" w:space="0"/>
              <w:left w:val="nil"/>
              <w:bottom w:val="single" w:color="auto" w:sz="4" w:space="0"/>
              <w:right w:val="single" w:color="auto" w:sz="4" w:space="0"/>
            </w:tcBorders>
            <w:noWrap w:val="0"/>
            <w:vAlign w:val="center"/>
          </w:tcPr>
          <w:p w14:paraId="2A4FB991">
            <w:pPr>
              <w:pStyle w:val="103"/>
              <w:keepNext w:val="0"/>
              <w:spacing w:line="240" w:lineRule="auto"/>
              <w:jc w:val="center"/>
              <w:rPr>
                <w:rFonts w:hint="default" w:ascii="Times New Roman" w:hAnsi="Times New Roman" w:eastAsia="宋体" w:cs="Times New Roman"/>
                <w:color w:val="auto"/>
                <w:sz w:val="22"/>
                <w:szCs w:val="22"/>
              </w:rPr>
            </w:pPr>
            <w:bookmarkStart w:id="190" w:name="_Toc6674"/>
            <w:bookmarkStart w:id="191" w:name="_Toc26121"/>
            <w:bookmarkStart w:id="192" w:name="_Toc20547"/>
            <w:r>
              <w:rPr>
                <w:rFonts w:hint="default" w:ascii="Times New Roman" w:hAnsi="Times New Roman" w:eastAsia="宋体" w:cs="Times New Roman"/>
                <w:color w:val="auto"/>
                <w:sz w:val="22"/>
                <w:szCs w:val="22"/>
              </w:rPr>
              <w:t>施工</w:t>
            </w:r>
          </w:p>
          <w:p w14:paraId="5A339EA6">
            <w:pPr>
              <w:pStyle w:val="103"/>
              <w:keepNext w:val="0"/>
              <w:spacing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作业带</w:t>
            </w:r>
            <w:bookmarkEnd w:id="190"/>
            <w:bookmarkEnd w:id="191"/>
            <w:bookmarkEnd w:id="192"/>
          </w:p>
        </w:tc>
        <w:tc>
          <w:tcPr>
            <w:tcW w:w="3540" w:type="pct"/>
            <w:tcBorders>
              <w:top w:val="single" w:color="auto" w:sz="4" w:space="0"/>
              <w:left w:val="nil"/>
              <w:bottom w:val="single" w:color="auto" w:sz="4" w:space="0"/>
              <w:right w:val="single" w:color="auto" w:sz="4" w:space="0"/>
            </w:tcBorders>
            <w:noWrap w:val="0"/>
            <w:vAlign w:val="center"/>
          </w:tcPr>
          <w:p w14:paraId="5E6F87B9">
            <w:pPr>
              <w:pStyle w:val="103"/>
              <w:keepNext w:val="0"/>
              <w:spacing w:line="240" w:lineRule="auto"/>
              <w:jc w:val="both"/>
              <w:rPr>
                <w:rFonts w:hint="default" w:ascii="Times New Roman" w:hAnsi="Times New Roman" w:eastAsia="宋体" w:cs="Times New Roman"/>
                <w:color w:val="auto"/>
                <w:sz w:val="22"/>
                <w:szCs w:val="22"/>
              </w:rPr>
            </w:pPr>
            <w:bookmarkStart w:id="193" w:name="_Toc5447"/>
            <w:bookmarkStart w:id="194" w:name="_Toc30111"/>
            <w:bookmarkStart w:id="195" w:name="_Toc13207"/>
            <w:r>
              <w:rPr>
                <w:rFonts w:hint="default" w:ascii="Times New Roman" w:hAnsi="Times New Roman" w:eastAsia="宋体" w:cs="Times New Roman"/>
                <w:color w:val="auto"/>
                <w:sz w:val="22"/>
                <w:szCs w:val="22"/>
              </w:rPr>
              <w:t>施工作业带宽度</w:t>
            </w:r>
            <w:r>
              <w:rPr>
                <w:rFonts w:hint="default" w:ascii="Times New Roman" w:hAnsi="Times New Roman" w:eastAsia="宋体" w:cs="Times New Roman"/>
                <w:color w:val="auto"/>
                <w:sz w:val="22"/>
                <w:szCs w:val="22"/>
                <w:lang w:val="en-US" w:eastAsia="zh-CN"/>
              </w:rPr>
              <w:t>8</w:t>
            </w:r>
            <w:r>
              <w:rPr>
                <w:rFonts w:hint="default" w:ascii="Times New Roman" w:hAnsi="Times New Roman" w:eastAsia="宋体" w:cs="Times New Roman"/>
                <w:color w:val="auto"/>
                <w:sz w:val="22"/>
                <w:szCs w:val="22"/>
              </w:rPr>
              <w:t>m</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lang w:val="en-US" w:eastAsia="zh-CN"/>
              </w:rPr>
              <w:t>穿越天然林、永久基本农田段为6m</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，总占地面积</w:t>
            </w:r>
            <w:r>
              <w:rPr>
                <w:rFonts w:hint="default" w:ascii="Times New Roman" w:hAnsi="Times New Roman" w:eastAsia="宋体" w:cs="Times New Roman"/>
                <w:color w:val="auto"/>
                <w:sz w:val="22"/>
                <w:szCs w:val="22"/>
                <w:lang w:val="en-US" w:eastAsia="zh-CN"/>
              </w:rPr>
              <w:t>0.91h</w:t>
            </w:r>
            <w:r>
              <w:rPr>
                <w:rFonts w:hint="default" w:ascii="Times New Roman" w:hAnsi="Times New Roman" w:eastAsia="宋体" w:cs="Times New Roman"/>
                <w:color w:val="auto"/>
                <w:sz w:val="22"/>
                <w:szCs w:val="22"/>
              </w:rPr>
              <w:t>m</w:t>
            </w:r>
            <w:r>
              <w:rPr>
                <w:rFonts w:hint="default" w:ascii="Times New Roman" w:hAnsi="Times New Roman" w:eastAsia="宋体" w:cs="Times New Roman"/>
                <w:color w:val="auto"/>
                <w:sz w:val="22"/>
                <w:szCs w:val="22"/>
                <w:vertAlign w:val="superscript"/>
              </w:rPr>
              <w:t>2</w:t>
            </w:r>
            <w:bookmarkEnd w:id="193"/>
            <w:bookmarkEnd w:id="194"/>
            <w:bookmarkEnd w:id="195"/>
          </w:p>
        </w:tc>
        <w:tc>
          <w:tcPr>
            <w:tcW w:w="371" w:type="pct"/>
            <w:tcBorders>
              <w:top w:val="single" w:color="auto" w:sz="4" w:space="0"/>
              <w:left w:val="nil"/>
              <w:bottom w:val="single" w:color="auto" w:sz="4" w:space="0"/>
              <w:right w:val="single" w:color="auto" w:sz="4" w:space="0"/>
            </w:tcBorders>
            <w:noWrap w:val="0"/>
            <w:vAlign w:val="center"/>
          </w:tcPr>
          <w:p w14:paraId="24EA7AE5">
            <w:pPr>
              <w:pStyle w:val="103"/>
              <w:keepNext w:val="0"/>
              <w:spacing w:line="240" w:lineRule="auto"/>
              <w:jc w:val="center"/>
              <w:rPr>
                <w:rFonts w:hint="default" w:ascii="Times New Roman" w:hAnsi="Times New Roman" w:eastAsia="宋体" w:cs="Times New Roman"/>
                <w:color w:val="auto"/>
                <w:sz w:val="22"/>
                <w:szCs w:val="22"/>
              </w:rPr>
            </w:pPr>
            <w:bookmarkStart w:id="196" w:name="_Toc17659"/>
            <w:bookmarkStart w:id="197" w:name="_Toc4269"/>
            <w:bookmarkStart w:id="198" w:name="_Toc26548"/>
            <w:r>
              <w:rPr>
                <w:rFonts w:hint="default" w:ascii="Times New Roman" w:hAnsi="Times New Roman" w:eastAsia="宋体" w:cs="Times New Roman"/>
                <w:color w:val="auto"/>
                <w:sz w:val="22"/>
                <w:szCs w:val="22"/>
              </w:rPr>
              <w:t>新建</w:t>
            </w:r>
            <w:bookmarkEnd w:id="196"/>
            <w:bookmarkEnd w:id="197"/>
            <w:bookmarkEnd w:id="198"/>
          </w:p>
        </w:tc>
      </w:tr>
      <w:tr w14:paraId="74F8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restart"/>
            <w:tcBorders>
              <w:top w:val="nil"/>
              <w:left w:val="single" w:color="auto" w:sz="4" w:space="0"/>
              <w:right w:val="single" w:color="auto" w:sz="4" w:space="0"/>
            </w:tcBorders>
            <w:noWrap w:val="0"/>
            <w:vAlign w:val="center"/>
          </w:tcPr>
          <w:p w14:paraId="12E1F347">
            <w:pPr>
              <w:widowControl/>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环保</w:t>
            </w:r>
          </w:p>
          <w:p w14:paraId="5295872B">
            <w:pPr>
              <w:widowControl/>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工程</w:t>
            </w:r>
          </w:p>
        </w:tc>
        <w:tc>
          <w:tcPr>
            <w:tcW w:w="315" w:type="pct"/>
            <w:vMerge w:val="restart"/>
            <w:tcBorders>
              <w:top w:val="single" w:color="auto" w:sz="4" w:space="0"/>
              <w:left w:val="nil"/>
              <w:right w:val="single" w:color="auto" w:sz="4" w:space="0"/>
            </w:tcBorders>
            <w:noWrap w:val="0"/>
            <w:vAlign w:val="center"/>
          </w:tcPr>
          <w:p w14:paraId="2C95708B">
            <w:pPr>
              <w:pStyle w:val="103"/>
              <w:keepNext w:val="0"/>
              <w:spacing w:line="240" w:lineRule="auto"/>
              <w:jc w:val="center"/>
              <w:rPr>
                <w:rFonts w:hint="default" w:ascii="Times New Roman" w:hAnsi="Times New Roman" w:eastAsia="宋体" w:cs="Times New Roman"/>
                <w:color w:val="auto"/>
                <w:sz w:val="22"/>
                <w:szCs w:val="22"/>
              </w:rPr>
            </w:pPr>
            <w:bookmarkStart w:id="199" w:name="_Toc6400"/>
            <w:bookmarkStart w:id="200" w:name="_Toc14347"/>
            <w:bookmarkStart w:id="201" w:name="_Toc10382"/>
            <w:r>
              <w:rPr>
                <w:rFonts w:hint="default" w:ascii="Times New Roman" w:hAnsi="Times New Roman" w:eastAsia="宋体" w:cs="Times New Roman"/>
                <w:color w:val="auto"/>
                <w:sz w:val="22"/>
                <w:szCs w:val="22"/>
              </w:rPr>
              <w:t>废气</w:t>
            </w:r>
            <w:bookmarkEnd w:id="199"/>
            <w:bookmarkEnd w:id="200"/>
            <w:bookmarkEnd w:id="201"/>
          </w:p>
        </w:tc>
        <w:tc>
          <w:tcPr>
            <w:tcW w:w="344" w:type="pct"/>
            <w:tcBorders>
              <w:top w:val="single" w:color="auto" w:sz="4" w:space="0"/>
              <w:left w:val="nil"/>
              <w:bottom w:val="single" w:color="auto" w:sz="4" w:space="0"/>
              <w:right w:val="single" w:color="auto" w:sz="4" w:space="0"/>
            </w:tcBorders>
            <w:noWrap w:val="0"/>
            <w:vAlign w:val="center"/>
          </w:tcPr>
          <w:p w14:paraId="111E2506">
            <w:pPr>
              <w:pStyle w:val="103"/>
              <w:keepNext w:val="0"/>
              <w:spacing w:line="240" w:lineRule="auto"/>
              <w:jc w:val="center"/>
              <w:rPr>
                <w:rFonts w:hint="default" w:ascii="Times New Roman" w:hAnsi="Times New Roman" w:eastAsia="宋体" w:cs="Times New Roman"/>
                <w:color w:val="auto"/>
                <w:sz w:val="22"/>
                <w:szCs w:val="22"/>
              </w:rPr>
            </w:pPr>
            <w:bookmarkStart w:id="202" w:name="_Toc3897"/>
            <w:bookmarkStart w:id="203" w:name="_Toc26884"/>
            <w:bookmarkStart w:id="204" w:name="_Toc9313"/>
            <w:r>
              <w:rPr>
                <w:rFonts w:hint="default" w:ascii="Times New Roman" w:hAnsi="Times New Roman" w:eastAsia="宋体" w:cs="Times New Roman"/>
                <w:color w:val="auto"/>
                <w:sz w:val="22"/>
                <w:szCs w:val="22"/>
              </w:rPr>
              <w:t>施工扬尘</w:t>
            </w:r>
            <w:bookmarkEnd w:id="202"/>
            <w:bookmarkEnd w:id="203"/>
            <w:bookmarkEnd w:id="204"/>
          </w:p>
        </w:tc>
        <w:tc>
          <w:tcPr>
            <w:tcW w:w="3540" w:type="pct"/>
            <w:tcBorders>
              <w:top w:val="single" w:color="auto" w:sz="4" w:space="0"/>
              <w:left w:val="nil"/>
              <w:bottom w:val="single" w:color="auto" w:sz="4" w:space="0"/>
              <w:right w:val="single" w:color="auto" w:sz="4" w:space="0"/>
            </w:tcBorders>
            <w:noWrap w:val="0"/>
            <w:vAlign w:val="center"/>
          </w:tcPr>
          <w:p w14:paraId="0640D293">
            <w:pPr>
              <w:jc w:val="both"/>
              <w:rPr>
                <w:rFonts w:hint="default" w:ascii="Times New Roman" w:hAnsi="Times New Roman" w:eastAsia="宋体" w:cs="Times New Roman"/>
                <w:bCs/>
                <w:color w:val="auto"/>
                <w:kern w:val="44"/>
                <w:sz w:val="22"/>
                <w:szCs w:val="22"/>
              </w:rPr>
            </w:pPr>
            <w:r>
              <w:rPr>
                <w:rFonts w:hint="default" w:ascii="Times New Roman" w:hAnsi="Times New Roman" w:eastAsia="宋体" w:cs="Times New Roman"/>
                <w:bCs/>
                <w:color w:val="auto"/>
                <w:kern w:val="44"/>
                <w:sz w:val="22"/>
                <w:szCs w:val="22"/>
              </w:rPr>
              <w:t>工程管沟开挖主要采用机械开挖为主，人工开挖为辅的方式，避免大风天气作业</w:t>
            </w:r>
            <w:r>
              <w:rPr>
                <w:rFonts w:hint="default" w:ascii="Times New Roman" w:hAnsi="Times New Roman" w:eastAsia="宋体" w:cs="Times New Roman"/>
                <w:bCs/>
                <w:color w:val="auto"/>
                <w:kern w:val="44"/>
                <w:sz w:val="22"/>
                <w:szCs w:val="22"/>
                <w:lang w:eastAsia="zh-CN"/>
              </w:rPr>
              <w:t>，</w:t>
            </w:r>
            <w:r>
              <w:rPr>
                <w:rFonts w:hint="default" w:ascii="Times New Roman" w:hAnsi="Times New Roman" w:eastAsia="宋体" w:cs="Times New Roman"/>
                <w:bCs/>
                <w:color w:val="auto"/>
                <w:kern w:val="44"/>
                <w:sz w:val="22"/>
                <w:szCs w:val="22"/>
              </w:rPr>
              <w:t>根据天气以及施工场地起尘情况进行洒水抑尘。</w:t>
            </w:r>
          </w:p>
        </w:tc>
        <w:tc>
          <w:tcPr>
            <w:tcW w:w="371" w:type="pct"/>
            <w:tcBorders>
              <w:top w:val="single" w:color="auto" w:sz="4" w:space="0"/>
              <w:left w:val="nil"/>
              <w:bottom w:val="single" w:color="auto" w:sz="4" w:space="0"/>
              <w:right w:val="single" w:color="auto" w:sz="4" w:space="0"/>
            </w:tcBorders>
            <w:noWrap w:val="0"/>
            <w:vAlign w:val="center"/>
          </w:tcPr>
          <w:p w14:paraId="73912ADE">
            <w:pPr>
              <w:pStyle w:val="103"/>
              <w:keepNext w:val="0"/>
              <w:spacing w:line="240" w:lineRule="auto"/>
              <w:jc w:val="center"/>
              <w:rPr>
                <w:rFonts w:hint="default" w:ascii="Times New Roman" w:hAnsi="Times New Roman" w:eastAsia="宋体" w:cs="Times New Roman"/>
                <w:color w:val="auto"/>
                <w:sz w:val="22"/>
                <w:szCs w:val="22"/>
              </w:rPr>
            </w:pPr>
            <w:bookmarkStart w:id="205" w:name="_Toc19428"/>
            <w:bookmarkStart w:id="206" w:name="_Toc17802"/>
            <w:bookmarkStart w:id="207" w:name="_Toc21506"/>
            <w:r>
              <w:rPr>
                <w:rFonts w:hint="default" w:ascii="Times New Roman" w:hAnsi="Times New Roman" w:eastAsia="宋体" w:cs="Times New Roman"/>
                <w:color w:val="auto"/>
                <w:sz w:val="22"/>
                <w:szCs w:val="22"/>
              </w:rPr>
              <w:t>/</w:t>
            </w:r>
            <w:bookmarkEnd w:id="205"/>
            <w:bookmarkEnd w:id="206"/>
            <w:bookmarkEnd w:id="207"/>
          </w:p>
        </w:tc>
      </w:tr>
      <w:tr w14:paraId="2EA1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left w:val="single" w:color="auto" w:sz="4" w:space="0"/>
              <w:right w:val="single" w:color="auto" w:sz="4" w:space="0"/>
            </w:tcBorders>
            <w:noWrap w:val="0"/>
            <w:vAlign w:val="center"/>
          </w:tcPr>
          <w:p w14:paraId="7DBBA7BD">
            <w:pPr>
              <w:widowControl/>
              <w:jc w:val="center"/>
              <w:rPr>
                <w:rFonts w:hint="default" w:ascii="Times New Roman" w:hAnsi="Times New Roman" w:eastAsia="宋体" w:cs="Times New Roman"/>
                <w:color w:val="auto"/>
                <w:sz w:val="22"/>
                <w:szCs w:val="22"/>
              </w:rPr>
            </w:pPr>
          </w:p>
        </w:tc>
        <w:tc>
          <w:tcPr>
            <w:tcW w:w="315" w:type="pct"/>
            <w:vMerge w:val="continue"/>
            <w:tcBorders>
              <w:left w:val="nil"/>
              <w:right w:val="single" w:color="auto" w:sz="4" w:space="0"/>
            </w:tcBorders>
            <w:noWrap w:val="0"/>
            <w:vAlign w:val="center"/>
          </w:tcPr>
          <w:p w14:paraId="6316E6BA">
            <w:pPr>
              <w:pStyle w:val="103"/>
              <w:keepNext w:val="0"/>
              <w:spacing w:line="240" w:lineRule="auto"/>
              <w:jc w:val="center"/>
              <w:rPr>
                <w:rFonts w:hint="default" w:ascii="Times New Roman" w:hAnsi="Times New Roman" w:eastAsia="宋体" w:cs="Times New Roman"/>
                <w:color w:val="auto"/>
                <w:sz w:val="22"/>
                <w:szCs w:val="22"/>
              </w:rPr>
            </w:pPr>
          </w:p>
        </w:tc>
        <w:tc>
          <w:tcPr>
            <w:tcW w:w="344" w:type="pct"/>
            <w:tcBorders>
              <w:top w:val="single" w:color="auto" w:sz="4" w:space="0"/>
              <w:left w:val="nil"/>
              <w:bottom w:val="single" w:color="auto" w:sz="4" w:space="0"/>
              <w:right w:val="single" w:color="auto" w:sz="4" w:space="0"/>
            </w:tcBorders>
            <w:noWrap w:val="0"/>
            <w:vAlign w:val="center"/>
          </w:tcPr>
          <w:p w14:paraId="5C6C7209">
            <w:pPr>
              <w:jc w:val="center"/>
              <w:rPr>
                <w:rFonts w:hint="default" w:ascii="Times New Roman" w:hAnsi="Times New Roman" w:eastAsia="宋体" w:cs="Times New Roman"/>
                <w:bCs/>
                <w:color w:val="auto"/>
                <w:kern w:val="44"/>
                <w:sz w:val="22"/>
                <w:szCs w:val="22"/>
              </w:rPr>
            </w:pPr>
            <w:r>
              <w:rPr>
                <w:rFonts w:hint="default" w:ascii="Times New Roman" w:hAnsi="Times New Roman" w:eastAsia="宋体" w:cs="Times New Roman"/>
                <w:bCs/>
                <w:color w:val="auto"/>
                <w:kern w:val="44"/>
                <w:sz w:val="22"/>
                <w:szCs w:val="22"/>
              </w:rPr>
              <w:t>施工机具尾气</w:t>
            </w:r>
          </w:p>
        </w:tc>
        <w:tc>
          <w:tcPr>
            <w:tcW w:w="3540" w:type="pct"/>
            <w:tcBorders>
              <w:top w:val="single" w:color="auto" w:sz="4" w:space="0"/>
              <w:left w:val="nil"/>
              <w:bottom w:val="single" w:color="auto" w:sz="4" w:space="0"/>
              <w:right w:val="single" w:color="auto" w:sz="4" w:space="0"/>
            </w:tcBorders>
            <w:noWrap w:val="0"/>
            <w:vAlign w:val="center"/>
          </w:tcPr>
          <w:p w14:paraId="5B1D1611">
            <w:pPr>
              <w:jc w:val="both"/>
              <w:rPr>
                <w:rFonts w:hint="default" w:ascii="Times New Roman" w:hAnsi="Times New Roman" w:eastAsia="宋体" w:cs="Times New Roman"/>
                <w:bCs/>
                <w:color w:val="auto"/>
                <w:kern w:val="44"/>
                <w:sz w:val="22"/>
                <w:szCs w:val="22"/>
              </w:rPr>
            </w:pPr>
            <w:r>
              <w:rPr>
                <w:rFonts w:hint="default" w:ascii="Times New Roman" w:hAnsi="Times New Roman" w:eastAsia="宋体" w:cs="Times New Roman"/>
                <w:bCs/>
                <w:color w:val="auto"/>
                <w:kern w:val="44"/>
                <w:sz w:val="22"/>
                <w:szCs w:val="22"/>
              </w:rPr>
              <w:t>施工期较短，产生的废气量较小，项目施工现场位于开阔地带，自然扩散。</w:t>
            </w:r>
          </w:p>
        </w:tc>
        <w:tc>
          <w:tcPr>
            <w:tcW w:w="371" w:type="pct"/>
            <w:tcBorders>
              <w:top w:val="single" w:color="auto" w:sz="4" w:space="0"/>
              <w:left w:val="nil"/>
              <w:bottom w:val="single" w:color="auto" w:sz="4" w:space="0"/>
              <w:right w:val="single" w:color="auto" w:sz="4" w:space="0"/>
            </w:tcBorders>
            <w:noWrap w:val="0"/>
            <w:vAlign w:val="center"/>
          </w:tcPr>
          <w:p w14:paraId="61A647DC">
            <w:pPr>
              <w:pStyle w:val="103"/>
              <w:keepNext w:val="0"/>
              <w:spacing w:line="240" w:lineRule="auto"/>
              <w:jc w:val="center"/>
              <w:rPr>
                <w:rFonts w:hint="default" w:ascii="Times New Roman" w:hAnsi="Times New Roman" w:eastAsia="宋体" w:cs="Times New Roman"/>
                <w:color w:val="auto"/>
                <w:sz w:val="22"/>
                <w:szCs w:val="22"/>
              </w:rPr>
            </w:pPr>
            <w:bookmarkStart w:id="208" w:name="_Toc20540"/>
            <w:bookmarkStart w:id="209" w:name="_Toc16917"/>
            <w:bookmarkStart w:id="210" w:name="_Toc30681"/>
            <w:r>
              <w:rPr>
                <w:rFonts w:hint="default" w:ascii="Times New Roman" w:hAnsi="Times New Roman" w:eastAsia="宋体" w:cs="Times New Roman"/>
                <w:color w:val="auto"/>
                <w:sz w:val="22"/>
                <w:szCs w:val="22"/>
              </w:rPr>
              <w:t>/</w:t>
            </w:r>
            <w:bookmarkEnd w:id="208"/>
            <w:bookmarkEnd w:id="209"/>
            <w:bookmarkEnd w:id="210"/>
          </w:p>
        </w:tc>
      </w:tr>
      <w:tr w14:paraId="1B80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left w:val="single" w:color="auto" w:sz="4" w:space="0"/>
              <w:right w:val="single" w:color="auto" w:sz="4" w:space="0"/>
            </w:tcBorders>
            <w:noWrap w:val="0"/>
            <w:vAlign w:val="center"/>
          </w:tcPr>
          <w:p w14:paraId="2ACCADF1">
            <w:pPr>
              <w:widowControl/>
              <w:jc w:val="center"/>
              <w:rPr>
                <w:rFonts w:hint="default" w:ascii="Times New Roman" w:hAnsi="Times New Roman" w:eastAsia="宋体" w:cs="Times New Roman"/>
                <w:color w:val="auto"/>
                <w:sz w:val="22"/>
                <w:szCs w:val="22"/>
              </w:rPr>
            </w:pPr>
          </w:p>
        </w:tc>
        <w:tc>
          <w:tcPr>
            <w:tcW w:w="315" w:type="pct"/>
            <w:vMerge w:val="continue"/>
            <w:tcBorders>
              <w:left w:val="nil"/>
              <w:right w:val="single" w:color="auto" w:sz="4" w:space="0"/>
            </w:tcBorders>
            <w:noWrap w:val="0"/>
            <w:vAlign w:val="center"/>
          </w:tcPr>
          <w:p w14:paraId="06789010">
            <w:pPr>
              <w:pStyle w:val="103"/>
              <w:keepNext w:val="0"/>
              <w:spacing w:line="240" w:lineRule="auto"/>
              <w:jc w:val="center"/>
              <w:rPr>
                <w:rFonts w:hint="default" w:ascii="Times New Roman" w:hAnsi="Times New Roman" w:eastAsia="宋体" w:cs="Times New Roman"/>
                <w:color w:val="auto"/>
                <w:sz w:val="22"/>
                <w:szCs w:val="22"/>
              </w:rPr>
            </w:pPr>
          </w:p>
        </w:tc>
        <w:tc>
          <w:tcPr>
            <w:tcW w:w="344" w:type="pct"/>
            <w:tcBorders>
              <w:top w:val="single" w:color="auto" w:sz="4" w:space="0"/>
              <w:left w:val="nil"/>
              <w:bottom w:val="single" w:color="auto" w:sz="4" w:space="0"/>
              <w:right w:val="single" w:color="auto" w:sz="4" w:space="0"/>
            </w:tcBorders>
            <w:noWrap w:val="0"/>
            <w:vAlign w:val="center"/>
          </w:tcPr>
          <w:p w14:paraId="6C77C174">
            <w:pPr>
              <w:jc w:val="center"/>
              <w:rPr>
                <w:rFonts w:hint="default" w:ascii="Times New Roman" w:hAnsi="Times New Roman" w:eastAsia="宋体" w:cs="Times New Roman"/>
                <w:bCs/>
                <w:color w:val="auto"/>
                <w:kern w:val="44"/>
                <w:sz w:val="22"/>
                <w:szCs w:val="22"/>
              </w:rPr>
            </w:pPr>
            <w:r>
              <w:rPr>
                <w:rFonts w:hint="default" w:ascii="Times New Roman" w:hAnsi="Times New Roman" w:eastAsia="宋体" w:cs="Times New Roman"/>
                <w:bCs/>
                <w:color w:val="auto"/>
                <w:kern w:val="44"/>
                <w:sz w:val="22"/>
                <w:szCs w:val="22"/>
              </w:rPr>
              <w:t>焊接烟尘</w:t>
            </w:r>
          </w:p>
        </w:tc>
        <w:tc>
          <w:tcPr>
            <w:tcW w:w="3540" w:type="pct"/>
            <w:tcBorders>
              <w:top w:val="single" w:color="auto" w:sz="4" w:space="0"/>
              <w:left w:val="nil"/>
              <w:bottom w:val="single" w:color="auto" w:sz="4" w:space="0"/>
              <w:right w:val="single" w:color="auto" w:sz="4" w:space="0"/>
            </w:tcBorders>
            <w:noWrap w:val="0"/>
            <w:vAlign w:val="center"/>
          </w:tcPr>
          <w:p w14:paraId="31761F47">
            <w:pPr>
              <w:jc w:val="center"/>
              <w:rPr>
                <w:rFonts w:hint="default" w:ascii="Times New Roman" w:hAnsi="Times New Roman" w:eastAsia="宋体" w:cs="Times New Roman"/>
                <w:bCs/>
                <w:color w:val="auto"/>
                <w:kern w:val="44"/>
                <w:sz w:val="22"/>
                <w:szCs w:val="22"/>
              </w:rPr>
            </w:pPr>
            <w:r>
              <w:rPr>
                <w:rFonts w:hint="default" w:ascii="Times New Roman" w:hAnsi="Times New Roman" w:eastAsia="宋体" w:cs="Times New Roman"/>
                <w:bCs/>
                <w:color w:val="auto"/>
                <w:kern w:val="44"/>
                <w:sz w:val="22"/>
                <w:szCs w:val="22"/>
              </w:rPr>
              <w:t>焊接工程量小，焊接烟尘产生量较小，自然扩散。</w:t>
            </w:r>
          </w:p>
        </w:tc>
        <w:tc>
          <w:tcPr>
            <w:tcW w:w="371" w:type="pct"/>
            <w:tcBorders>
              <w:top w:val="single" w:color="auto" w:sz="4" w:space="0"/>
              <w:left w:val="nil"/>
              <w:bottom w:val="single" w:color="auto" w:sz="4" w:space="0"/>
              <w:right w:val="single" w:color="auto" w:sz="4" w:space="0"/>
            </w:tcBorders>
            <w:noWrap w:val="0"/>
            <w:vAlign w:val="center"/>
          </w:tcPr>
          <w:p w14:paraId="30782B49">
            <w:pPr>
              <w:pStyle w:val="103"/>
              <w:keepNext w:val="0"/>
              <w:spacing w:line="240" w:lineRule="auto"/>
              <w:jc w:val="center"/>
              <w:rPr>
                <w:rFonts w:hint="default" w:ascii="Times New Roman" w:hAnsi="Times New Roman" w:eastAsia="宋体" w:cs="Times New Roman"/>
                <w:color w:val="auto"/>
                <w:sz w:val="22"/>
                <w:szCs w:val="22"/>
              </w:rPr>
            </w:pPr>
            <w:bookmarkStart w:id="211" w:name="_Toc1722"/>
            <w:bookmarkStart w:id="212" w:name="_Toc7420"/>
            <w:bookmarkStart w:id="213" w:name="_Toc31806"/>
            <w:r>
              <w:rPr>
                <w:rFonts w:hint="default" w:ascii="Times New Roman" w:hAnsi="Times New Roman" w:eastAsia="宋体" w:cs="Times New Roman"/>
                <w:color w:val="auto"/>
                <w:sz w:val="22"/>
                <w:szCs w:val="22"/>
              </w:rPr>
              <w:t>/</w:t>
            </w:r>
            <w:bookmarkEnd w:id="211"/>
            <w:bookmarkEnd w:id="212"/>
            <w:bookmarkEnd w:id="213"/>
          </w:p>
        </w:tc>
      </w:tr>
      <w:tr w14:paraId="7EC1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left w:val="single" w:color="auto" w:sz="4" w:space="0"/>
              <w:right w:val="single" w:color="auto" w:sz="4" w:space="0"/>
            </w:tcBorders>
            <w:noWrap w:val="0"/>
            <w:vAlign w:val="center"/>
          </w:tcPr>
          <w:p w14:paraId="7292A20F">
            <w:pPr>
              <w:widowControl/>
              <w:jc w:val="center"/>
              <w:rPr>
                <w:rFonts w:hint="default" w:ascii="Times New Roman" w:hAnsi="Times New Roman" w:eastAsia="宋体" w:cs="Times New Roman"/>
                <w:color w:val="auto"/>
                <w:sz w:val="22"/>
                <w:szCs w:val="22"/>
              </w:rPr>
            </w:pPr>
          </w:p>
        </w:tc>
        <w:tc>
          <w:tcPr>
            <w:tcW w:w="315" w:type="pct"/>
            <w:vMerge w:val="continue"/>
            <w:tcBorders>
              <w:left w:val="nil"/>
              <w:bottom w:val="single" w:color="auto" w:sz="4" w:space="0"/>
              <w:right w:val="single" w:color="auto" w:sz="4" w:space="0"/>
            </w:tcBorders>
            <w:noWrap w:val="0"/>
            <w:vAlign w:val="center"/>
          </w:tcPr>
          <w:p w14:paraId="55BF2963">
            <w:pPr>
              <w:pStyle w:val="103"/>
              <w:keepNext w:val="0"/>
              <w:spacing w:line="240" w:lineRule="auto"/>
              <w:jc w:val="center"/>
              <w:rPr>
                <w:rFonts w:hint="default" w:ascii="Times New Roman" w:hAnsi="Times New Roman" w:eastAsia="宋体" w:cs="Times New Roman"/>
                <w:color w:val="auto"/>
                <w:sz w:val="22"/>
                <w:szCs w:val="22"/>
              </w:rPr>
            </w:pPr>
          </w:p>
        </w:tc>
        <w:tc>
          <w:tcPr>
            <w:tcW w:w="344" w:type="pct"/>
            <w:tcBorders>
              <w:top w:val="single" w:color="auto" w:sz="4" w:space="0"/>
              <w:left w:val="nil"/>
              <w:bottom w:val="single" w:color="auto" w:sz="4" w:space="0"/>
              <w:right w:val="single" w:color="auto" w:sz="4" w:space="0"/>
            </w:tcBorders>
            <w:noWrap w:val="0"/>
            <w:vAlign w:val="center"/>
          </w:tcPr>
          <w:p w14:paraId="2557025E">
            <w:pPr>
              <w:jc w:val="center"/>
              <w:rPr>
                <w:rFonts w:hint="default" w:ascii="Times New Roman" w:hAnsi="Times New Roman" w:eastAsia="宋体" w:cs="Times New Roman"/>
                <w:bCs/>
                <w:color w:val="auto"/>
                <w:kern w:val="44"/>
                <w:sz w:val="22"/>
                <w:szCs w:val="22"/>
              </w:rPr>
            </w:pPr>
            <w:r>
              <w:rPr>
                <w:rFonts w:hint="default" w:ascii="Times New Roman" w:hAnsi="Times New Roman" w:eastAsia="宋体" w:cs="Times New Roman"/>
                <w:bCs/>
                <w:color w:val="auto"/>
                <w:kern w:val="44"/>
                <w:sz w:val="22"/>
                <w:szCs w:val="22"/>
              </w:rPr>
              <w:t>放散废气</w:t>
            </w:r>
          </w:p>
        </w:tc>
        <w:tc>
          <w:tcPr>
            <w:tcW w:w="3540" w:type="pct"/>
            <w:tcBorders>
              <w:top w:val="single" w:color="auto" w:sz="4" w:space="0"/>
              <w:left w:val="nil"/>
              <w:bottom w:val="single" w:color="auto" w:sz="4" w:space="0"/>
              <w:right w:val="single" w:color="auto" w:sz="4" w:space="0"/>
            </w:tcBorders>
            <w:noWrap w:val="0"/>
            <w:vAlign w:val="center"/>
          </w:tcPr>
          <w:p w14:paraId="6366B45C">
            <w:pPr>
              <w:jc w:val="both"/>
              <w:rPr>
                <w:rFonts w:hint="default" w:ascii="Times New Roman" w:hAnsi="Times New Roman" w:eastAsia="宋体" w:cs="Times New Roman"/>
                <w:bCs/>
                <w:color w:val="auto"/>
                <w:kern w:val="44"/>
                <w:sz w:val="22"/>
                <w:szCs w:val="22"/>
              </w:rPr>
            </w:pPr>
            <w:r>
              <w:rPr>
                <w:rFonts w:hint="default" w:ascii="Times New Roman" w:hAnsi="Times New Roman" w:eastAsia="宋体" w:cs="Times New Roman"/>
                <w:color w:val="auto"/>
                <w:sz w:val="22"/>
                <w:szCs w:val="22"/>
              </w:rPr>
              <w:t>依托管线一端</w:t>
            </w:r>
            <w:r>
              <w:rPr>
                <w:rFonts w:hint="default" w:ascii="Times New Roman" w:hAnsi="Times New Roman" w:eastAsia="宋体" w:cs="Times New Roman"/>
                <w:color w:val="auto"/>
                <w:sz w:val="22"/>
                <w:szCs w:val="22"/>
                <w:lang w:val="en-US" w:eastAsia="zh-CN"/>
              </w:rPr>
              <w:t>新盛站</w:t>
            </w:r>
            <w:r>
              <w:rPr>
                <w:rFonts w:hint="default" w:ascii="Times New Roman" w:hAnsi="Times New Roman" w:eastAsia="宋体" w:cs="Times New Roman"/>
                <w:color w:val="auto"/>
                <w:sz w:val="22"/>
                <w:szCs w:val="22"/>
              </w:rPr>
              <w:t>内设置的放空燃烧系统，经放空立管排入大气。</w:t>
            </w:r>
          </w:p>
        </w:tc>
        <w:tc>
          <w:tcPr>
            <w:tcW w:w="371" w:type="pct"/>
            <w:tcBorders>
              <w:top w:val="single" w:color="auto" w:sz="4" w:space="0"/>
              <w:left w:val="nil"/>
              <w:bottom w:val="single" w:color="auto" w:sz="4" w:space="0"/>
              <w:right w:val="single" w:color="auto" w:sz="4" w:space="0"/>
            </w:tcBorders>
            <w:noWrap w:val="0"/>
            <w:vAlign w:val="center"/>
          </w:tcPr>
          <w:p w14:paraId="148D0CD4">
            <w:pPr>
              <w:pStyle w:val="103"/>
              <w:keepNext w:val="0"/>
              <w:spacing w:line="240" w:lineRule="auto"/>
              <w:jc w:val="center"/>
              <w:rPr>
                <w:rFonts w:hint="default" w:ascii="Times New Roman" w:hAnsi="Times New Roman" w:eastAsia="宋体" w:cs="Times New Roman"/>
                <w:color w:val="auto"/>
                <w:sz w:val="22"/>
                <w:szCs w:val="22"/>
              </w:rPr>
            </w:pPr>
            <w:bookmarkStart w:id="214" w:name="_Toc12379"/>
            <w:bookmarkStart w:id="215" w:name="_Toc3775"/>
            <w:bookmarkStart w:id="216" w:name="_Toc20198"/>
            <w:r>
              <w:rPr>
                <w:rFonts w:hint="default" w:ascii="Times New Roman" w:hAnsi="Times New Roman" w:eastAsia="宋体" w:cs="Times New Roman"/>
                <w:color w:val="auto"/>
                <w:sz w:val="22"/>
                <w:szCs w:val="22"/>
              </w:rPr>
              <w:t>依托</w:t>
            </w:r>
            <w:bookmarkEnd w:id="214"/>
            <w:bookmarkEnd w:id="215"/>
            <w:bookmarkEnd w:id="216"/>
          </w:p>
        </w:tc>
      </w:tr>
      <w:tr w14:paraId="4911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left w:val="single" w:color="auto" w:sz="4" w:space="0"/>
              <w:right w:val="single" w:color="auto" w:sz="4" w:space="0"/>
            </w:tcBorders>
            <w:noWrap w:val="0"/>
            <w:vAlign w:val="center"/>
          </w:tcPr>
          <w:p w14:paraId="7CAE293B">
            <w:pPr>
              <w:widowControl/>
              <w:jc w:val="center"/>
              <w:rPr>
                <w:rFonts w:hint="default" w:ascii="Times New Roman" w:hAnsi="Times New Roman" w:eastAsia="宋体" w:cs="Times New Roman"/>
                <w:color w:val="auto"/>
                <w:sz w:val="22"/>
                <w:szCs w:val="22"/>
              </w:rPr>
            </w:pPr>
          </w:p>
        </w:tc>
        <w:tc>
          <w:tcPr>
            <w:tcW w:w="315" w:type="pct"/>
            <w:vMerge w:val="restart"/>
            <w:tcBorders>
              <w:left w:val="nil"/>
              <w:right w:val="single" w:color="auto" w:sz="4" w:space="0"/>
            </w:tcBorders>
            <w:noWrap w:val="0"/>
            <w:vAlign w:val="center"/>
          </w:tcPr>
          <w:p w14:paraId="3DD76EBB">
            <w:pPr>
              <w:pStyle w:val="103"/>
              <w:keepNext w:val="0"/>
              <w:spacing w:line="240" w:lineRule="auto"/>
              <w:jc w:val="center"/>
              <w:rPr>
                <w:rFonts w:hint="default" w:ascii="Times New Roman" w:hAnsi="Times New Roman" w:eastAsia="宋体" w:cs="Times New Roman"/>
                <w:color w:val="auto"/>
                <w:sz w:val="22"/>
                <w:szCs w:val="22"/>
              </w:rPr>
            </w:pPr>
            <w:bookmarkStart w:id="217" w:name="_Toc3769"/>
            <w:bookmarkStart w:id="218" w:name="_Toc6552"/>
            <w:bookmarkStart w:id="219" w:name="_Toc6999"/>
            <w:r>
              <w:rPr>
                <w:rFonts w:hint="default" w:ascii="Times New Roman" w:hAnsi="Times New Roman" w:eastAsia="宋体" w:cs="Times New Roman"/>
                <w:color w:val="auto"/>
                <w:sz w:val="22"/>
                <w:szCs w:val="22"/>
              </w:rPr>
              <w:t>废水</w:t>
            </w:r>
            <w:bookmarkEnd w:id="217"/>
            <w:bookmarkEnd w:id="218"/>
            <w:bookmarkEnd w:id="219"/>
          </w:p>
        </w:tc>
        <w:tc>
          <w:tcPr>
            <w:tcW w:w="344" w:type="pct"/>
            <w:tcBorders>
              <w:top w:val="single" w:color="auto" w:sz="4" w:space="0"/>
              <w:left w:val="nil"/>
              <w:bottom w:val="single" w:color="auto" w:sz="4" w:space="0"/>
              <w:right w:val="single" w:color="auto" w:sz="4" w:space="0"/>
            </w:tcBorders>
            <w:noWrap w:val="0"/>
            <w:vAlign w:val="center"/>
          </w:tcPr>
          <w:p w14:paraId="0E1D3AC8">
            <w:pPr>
              <w:jc w:val="center"/>
              <w:rPr>
                <w:rFonts w:hint="default" w:ascii="Times New Roman" w:hAnsi="Times New Roman" w:eastAsia="宋体" w:cs="Times New Roman"/>
                <w:bCs/>
                <w:color w:val="auto"/>
                <w:kern w:val="44"/>
                <w:sz w:val="22"/>
                <w:szCs w:val="22"/>
              </w:rPr>
            </w:pPr>
            <w:r>
              <w:rPr>
                <w:rFonts w:hint="default" w:ascii="Times New Roman" w:hAnsi="Times New Roman" w:eastAsia="宋体" w:cs="Times New Roman"/>
                <w:bCs/>
                <w:color w:val="auto"/>
                <w:kern w:val="44"/>
                <w:sz w:val="22"/>
                <w:szCs w:val="22"/>
              </w:rPr>
              <w:t>试压废水</w:t>
            </w:r>
          </w:p>
        </w:tc>
        <w:tc>
          <w:tcPr>
            <w:tcW w:w="3540" w:type="pct"/>
            <w:tcBorders>
              <w:top w:val="single" w:color="auto" w:sz="4" w:space="0"/>
              <w:left w:val="nil"/>
              <w:bottom w:val="single" w:color="auto" w:sz="4" w:space="0"/>
              <w:right w:val="single" w:color="auto" w:sz="4" w:space="0"/>
            </w:tcBorders>
            <w:noWrap w:val="0"/>
            <w:vAlign w:val="center"/>
          </w:tcPr>
          <w:p w14:paraId="083917AF">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试压废水沉淀后回用于设备、车辆冲洗和场地洒水降尘。</w:t>
            </w:r>
          </w:p>
        </w:tc>
        <w:tc>
          <w:tcPr>
            <w:tcW w:w="371" w:type="pct"/>
            <w:tcBorders>
              <w:top w:val="single" w:color="auto" w:sz="4" w:space="0"/>
              <w:left w:val="nil"/>
              <w:bottom w:val="single" w:color="auto" w:sz="4" w:space="0"/>
              <w:right w:val="single" w:color="auto" w:sz="4" w:space="0"/>
            </w:tcBorders>
            <w:noWrap w:val="0"/>
            <w:vAlign w:val="center"/>
          </w:tcPr>
          <w:p w14:paraId="6C2033AD">
            <w:pPr>
              <w:pStyle w:val="103"/>
              <w:keepNext w:val="0"/>
              <w:spacing w:line="240" w:lineRule="auto"/>
              <w:jc w:val="center"/>
              <w:rPr>
                <w:rFonts w:hint="default" w:ascii="Times New Roman" w:hAnsi="Times New Roman" w:eastAsia="宋体" w:cs="Times New Roman"/>
                <w:color w:val="auto"/>
                <w:sz w:val="22"/>
                <w:szCs w:val="22"/>
              </w:rPr>
            </w:pPr>
            <w:bookmarkStart w:id="220" w:name="_Toc12468"/>
            <w:bookmarkStart w:id="221" w:name="_Toc14599"/>
            <w:bookmarkStart w:id="222" w:name="_Toc20325"/>
            <w:r>
              <w:rPr>
                <w:rFonts w:hint="default" w:ascii="Times New Roman" w:hAnsi="Times New Roman" w:eastAsia="宋体" w:cs="Times New Roman"/>
                <w:color w:val="auto"/>
                <w:sz w:val="22"/>
                <w:szCs w:val="22"/>
              </w:rPr>
              <w:t>/</w:t>
            </w:r>
            <w:bookmarkEnd w:id="220"/>
            <w:bookmarkEnd w:id="221"/>
            <w:bookmarkEnd w:id="222"/>
          </w:p>
        </w:tc>
      </w:tr>
      <w:tr w14:paraId="32BC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left w:val="single" w:color="auto" w:sz="4" w:space="0"/>
              <w:right w:val="single" w:color="auto" w:sz="4" w:space="0"/>
            </w:tcBorders>
            <w:noWrap w:val="0"/>
            <w:vAlign w:val="center"/>
          </w:tcPr>
          <w:p w14:paraId="7A6D3256">
            <w:pPr>
              <w:widowControl/>
              <w:jc w:val="center"/>
              <w:rPr>
                <w:rFonts w:hint="default" w:ascii="Times New Roman" w:hAnsi="Times New Roman" w:eastAsia="宋体" w:cs="Times New Roman"/>
                <w:color w:val="auto"/>
                <w:sz w:val="22"/>
                <w:szCs w:val="22"/>
              </w:rPr>
            </w:pPr>
          </w:p>
        </w:tc>
        <w:tc>
          <w:tcPr>
            <w:tcW w:w="315" w:type="pct"/>
            <w:vMerge w:val="continue"/>
            <w:tcBorders>
              <w:left w:val="nil"/>
              <w:right w:val="single" w:color="auto" w:sz="4" w:space="0"/>
            </w:tcBorders>
            <w:noWrap w:val="0"/>
            <w:vAlign w:val="center"/>
          </w:tcPr>
          <w:p w14:paraId="347AD4D2">
            <w:pPr>
              <w:pStyle w:val="103"/>
              <w:keepNext w:val="0"/>
              <w:spacing w:line="240" w:lineRule="auto"/>
              <w:jc w:val="center"/>
              <w:rPr>
                <w:rFonts w:hint="default" w:ascii="Times New Roman" w:hAnsi="Times New Roman" w:eastAsia="宋体" w:cs="Times New Roman"/>
                <w:color w:val="auto"/>
                <w:sz w:val="22"/>
                <w:szCs w:val="22"/>
              </w:rPr>
            </w:pPr>
          </w:p>
        </w:tc>
        <w:tc>
          <w:tcPr>
            <w:tcW w:w="344" w:type="pct"/>
            <w:tcBorders>
              <w:top w:val="single" w:color="auto" w:sz="4" w:space="0"/>
              <w:left w:val="nil"/>
              <w:bottom w:val="single" w:color="auto" w:sz="4" w:space="0"/>
              <w:right w:val="single" w:color="auto" w:sz="4" w:space="0"/>
            </w:tcBorders>
            <w:noWrap w:val="0"/>
            <w:vAlign w:val="center"/>
          </w:tcPr>
          <w:p w14:paraId="076FDDEF">
            <w:pPr>
              <w:jc w:val="center"/>
              <w:rPr>
                <w:rFonts w:hint="default" w:ascii="Times New Roman" w:hAnsi="Times New Roman" w:eastAsia="宋体" w:cs="Times New Roman"/>
                <w:bCs/>
                <w:color w:val="auto"/>
                <w:kern w:val="44"/>
                <w:sz w:val="22"/>
                <w:szCs w:val="22"/>
              </w:rPr>
            </w:pPr>
            <w:r>
              <w:rPr>
                <w:rFonts w:hint="default" w:ascii="Times New Roman" w:hAnsi="Times New Roman" w:eastAsia="宋体" w:cs="Times New Roman"/>
                <w:bCs/>
                <w:color w:val="auto"/>
                <w:kern w:val="44"/>
                <w:sz w:val="22"/>
                <w:szCs w:val="22"/>
              </w:rPr>
              <w:t>施工人员生活污水</w:t>
            </w:r>
          </w:p>
        </w:tc>
        <w:tc>
          <w:tcPr>
            <w:tcW w:w="3540" w:type="pct"/>
            <w:tcBorders>
              <w:top w:val="single" w:color="auto" w:sz="4" w:space="0"/>
              <w:left w:val="nil"/>
              <w:bottom w:val="single" w:color="auto" w:sz="4" w:space="0"/>
              <w:right w:val="single" w:color="auto" w:sz="4" w:space="0"/>
            </w:tcBorders>
            <w:noWrap w:val="0"/>
            <w:vAlign w:val="center"/>
          </w:tcPr>
          <w:p w14:paraId="00109C0E">
            <w:pPr>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施工期施工人员生活污水处理依托沿线居民的</w:t>
            </w:r>
            <w:r>
              <w:rPr>
                <w:rFonts w:hint="default" w:ascii="Times New Roman" w:hAnsi="Times New Roman" w:eastAsia="宋体" w:cs="Times New Roman"/>
                <w:color w:val="auto"/>
                <w:sz w:val="22"/>
                <w:szCs w:val="22"/>
                <w:lang w:val="en-US" w:eastAsia="zh-CN"/>
              </w:rPr>
              <w:t>生活污水处理设施</w:t>
            </w:r>
            <w:r>
              <w:rPr>
                <w:rFonts w:hint="default" w:ascii="Times New Roman" w:hAnsi="Times New Roman" w:eastAsia="宋体" w:cs="Times New Roman"/>
                <w:color w:val="auto"/>
                <w:sz w:val="22"/>
                <w:szCs w:val="22"/>
              </w:rPr>
              <w:t>收集，用作农肥，不外排。</w:t>
            </w:r>
          </w:p>
        </w:tc>
        <w:tc>
          <w:tcPr>
            <w:tcW w:w="371" w:type="pct"/>
            <w:tcBorders>
              <w:top w:val="single" w:color="auto" w:sz="4" w:space="0"/>
              <w:left w:val="nil"/>
              <w:bottom w:val="single" w:color="auto" w:sz="4" w:space="0"/>
              <w:right w:val="single" w:color="auto" w:sz="4" w:space="0"/>
            </w:tcBorders>
            <w:noWrap w:val="0"/>
            <w:vAlign w:val="center"/>
          </w:tcPr>
          <w:p w14:paraId="47894959">
            <w:pPr>
              <w:pStyle w:val="103"/>
              <w:keepNext w:val="0"/>
              <w:spacing w:line="240" w:lineRule="auto"/>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依托</w:t>
            </w:r>
          </w:p>
        </w:tc>
      </w:tr>
      <w:tr w14:paraId="3574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left w:val="single" w:color="auto" w:sz="4" w:space="0"/>
              <w:right w:val="single" w:color="auto" w:sz="4" w:space="0"/>
            </w:tcBorders>
            <w:noWrap w:val="0"/>
            <w:vAlign w:val="center"/>
          </w:tcPr>
          <w:p w14:paraId="529B2751">
            <w:pPr>
              <w:widowControl/>
              <w:jc w:val="center"/>
              <w:rPr>
                <w:rFonts w:hint="default" w:ascii="Times New Roman" w:hAnsi="Times New Roman" w:eastAsia="宋体" w:cs="Times New Roman"/>
                <w:color w:val="auto"/>
                <w:sz w:val="22"/>
                <w:szCs w:val="22"/>
              </w:rPr>
            </w:pPr>
          </w:p>
        </w:tc>
        <w:tc>
          <w:tcPr>
            <w:tcW w:w="659" w:type="pct"/>
            <w:gridSpan w:val="2"/>
            <w:tcBorders>
              <w:left w:val="nil"/>
              <w:bottom w:val="single" w:color="auto" w:sz="4" w:space="0"/>
              <w:right w:val="single" w:color="auto" w:sz="4" w:space="0"/>
            </w:tcBorders>
            <w:noWrap w:val="0"/>
            <w:vAlign w:val="center"/>
          </w:tcPr>
          <w:p w14:paraId="1FF83A2D">
            <w:pPr>
              <w:jc w:val="center"/>
              <w:rPr>
                <w:rFonts w:hint="default" w:ascii="Times New Roman" w:hAnsi="Times New Roman" w:eastAsia="宋体" w:cs="Times New Roman"/>
                <w:bCs/>
                <w:color w:val="auto"/>
                <w:kern w:val="44"/>
                <w:sz w:val="22"/>
                <w:szCs w:val="22"/>
              </w:rPr>
            </w:pPr>
            <w:r>
              <w:rPr>
                <w:rFonts w:hint="default" w:ascii="Times New Roman" w:hAnsi="Times New Roman" w:eastAsia="宋体" w:cs="Times New Roman"/>
                <w:color w:val="auto"/>
                <w:sz w:val="22"/>
                <w:szCs w:val="22"/>
              </w:rPr>
              <w:t>噪声</w:t>
            </w:r>
          </w:p>
        </w:tc>
        <w:tc>
          <w:tcPr>
            <w:tcW w:w="3540" w:type="pct"/>
            <w:tcBorders>
              <w:top w:val="single" w:color="auto" w:sz="4" w:space="0"/>
              <w:left w:val="nil"/>
              <w:bottom w:val="single" w:color="auto" w:sz="4" w:space="0"/>
              <w:right w:val="single" w:color="auto" w:sz="4" w:space="0"/>
            </w:tcBorders>
            <w:noWrap w:val="0"/>
            <w:vAlign w:val="center"/>
          </w:tcPr>
          <w:p w14:paraId="6267C81B">
            <w:pPr>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合理安排施工时间，夜间不施工；运输车辆经过沿线有敏感点的路段时减速、禁鸣。</w:t>
            </w:r>
          </w:p>
        </w:tc>
        <w:tc>
          <w:tcPr>
            <w:tcW w:w="371" w:type="pct"/>
            <w:tcBorders>
              <w:top w:val="single" w:color="auto" w:sz="4" w:space="0"/>
              <w:left w:val="nil"/>
              <w:bottom w:val="single" w:color="auto" w:sz="4" w:space="0"/>
              <w:right w:val="single" w:color="auto" w:sz="4" w:space="0"/>
            </w:tcBorders>
            <w:noWrap w:val="0"/>
            <w:vAlign w:val="center"/>
          </w:tcPr>
          <w:p w14:paraId="1F9FB9F7">
            <w:pPr>
              <w:pStyle w:val="103"/>
              <w:keepNext w:val="0"/>
              <w:spacing w:line="240" w:lineRule="auto"/>
              <w:jc w:val="center"/>
              <w:rPr>
                <w:rFonts w:hint="default" w:ascii="Times New Roman" w:hAnsi="Times New Roman" w:eastAsia="宋体" w:cs="Times New Roman"/>
                <w:color w:val="auto"/>
                <w:sz w:val="22"/>
                <w:szCs w:val="22"/>
              </w:rPr>
            </w:pPr>
            <w:bookmarkStart w:id="223" w:name="_Toc7830"/>
            <w:bookmarkStart w:id="224" w:name="_Toc25996"/>
            <w:bookmarkStart w:id="225" w:name="_Toc18315"/>
            <w:r>
              <w:rPr>
                <w:rFonts w:hint="default" w:ascii="Times New Roman" w:hAnsi="Times New Roman" w:eastAsia="宋体" w:cs="Times New Roman"/>
                <w:color w:val="auto"/>
                <w:sz w:val="22"/>
                <w:szCs w:val="22"/>
              </w:rPr>
              <w:t>/</w:t>
            </w:r>
            <w:bookmarkEnd w:id="223"/>
            <w:bookmarkEnd w:id="224"/>
            <w:bookmarkEnd w:id="225"/>
          </w:p>
        </w:tc>
      </w:tr>
      <w:tr w14:paraId="6E7D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left w:val="single" w:color="auto" w:sz="4" w:space="0"/>
              <w:right w:val="single" w:color="auto" w:sz="4" w:space="0"/>
            </w:tcBorders>
            <w:noWrap w:val="0"/>
            <w:vAlign w:val="center"/>
          </w:tcPr>
          <w:p w14:paraId="1437E051">
            <w:pPr>
              <w:widowControl/>
              <w:jc w:val="center"/>
              <w:rPr>
                <w:rFonts w:hint="default" w:ascii="Times New Roman" w:hAnsi="Times New Roman" w:eastAsia="宋体" w:cs="Times New Roman"/>
                <w:color w:val="auto"/>
                <w:sz w:val="22"/>
                <w:szCs w:val="22"/>
              </w:rPr>
            </w:pPr>
          </w:p>
        </w:tc>
        <w:tc>
          <w:tcPr>
            <w:tcW w:w="659" w:type="pct"/>
            <w:gridSpan w:val="2"/>
            <w:tcBorders>
              <w:left w:val="nil"/>
              <w:bottom w:val="single" w:color="auto" w:sz="4" w:space="0"/>
              <w:right w:val="single" w:color="auto" w:sz="4" w:space="0"/>
            </w:tcBorders>
            <w:noWrap w:val="0"/>
            <w:vAlign w:val="center"/>
          </w:tcPr>
          <w:p w14:paraId="072061F1">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固体废物</w:t>
            </w:r>
          </w:p>
        </w:tc>
        <w:tc>
          <w:tcPr>
            <w:tcW w:w="3540" w:type="pct"/>
            <w:tcBorders>
              <w:top w:val="single" w:color="auto" w:sz="4" w:space="0"/>
              <w:left w:val="nil"/>
              <w:bottom w:val="single" w:color="auto" w:sz="4" w:space="0"/>
              <w:right w:val="single" w:color="auto" w:sz="4" w:space="0"/>
            </w:tcBorders>
            <w:noWrap w:val="0"/>
            <w:vAlign w:val="center"/>
          </w:tcPr>
          <w:p w14:paraId="79EBBE05">
            <w:pPr>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废焊条、废包装材料分类收集后回收利用</w:t>
            </w:r>
            <w:r>
              <w:rPr>
                <w:rFonts w:hint="default" w:ascii="Times New Roman" w:hAnsi="Times New Roman" w:eastAsia="宋体" w:cs="Times New Roman"/>
                <w:color w:val="auto"/>
                <w:sz w:val="22"/>
                <w:szCs w:val="22"/>
                <w:lang w:eastAsia="zh-CN"/>
              </w:rPr>
              <w:t>；施工人员的生活垃圾依托当地现有设施收集后交环卫部门处理；</w:t>
            </w:r>
            <w:r>
              <w:rPr>
                <w:rFonts w:hint="default" w:ascii="Times New Roman" w:hAnsi="Times New Roman" w:eastAsia="宋体" w:cs="Times New Roman"/>
                <w:color w:val="auto"/>
                <w:sz w:val="22"/>
                <w:szCs w:val="22"/>
                <w:lang w:val="en-US" w:eastAsia="zh-CN"/>
              </w:rPr>
              <w:t>运营期过滤废渣</w:t>
            </w:r>
            <w:r>
              <w:rPr>
                <w:rFonts w:hint="default" w:ascii="Times New Roman" w:hAnsi="Times New Roman" w:eastAsia="宋体" w:cs="Times New Roman"/>
                <w:color w:val="auto"/>
                <w:sz w:val="22"/>
                <w:szCs w:val="22"/>
              </w:rPr>
              <w:t>。</w:t>
            </w:r>
          </w:p>
        </w:tc>
        <w:tc>
          <w:tcPr>
            <w:tcW w:w="371" w:type="pct"/>
            <w:tcBorders>
              <w:top w:val="single" w:color="auto" w:sz="4" w:space="0"/>
              <w:left w:val="nil"/>
              <w:bottom w:val="single" w:color="auto" w:sz="4" w:space="0"/>
              <w:right w:val="single" w:color="auto" w:sz="4" w:space="0"/>
            </w:tcBorders>
            <w:noWrap w:val="0"/>
            <w:vAlign w:val="center"/>
          </w:tcPr>
          <w:p w14:paraId="04A65AC5">
            <w:pPr>
              <w:pStyle w:val="103"/>
              <w:keepNext w:val="0"/>
              <w:spacing w:line="240" w:lineRule="auto"/>
              <w:jc w:val="center"/>
              <w:rPr>
                <w:rFonts w:hint="default" w:ascii="Times New Roman" w:hAnsi="Times New Roman" w:eastAsia="宋体" w:cs="Times New Roman"/>
                <w:color w:val="auto"/>
                <w:sz w:val="22"/>
                <w:szCs w:val="22"/>
              </w:rPr>
            </w:pPr>
            <w:bookmarkStart w:id="226" w:name="_Toc11700"/>
            <w:bookmarkStart w:id="227" w:name="_Toc16533"/>
            <w:bookmarkStart w:id="228" w:name="_Toc28744"/>
            <w:r>
              <w:rPr>
                <w:rFonts w:hint="default" w:ascii="Times New Roman" w:hAnsi="Times New Roman" w:eastAsia="宋体" w:cs="Times New Roman"/>
                <w:color w:val="auto"/>
                <w:sz w:val="22"/>
                <w:szCs w:val="22"/>
              </w:rPr>
              <w:t>/</w:t>
            </w:r>
            <w:bookmarkEnd w:id="226"/>
            <w:bookmarkEnd w:id="227"/>
            <w:bookmarkEnd w:id="228"/>
          </w:p>
        </w:tc>
      </w:tr>
      <w:tr w14:paraId="7612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left w:val="single" w:color="auto" w:sz="4" w:space="0"/>
              <w:right w:val="single" w:color="auto" w:sz="4" w:space="0"/>
            </w:tcBorders>
            <w:noWrap w:val="0"/>
            <w:vAlign w:val="center"/>
          </w:tcPr>
          <w:p w14:paraId="7FF7ECB5">
            <w:pPr>
              <w:widowControl/>
              <w:jc w:val="center"/>
              <w:rPr>
                <w:rFonts w:hint="default" w:ascii="Times New Roman" w:hAnsi="Times New Roman" w:eastAsia="宋体" w:cs="Times New Roman"/>
                <w:color w:val="auto"/>
                <w:sz w:val="22"/>
                <w:szCs w:val="22"/>
              </w:rPr>
            </w:pPr>
          </w:p>
        </w:tc>
        <w:tc>
          <w:tcPr>
            <w:tcW w:w="659" w:type="pct"/>
            <w:gridSpan w:val="2"/>
            <w:tcBorders>
              <w:left w:val="nil"/>
              <w:bottom w:val="single" w:color="auto" w:sz="4" w:space="0"/>
              <w:right w:val="single" w:color="auto" w:sz="4" w:space="0"/>
            </w:tcBorders>
            <w:noWrap w:val="0"/>
            <w:vAlign w:val="center"/>
          </w:tcPr>
          <w:p w14:paraId="50E5E182">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生态</w:t>
            </w:r>
          </w:p>
        </w:tc>
        <w:tc>
          <w:tcPr>
            <w:tcW w:w="3540" w:type="pct"/>
            <w:tcBorders>
              <w:top w:val="single" w:color="auto" w:sz="4" w:space="0"/>
              <w:left w:val="nil"/>
              <w:bottom w:val="single" w:color="auto" w:sz="4" w:space="0"/>
              <w:right w:val="single" w:color="auto" w:sz="4" w:space="0"/>
            </w:tcBorders>
            <w:noWrap w:val="0"/>
            <w:vAlign w:val="center"/>
          </w:tcPr>
          <w:p w14:paraId="528EFA41">
            <w:pPr>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管道施工结束后，尽快对管道施工过程中的临时占地进行恢复，在不影响管线安全等要求的情况下尽量恢复临时占地原貌。</w:t>
            </w:r>
          </w:p>
        </w:tc>
        <w:tc>
          <w:tcPr>
            <w:tcW w:w="371" w:type="pct"/>
            <w:tcBorders>
              <w:top w:val="single" w:color="auto" w:sz="4" w:space="0"/>
              <w:left w:val="nil"/>
              <w:bottom w:val="single" w:color="auto" w:sz="4" w:space="0"/>
              <w:right w:val="single" w:color="auto" w:sz="4" w:space="0"/>
            </w:tcBorders>
            <w:noWrap w:val="0"/>
            <w:vAlign w:val="center"/>
          </w:tcPr>
          <w:p w14:paraId="0B090C0C">
            <w:pPr>
              <w:pStyle w:val="103"/>
              <w:keepNext w:val="0"/>
              <w:spacing w:line="240" w:lineRule="auto"/>
              <w:jc w:val="center"/>
              <w:rPr>
                <w:rFonts w:hint="default" w:ascii="Times New Roman" w:hAnsi="Times New Roman" w:eastAsia="宋体" w:cs="Times New Roman"/>
                <w:color w:val="auto"/>
                <w:sz w:val="22"/>
                <w:szCs w:val="22"/>
              </w:rPr>
            </w:pPr>
            <w:bookmarkStart w:id="229" w:name="_Toc4487"/>
            <w:bookmarkStart w:id="230" w:name="_Toc11994"/>
            <w:bookmarkStart w:id="231" w:name="_Toc21643"/>
            <w:r>
              <w:rPr>
                <w:rFonts w:hint="default" w:ascii="Times New Roman" w:hAnsi="Times New Roman" w:eastAsia="宋体" w:cs="Times New Roman"/>
                <w:color w:val="auto"/>
                <w:sz w:val="22"/>
                <w:szCs w:val="22"/>
              </w:rPr>
              <w:t>/</w:t>
            </w:r>
            <w:bookmarkEnd w:id="229"/>
            <w:bookmarkEnd w:id="230"/>
            <w:bookmarkEnd w:id="231"/>
          </w:p>
        </w:tc>
      </w:tr>
      <w:tr w14:paraId="0775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7" w:type="pct"/>
            <w:vMerge w:val="continue"/>
            <w:tcBorders>
              <w:left w:val="single" w:color="auto" w:sz="4" w:space="0"/>
              <w:bottom w:val="single" w:color="auto" w:sz="4" w:space="0"/>
              <w:right w:val="single" w:color="auto" w:sz="4" w:space="0"/>
            </w:tcBorders>
            <w:noWrap w:val="0"/>
            <w:vAlign w:val="center"/>
          </w:tcPr>
          <w:p w14:paraId="063BEA49">
            <w:pPr>
              <w:widowControl/>
              <w:jc w:val="center"/>
              <w:rPr>
                <w:rFonts w:hint="default" w:ascii="Times New Roman" w:hAnsi="Times New Roman" w:eastAsia="宋体" w:cs="Times New Roman"/>
                <w:color w:val="auto"/>
                <w:sz w:val="22"/>
                <w:szCs w:val="22"/>
              </w:rPr>
            </w:pPr>
          </w:p>
        </w:tc>
        <w:tc>
          <w:tcPr>
            <w:tcW w:w="659" w:type="pct"/>
            <w:gridSpan w:val="2"/>
            <w:tcBorders>
              <w:left w:val="nil"/>
              <w:bottom w:val="single" w:color="auto" w:sz="4" w:space="0"/>
              <w:right w:val="single" w:color="auto" w:sz="4" w:space="0"/>
            </w:tcBorders>
            <w:noWrap w:val="0"/>
            <w:vAlign w:val="center"/>
          </w:tcPr>
          <w:p w14:paraId="693482EC">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环境风险</w:t>
            </w:r>
          </w:p>
        </w:tc>
        <w:tc>
          <w:tcPr>
            <w:tcW w:w="3540" w:type="pct"/>
            <w:tcBorders>
              <w:top w:val="single" w:color="auto" w:sz="4" w:space="0"/>
              <w:left w:val="nil"/>
              <w:bottom w:val="single" w:color="auto" w:sz="4" w:space="0"/>
              <w:right w:val="single" w:color="auto" w:sz="4" w:space="0"/>
            </w:tcBorders>
            <w:noWrap w:val="0"/>
            <w:vAlign w:val="center"/>
          </w:tcPr>
          <w:p w14:paraId="7026C41E">
            <w:pPr>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设置标志桩和警示牌，并按照相关规范要求制定环境风险防范措施</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lang w:val="en-US" w:eastAsia="zh-CN"/>
              </w:rPr>
              <w:t>定期安排人员巡线检查</w:t>
            </w:r>
            <w:r>
              <w:rPr>
                <w:rFonts w:hint="default" w:ascii="Times New Roman" w:hAnsi="Times New Roman" w:eastAsia="宋体" w:cs="Times New Roman"/>
                <w:color w:val="auto"/>
                <w:sz w:val="22"/>
                <w:szCs w:val="22"/>
              </w:rPr>
              <w:t>。</w:t>
            </w:r>
          </w:p>
        </w:tc>
        <w:tc>
          <w:tcPr>
            <w:tcW w:w="371" w:type="pct"/>
            <w:tcBorders>
              <w:top w:val="single" w:color="auto" w:sz="4" w:space="0"/>
              <w:left w:val="nil"/>
              <w:bottom w:val="single" w:color="auto" w:sz="4" w:space="0"/>
              <w:right w:val="single" w:color="auto" w:sz="4" w:space="0"/>
            </w:tcBorders>
            <w:noWrap w:val="0"/>
            <w:vAlign w:val="center"/>
          </w:tcPr>
          <w:p w14:paraId="6E04D072">
            <w:pPr>
              <w:pStyle w:val="103"/>
              <w:keepNext w:val="0"/>
              <w:spacing w:line="240" w:lineRule="auto"/>
              <w:jc w:val="center"/>
              <w:rPr>
                <w:rFonts w:hint="default" w:ascii="Times New Roman" w:hAnsi="Times New Roman" w:eastAsia="宋体" w:cs="Times New Roman"/>
                <w:color w:val="auto"/>
                <w:sz w:val="22"/>
                <w:szCs w:val="22"/>
              </w:rPr>
            </w:pPr>
            <w:bookmarkStart w:id="232" w:name="_Toc8948"/>
            <w:bookmarkStart w:id="233" w:name="_Toc16145"/>
            <w:bookmarkStart w:id="234" w:name="_Toc24592"/>
            <w:r>
              <w:rPr>
                <w:rFonts w:hint="default" w:ascii="Times New Roman" w:hAnsi="Times New Roman" w:eastAsia="宋体" w:cs="Times New Roman"/>
                <w:color w:val="auto"/>
                <w:sz w:val="22"/>
                <w:szCs w:val="22"/>
              </w:rPr>
              <w:t>/</w:t>
            </w:r>
            <w:bookmarkEnd w:id="232"/>
            <w:bookmarkEnd w:id="233"/>
            <w:bookmarkEnd w:id="234"/>
          </w:p>
        </w:tc>
      </w:tr>
    </w:tbl>
    <w:p w14:paraId="25165DB3">
      <w:pPr>
        <w:pStyle w:val="58"/>
        <w:rPr>
          <w:rFonts w:hint="default" w:ascii="Times New Roman" w:hAnsi="Times New Roman" w:eastAsia="宋体" w:cs="Times New Roman"/>
          <w:bCs/>
          <w:color w:val="auto"/>
        </w:rPr>
      </w:pPr>
    </w:p>
    <w:p w14:paraId="7D02AC0E">
      <w:pPr>
        <w:pStyle w:val="58"/>
        <w:rPr>
          <w:rFonts w:hint="default" w:ascii="Times New Roman" w:hAnsi="Times New Roman" w:eastAsia="宋体" w:cs="Times New Roman"/>
          <w:bCs/>
          <w:color w:val="auto"/>
        </w:rPr>
      </w:pPr>
      <w:r>
        <w:rPr>
          <w:rFonts w:hint="default" w:ascii="Times New Roman" w:hAnsi="Times New Roman" w:eastAsia="宋体" w:cs="Times New Roman"/>
          <w:bCs/>
          <w:color w:val="auto"/>
        </w:rPr>
        <w:t>表2.</w:t>
      </w:r>
      <w:r>
        <w:rPr>
          <w:rFonts w:hint="eastAsia" w:ascii="Times New Roman" w:hAnsi="Times New Roman" w:cs="Times New Roman"/>
          <w:bCs/>
          <w:color w:val="auto"/>
          <w:lang w:val="en-US" w:eastAsia="zh-CN"/>
        </w:rPr>
        <w:t>2</w:t>
      </w:r>
      <w:r>
        <w:rPr>
          <w:rFonts w:hint="default" w:ascii="Times New Roman" w:hAnsi="Times New Roman" w:eastAsia="宋体" w:cs="Times New Roman"/>
          <w:bCs/>
          <w:color w:val="auto"/>
        </w:rPr>
        <w:t>-2  主要工程量表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3811"/>
        <w:gridCol w:w="675"/>
        <w:gridCol w:w="854"/>
        <w:gridCol w:w="2469"/>
      </w:tblGrid>
      <w:tr w14:paraId="4402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16E43996">
            <w:pPr>
              <w:pStyle w:val="6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130859EE">
            <w:pPr>
              <w:pStyle w:val="6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项目</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143128EA">
            <w:pPr>
              <w:pStyle w:val="6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单位</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23A585C5">
            <w:pPr>
              <w:pStyle w:val="6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数量</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32C5AC44">
            <w:pPr>
              <w:pStyle w:val="6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备注</w:t>
            </w:r>
          </w:p>
        </w:tc>
      </w:tr>
      <w:tr w14:paraId="6B8C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7153B2FD">
            <w:pPr>
              <w:pStyle w:val="6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66FC851B">
            <w:pPr>
              <w:pStyle w:val="60"/>
              <w:jc w:val="left"/>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改线管道长度</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6EC1C18C">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m</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742CED95">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1451.9</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12A57EB2">
            <w:pPr>
              <w:pStyle w:val="60"/>
              <w:rPr>
                <w:rFonts w:hint="default" w:ascii="Times New Roman" w:hAnsi="Times New Roman" w:eastAsia="宋体" w:cs="Times New Roman"/>
                <w:color w:val="auto"/>
              </w:rPr>
            </w:pPr>
          </w:p>
        </w:tc>
      </w:tr>
      <w:tr w14:paraId="432D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2A0D0969">
            <w:pPr>
              <w:pStyle w:val="6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4E18AAF1">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管道组装焊接</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4B52A57A">
            <w:pPr>
              <w:pStyle w:val="60"/>
              <w:jc w:val="center"/>
              <w:rPr>
                <w:rFonts w:hint="default" w:ascii="Times New Roman" w:hAnsi="Times New Roman" w:eastAsia="宋体" w:cs="Times New Roman"/>
                <w:color w:val="auto"/>
              </w:rPr>
            </w:pPr>
          </w:p>
        </w:tc>
        <w:tc>
          <w:tcPr>
            <w:tcW w:w="501" w:type="pct"/>
            <w:tcBorders>
              <w:top w:val="single" w:color="auto" w:sz="4" w:space="0"/>
              <w:left w:val="single" w:color="auto" w:sz="4" w:space="0"/>
              <w:bottom w:val="single" w:color="auto" w:sz="4" w:space="0"/>
              <w:right w:val="single" w:color="auto" w:sz="4" w:space="0"/>
            </w:tcBorders>
            <w:noWrap w:val="0"/>
            <w:vAlign w:val="center"/>
          </w:tcPr>
          <w:p w14:paraId="20CF00E3">
            <w:pPr>
              <w:pStyle w:val="60"/>
              <w:jc w:val="center"/>
              <w:rPr>
                <w:rFonts w:hint="default" w:ascii="Times New Roman" w:hAnsi="Times New Roman" w:eastAsia="宋体" w:cs="Times New Roman"/>
                <w:color w:val="auto"/>
              </w:rPr>
            </w:pPr>
          </w:p>
        </w:tc>
        <w:tc>
          <w:tcPr>
            <w:tcW w:w="1449" w:type="pct"/>
            <w:tcBorders>
              <w:top w:val="single" w:color="auto" w:sz="4" w:space="0"/>
              <w:left w:val="single" w:color="auto" w:sz="4" w:space="0"/>
              <w:bottom w:val="single" w:color="auto" w:sz="4" w:space="0"/>
              <w:right w:val="single" w:color="auto" w:sz="4" w:space="0"/>
            </w:tcBorders>
            <w:noWrap w:val="0"/>
            <w:vAlign w:val="center"/>
          </w:tcPr>
          <w:p w14:paraId="5969C79D">
            <w:pPr>
              <w:pStyle w:val="60"/>
              <w:rPr>
                <w:rFonts w:hint="default" w:ascii="Times New Roman" w:hAnsi="Times New Roman" w:eastAsia="宋体" w:cs="Times New Roman"/>
                <w:color w:val="auto"/>
              </w:rPr>
            </w:pPr>
          </w:p>
        </w:tc>
      </w:tr>
      <w:tr w14:paraId="24A0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61DD3913">
            <w:pPr>
              <w:pStyle w:val="60"/>
              <w:rPr>
                <w:rFonts w:hint="default" w:ascii="Times New Roman" w:hAnsi="Times New Roman" w:eastAsia="宋体" w:cs="Times New Roman"/>
                <w:color w:val="auto"/>
              </w:rPr>
            </w:pPr>
          </w:p>
        </w:tc>
        <w:tc>
          <w:tcPr>
            <w:tcW w:w="2237" w:type="pct"/>
            <w:tcBorders>
              <w:top w:val="single" w:color="auto" w:sz="4" w:space="0"/>
              <w:left w:val="single" w:color="auto" w:sz="4" w:space="0"/>
              <w:bottom w:val="single" w:color="auto" w:sz="4" w:space="0"/>
              <w:right w:val="single" w:color="auto" w:sz="4" w:space="0"/>
            </w:tcBorders>
            <w:noWrap w:val="0"/>
            <w:vAlign w:val="center"/>
          </w:tcPr>
          <w:p w14:paraId="4BF7971C">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D630×8.8 直缝埋弧焊钢管 L360M</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3E87256B">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m</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453066FB">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1451.9</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46FAF6FF">
            <w:pPr>
              <w:pStyle w:val="60"/>
              <w:rPr>
                <w:rFonts w:hint="default" w:ascii="Times New Roman" w:hAnsi="Times New Roman" w:eastAsia="宋体" w:cs="Times New Roman"/>
                <w:color w:val="auto"/>
              </w:rPr>
            </w:pPr>
          </w:p>
        </w:tc>
      </w:tr>
      <w:tr w14:paraId="6A43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5B57B688">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2D87E713">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6"/>
              </w:rPr>
              <w:t>热煨弯管（L245N PSL2级无缝钢管）</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49F65DAE">
            <w:pPr>
              <w:pStyle w:val="60"/>
              <w:jc w:val="center"/>
              <w:rPr>
                <w:rFonts w:hint="default" w:ascii="Times New Roman" w:hAnsi="Times New Roman" w:eastAsia="宋体" w:cs="Times New Roman"/>
                <w:color w:val="auto"/>
              </w:rPr>
            </w:pPr>
          </w:p>
        </w:tc>
        <w:tc>
          <w:tcPr>
            <w:tcW w:w="501" w:type="pct"/>
            <w:tcBorders>
              <w:top w:val="single" w:color="auto" w:sz="4" w:space="0"/>
              <w:left w:val="single" w:color="auto" w:sz="4" w:space="0"/>
              <w:bottom w:val="single" w:color="auto" w:sz="4" w:space="0"/>
              <w:right w:val="single" w:color="auto" w:sz="4" w:space="0"/>
            </w:tcBorders>
            <w:noWrap w:val="0"/>
            <w:vAlign w:val="center"/>
          </w:tcPr>
          <w:p w14:paraId="0B018D51">
            <w:pPr>
              <w:pStyle w:val="60"/>
              <w:jc w:val="center"/>
              <w:rPr>
                <w:rFonts w:hint="default" w:ascii="Times New Roman" w:hAnsi="Times New Roman" w:eastAsia="宋体" w:cs="Times New Roman"/>
                <w:color w:val="auto"/>
              </w:rPr>
            </w:pPr>
          </w:p>
        </w:tc>
        <w:tc>
          <w:tcPr>
            <w:tcW w:w="1449" w:type="pct"/>
            <w:tcBorders>
              <w:top w:val="single" w:color="auto" w:sz="4" w:space="0"/>
              <w:left w:val="single" w:color="auto" w:sz="4" w:space="0"/>
              <w:bottom w:val="single" w:color="auto" w:sz="4" w:space="0"/>
              <w:right w:val="single" w:color="auto" w:sz="4" w:space="0"/>
            </w:tcBorders>
            <w:noWrap w:val="0"/>
            <w:vAlign w:val="center"/>
          </w:tcPr>
          <w:p w14:paraId="7F03E465">
            <w:pPr>
              <w:pStyle w:val="60"/>
              <w:rPr>
                <w:rFonts w:hint="default" w:ascii="Times New Roman" w:hAnsi="Times New Roman" w:eastAsia="宋体" w:cs="Times New Roman"/>
                <w:color w:val="auto"/>
              </w:rPr>
            </w:pPr>
          </w:p>
        </w:tc>
      </w:tr>
      <w:tr w14:paraId="29C6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2B69C1CE">
            <w:pPr>
              <w:pStyle w:val="60"/>
              <w:rPr>
                <w:rFonts w:hint="default" w:ascii="Times New Roman" w:hAnsi="Times New Roman" w:eastAsia="宋体" w:cs="Times New Roman"/>
                <w:color w:val="auto"/>
              </w:rPr>
            </w:pPr>
          </w:p>
        </w:tc>
        <w:tc>
          <w:tcPr>
            <w:tcW w:w="2237" w:type="pct"/>
            <w:tcBorders>
              <w:top w:val="single" w:color="auto" w:sz="4" w:space="0"/>
              <w:left w:val="single" w:color="auto" w:sz="4" w:space="0"/>
              <w:bottom w:val="single" w:color="auto" w:sz="4" w:space="0"/>
              <w:right w:val="single" w:color="auto" w:sz="4" w:space="0"/>
            </w:tcBorders>
            <w:noWrap w:val="0"/>
            <w:vAlign w:val="center"/>
          </w:tcPr>
          <w:p w14:paraId="146C3E30">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D89×5  R=5D  6°</w:t>
            </w:r>
            <w:r>
              <w:rPr>
                <w:rFonts w:hint="default" w:ascii="Times New Roman" w:hAnsi="Times New Roman" w:eastAsia="宋体" w:cs="Times New Roman"/>
                <w:color w:val="auto"/>
                <w:lang w:val="en-US" w:eastAsia="zh-CN"/>
              </w:rPr>
              <w:t>~75</w:t>
            </w:r>
            <w:r>
              <w:rPr>
                <w:rFonts w:hint="default" w:ascii="Times New Roman" w:hAnsi="Times New Roman" w:eastAsia="宋体" w:cs="Times New Roman"/>
                <w:color w:val="auto"/>
              </w:rPr>
              <w:t>°</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0DA67F59">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只</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207D8CCE">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69</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780A7E20">
            <w:pPr>
              <w:pStyle w:val="60"/>
              <w:rPr>
                <w:rFonts w:hint="default" w:ascii="Times New Roman" w:hAnsi="Times New Roman" w:eastAsia="宋体" w:cs="Times New Roman"/>
                <w:color w:val="auto"/>
              </w:rPr>
            </w:pPr>
          </w:p>
        </w:tc>
      </w:tr>
      <w:tr w14:paraId="01DD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3EBC8332">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76A0C404">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钢筋混凝土套管</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63B109FE">
            <w:pPr>
              <w:pStyle w:val="60"/>
              <w:jc w:val="center"/>
              <w:rPr>
                <w:rFonts w:hint="default" w:ascii="Times New Roman" w:hAnsi="Times New Roman" w:eastAsia="宋体" w:cs="Times New Roman"/>
                <w:color w:val="auto"/>
              </w:rPr>
            </w:pPr>
          </w:p>
        </w:tc>
        <w:tc>
          <w:tcPr>
            <w:tcW w:w="501" w:type="pct"/>
            <w:tcBorders>
              <w:top w:val="single" w:color="auto" w:sz="4" w:space="0"/>
              <w:left w:val="single" w:color="auto" w:sz="4" w:space="0"/>
              <w:bottom w:val="single" w:color="auto" w:sz="4" w:space="0"/>
              <w:right w:val="single" w:color="auto" w:sz="4" w:space="0"/>
            </w:tcBorders>
            <w:noWrap w:val="0"/>
            <w:vAlign w:val="center"/>
          </w:tcPr>
          <w:p w14:paraId="5E05AA2B">
            <w:pPr>
              <w:pStyle w:val="60"/>
              <w:jc w:val="center"/>
              <w:rPr>
                <w:rFonts w:hint="default" w:ascii="Times New Roman" w:hAnsi="Times New Roman" w:eastAsia="宋体" w:cs="Times New Roman"/>
                <w:color w:val="auto"/>
              </w:rPr>
            </w:pPr>
          </w:p>
        </w:tc>
        <w:tc>
          <w:tcPr>
            <w:tcW w:w="1449" w:type="pct"/>
            <w:tcBorders>
              <w:top w:val="single" w:color="auto" w:sz="4" w:space="0"/>
              <w:left w:val="single" w:color="auto" w:sz="4" w:space="0"/>
              <w:bottom w:val="single" w:color="auto" w:sz="4" w:space="0"/>
              <w:right w:val="single" w:color="auto" w:sz="4" w:space="0"/>
            </w:tcBorders>
            <w:noWrap w:val="0"/>
            <w:vAlign w:val="center"/>
          </w:tcPr>
          <w:p w14:paraId="4F0121AF">
            <w:pPr>
              <w:pStyle w:val="60"/>
              <w:rPr>
                <w:rFonts w:hint="default" w:ascii="Times New Roman" w:hAnsi="Times New Roman" w:eastAsia="宋体" w:cs="Times New Roman"/>
                <w:color w:val="auto"/>
              </w:rPr>
            </w:pPr>
          </w:p>
        </w:tc>
      </w:tr>
      <w:tr w14:paraId="74F0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2EE3AF2E">
            <w:pPr>
              <w:pStyle w:val="60"/>
              <w:rPr>
                <w:rFonts w:hint="default" w:ascii="Times New Roman" w:hAnsi="Times New Roman" w:eastAsia="宋体" w:cs="Times New Roman"/>
                <w:color w:val="auto"/>
              </w:rPr>
            </w:pPr>
          </w:p>
        </w:tc>
        <w:tc>
          <w:tcPr>
            <w:tcW w:w="2237" w:type="pct"/>
            <w:tcBorders>
              <w:top w:val="single" w:color="auto" w:sz="4" w:space="0"/>
              <w:left w:val="single" w:color="auto" w:sz="4" w:space="0"/>
              <w:bottom w:val="single" w:color="auto" w:sz="4" w:space="0"/>
              <w:right w:val="single" w:color="auto" w:sz="4" w:space="0"/>
            </w:tcBorders>
            <w:noWrap w:val="0"/>
            <w:vAlign w:val="center"/>
          </w:tcPr>
          <w:p w14:paraId="29837500">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RCPⅢ400×2000</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6238B07F">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m</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28E1A943">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6480B381">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开挖穿越道路</w:t>
            </w:r>
          </w:p>
        </w:tc>
      </w:tr>
      <w:tr w14:paraId="37C8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5BB9E787">
            <w:pPr>
              <w:pStyle w:val="60"/>
              <w:rPr>
                <w:rFonts w:hint="default" w:ascii="Times New Roman" w:hAnsi="Times New Roman" w:eastAsia="宋体" w:cs="Times New Roman"/>
                <w:color w:val="auto"/>
              </w:rPr>
            </w:pPr>
          </w:p>
        </w:tc>
        <w:tc>
          <w:tcPr>
            <w:tcW w:w="2237" w:type="pct"/>
            <w:tcBorders>
              <w:top w:val="single" w:color="auto" w:sz="4" w:space="0"/>
              <w:left w:val="single" w:color="auto" w:sz="4" w:space="0"/>
              <w:bottom w:val="single" w:color="auto" w:sz="4" w:space="0"/>
              <w:right w:val="single" w:color="auto" w:sz="4" w:space="0"/>
            </w:tcBorders>
            <w:noWrap w:val="0"/>
            <w:vAlign w:val="center"/>
          </w:tcPr>
          <w:p w14:paraId="3CC3DC71">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RCPⅢ400×2000</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7ED61E1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m</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5B0F730B">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75BF555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开挖穿越沟渠</w:t>
            </w:r>
          </w:p>
        </w:tc>
      </w:tr>
      <w:tr w14:paraId="2C3D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55C451FF">
            <w:pPr>
              <w:pStyle w:val="6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658277FA">
            <w:pPr>
              <w:pStyle w:val="60"/>
              <w:jc w:val="left"/>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线路</w:t>
            </w:r>
            <w:r>
              <w:rPr>
                <w:rFonts w:hint="default" w:ascii="Times New Roman" w:hAnsi="Times New Roman" w:eastAsia="宋体" w:cs="Times New Roman"/>
                <w:b/>
                <w:bCs/>
                <w:color w:val="auto"/>
              </w:rPr>
              <w:t>穿越</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7ABD5EA5">
            <w:pPr>
              <w:pStyle w:val="60"/>
              <w:jc w:val="center"/>
              <w:rPr>
                <w:rFonts w:hint="default" w:ascii="Times New Roman" w:hAnsi="Times New Roman" w:eastAsia="宋体" w:cs="Times New Roman"/>
                <w:color w:val="auto"/>
              </w:rPr>
            </w:pPr>
          </w:p>
        </w:tc>
        <w:tc>
          <w:tcPr>
            <w:tcW w:w="501" w:type="pct"/>
            <w:tcBorders>
              <w:top w:val="single" w:color="auto" w:sz="4" w:space="0"/>
              <w:left w:val="single" w:color="auto" w:sz="4" w:space="0"/>
              <w:bottom w:val="single" w:color="auto" w:sz="4" w:space="0"/>
              <w:right w:val="single" w:color="auto" w:sz="4" w:space="0"/>
            </w:tcBorders>
            <w:noWrap w:val="0"/>
            <w:vAlign w:val="center"/>
          </w:tcPr>
          <w:p w14:paraId="6E35D488">
            <w:pPr>
              <w:pStyle w:val="60"/>
              <w:jc w:val="center"/>
              <w:rPr>
                <w:rFonts w:hint="default" w:ascii="Times New Roman" w:hAnsi="Times New Roman" w:eastAsia="宋体" w:cs="Times New Roman"/>
                <w:color w:val="auto"/>
              </w:rPr>
            </w:pPr>
          </w:p>
        </w:tc>
        <w:tc>
          <w:tcPr>
            <w:tcW w:w="1449" w:type="pct"/>
            <w:tcBorders>
              <w:top w:val="single" w:color="auto" w:sz="4" w:space="0"/>
              <w:left w:val="single" w:color="auto" w:sz="4" w:space="0"/>
              <w:bottom w:val="single" w:color="auto" w:sz="4" w:space="0"/>
              <w:right w:val="single" w:color="auto" w:sz="4" w:space="0"/>
            </w:tcBorders>
            <w:noWrap w:val="0"/>
            <w:vAlign w:val="center"/>
          </w:tcPr>
          <w:p w14:paraId="3E4B5D78">
            <w:pPr>
              <w:pStyle w:val="60"/>
              <w:rPr>
                <w:rFonts w:hint="default" w:ascii="Times New Roman" w:hAnsi="Times New Roman" w:eastAsia="宋体" w:cs="Times New Roman"/>
                <w:color w:val="auto"/>
              </w:rPr>
            </w:pPr>
          </w:p>
        </w:tc>
      </w:tr>
      <w:tr w14:paraId="5EFB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080111C0">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01F2B7BA">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乡村道路穿越</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25A6F273">
            <w:pPr>
              <w:pStyle w:val="60"/>
              <w:jc w:val="center"/>
              <w:rPr>
                <w:rFonts w:hint="default" w:ascii="Times New Roman" w:hAnsi="Times New Roman" w:eastAsia="宋体" w:cs="Times New Roman"/>
                <w:color w:val="auto"/>
              </w:rPr>
            </w:pPr>
          </w:p>
        </w:tc>
        <w:tc>
          <w:tcPr>
            <w:tcW w:w="501" w:type="pct"/>
            <w:tcBorders>
              <w:top w:val="single" w:color="auto" w:sz="4" w:space="0"/>
              <w:left w:val="single" w:color="auto" w:sz="4" w:space="0"/>
              <w:bottom w:val="single" w:color="auto" w:sz="4" w:space="0"/>
              <w:right w:val="single" w:color="auto" w:sz="4" w:space="0"/>
            </w:tcBorders>
            <w:noWrap w:val="0"/>
            <w:vAlign w:val="center"/>
          </w:tcPr>
          <w:p w14:paraId="0FA54199">
            <w:pPr>
              <w:pStyle w:val="60"/>
              <w:jc w:val="center"/>
              <w:rPr>
                <w:rFonts w:hint="default" w:ascii="Times New Roman" w:hAnsi="Times New Roman" w:eastAsia="宋体" w:cs="Times New Roman"/>
                <w:color w:val="auto"/>
              </w:rPr>
            </w:pPr>
          </w:p>
        </w:tc>
        <w:tc>
          <w:tcPr>
            <w:tcW w:w="1449" w:type="pct"/>
            <w:tcBorders>
              <w:top w:val="single" w:color="auto" w:sz="4" w:space="0"/>
              <w:left w:val="single" w:color="auto" w:sz="4" w:space="0"/>
              <w:bottom w:val="single" w:color="auto" w:sz="4" w:space="0"/>
              <w:right w:val="single" w:color="auto" w:sz="4" w:space="0"/>
            </w:tcBorders>
            <w:noWrap w:val="0"/>
            <w:vAlign w:val="center"/>
          </w:tcPr>
          <w:p w14:paraId="07365E58">
            <w:pPr>
              <w:pStyle w:val="60"/>
              <w:rPr>
                <w:rFonts w:hint="default" w:ascii="Times New Roman" w:hAnsi="Times New Roman" w:eastAsia="宋体" w:cs="Times New Roman"/>
                <w:color w:val="auto"/>
                <w:szCs w:val="21"/>
              </w:rPr>
            </w:pPr>
          </w:p>
        </w:tc>
      </w:tr>
      <w:tr w14:paraId="454F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4C3986D3">
            <w:pPr>
              <w:pStyle w:val="60"/>
              <w:rPr>
                <w:rFonts w:hint="default" w:ascii="Times New Roman" w:hAnsi="Times New Roman" w:eastAsia="宋体" w:cs="Times New Roman"/>
                <w:color w:val="auto"/>
              </w:rPr>
            </w:pPr>
          </w:p>
        </w:tc>
        <w:tc>
          <w:tcPr>
            <w:tcW w:w="2237" w:type="pct"/>
            <w:tcBorders>
              <w:top w:val="single" w:color="auto" w:sz="4" w:space="0"/>
              <w:left w:val="single" w:color="auto" w:sz="4" w:space="0"/>
              <w:bottom w:val="single" w:color="auto" w:sz="4" w:space="0"/>
              <w:right w:val="single" w:color="auto" w:sz="4" w:space="0"/>
            </w:tcBorders>
            <w:noWrap w:val="0"/>
            <w:vAlign w:val="center"/>
          </w:tcPr>
          <w:p w14:paraId="21116459">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碎石路</w:t>
            </w:r>
            <w:r>
              <w:rPr>
                <w:rFonts w:hint="default" w:ascii="Times New Roman" w:hAnsi="Times New Roman" w:eastAsia="宋体" w:cs="Times New Roman"/>
                <w:color w:val="auto"/>
                <w:lang w:val="en-US" w:eastAsia="zh-CN"/>
              </w:rPr>
              <w:t>面</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7CB4DC63">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m/处</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59D9B5C8">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6/1</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1FBBA9A4">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开挖加钢筋混凝土套管</w:t>
            </w:r>
          </w:p>
        </w:tc>
      </w:tr>
      <w:tr w14:paraId="2134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057ADBD5">
            <w:pPr>
              <w:pStyle w:val="60"/>
              <w:rPr>
                <w:rFonts w:hint="default" w:ascii="Times New Roman" w:hAnsi="Times New Roman" w:eastAsia="宋体" w:cs="Times New Roman"/>
                <w:color w:val="auto"/>
              </w:rPr>
            </w:pPr>
          </w:p>
        </w:tc>
        <w:tc>
          <w:tcPr>
            <w:tcW w:w="2237" w:type="pct"/>
            <w:tcBorders>
              <w:top w:val="single" w:color="auto" w:sz="4" w:space="0"/>
              <w:left w:val="single" w:color="auto" w:sz="4" w:space="0"/>
              <w:bottom w:val="single" w:color="auto" w:sz="4" w:space="0"/>
              <w:right w:val="single" w:color="auto" w:sz="4" w:space="0"/>
            </w:tcBorders>
            <w:noWrap w:val="0"/>
            <w:vAlign w:val="center"/>
          </w:tcPr>
          <w:p w14:paraId="73A7E128">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水泥路面</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73A9FDF1">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m/处</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4344C9DD">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20/4</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619179FD">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开挖加钢筋混凝土套管</w:t>
            </w:r>
          </w:p>
        </w:tc>
      </w:tr>
      <w:tr w14:paraId="25B5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5EA831E8">
            <w:pPr>
              <w:pStyle w:val="6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(2)</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5BC773A1">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沟渠穿越</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5D857ACF">
            <w:pPr>
              <w:pStyle w:val="60"/>
              <w:jc w:val="center"/>
              <w:rPr>
                <w:rFonts w:hint="default" w:ascii="Times New Roman" w:hAnsi="Times New Roman" w:eastAsia="宋体" w:cs="Times New Roman"/>
                <w:color w:val="auto"/>
              </w:rPr>
            </w:pPr>
          </w:p>
        </w:tc>
        <w:tc>
          <w:tcPr>
            <w:tcW w:w="501" w:type="pct"/>
            <w:tcBorders>
              <w:top w:val="single" w:color="auto" w:sz="4" w:space="0"/>
              <w:left w:val="single" w:color="auto" w:sz="4" w:space="0"/>
              <w:bottom w:val="single" w:color="auto" w:sz="4" w:space="0"/>
              <w:right w:val="single" w:color="auto" w:sz="4" w:space="0"/>
            </w:tcBorders>
            <w:noWrap w:val="0"/>
            <w:vAlign w:val="center"/>
          </w:tcPr>
          <w:p w14:paraId="6B4E235D">
            <w:pPr>
              <w:pStyle w:val="60"/>
              <w:jc w:val="center"/>
              <w:rPr>
                <w:rFonts w:hint="default" w:ascii="Times New Roman" w:hAnsi="Times New Roman" w:eastAsia="宋体" w:cs="Times New Roman"/>
                <w:color w:val="auto"/>
              </w:rPr>
            </w:pPr>
          </w:p>
        </w:tc>
        <w:tc>
          <w:tcPr>
            <w:tcW w:w="1449" w:type="pct"/>
            <w:tcBorders>
              <w:top w:val="single" w:color="auto" w:sz="4" w:space="0"/>
              <w:left w:val="single" w:color="auto" w:sz="4" w:space="0"/>
              <w:bottom w:val="single" w:color="auto" w:sz="4" w:space="0"/>
              <w:right w:val="single" w:color="auto" w:sz="4" w:space="0"/>
            </w:tcBorders>
            <w:noWrap w:val="0"/>
            <w:vAlign w:val="center"/>
          </w:tcPr>
          <w:p w14:paraId="73F873B9">
            <w:pPr>
              <w:pStyle w:val="60"/>
              <w:rPr>
                <w:rFonts w:hint="default" w:ascii="Times New Roman" w:hAnsi="Times New Roman" w:eastAsia="宋体" w:cs="Times New Roman"/>
                <w:color w:val="auto"/>
              </w:rPr>
            </w:pPr>
          </w:p>
        </w:tc>
      </w:tr>
      <w:tr w14:paraId="1807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5BEA0BD2">
            <w:pPr>
              <w:pStyle w:val="60"/>
              <w:rPr>
                <w:rFonts w:hint="default" w:ascii="Times New Roman" w:hAnsi="Times New Roman" w:eastAsia="宋体" w:cs="Times New Roman"/>
                <w:color w:val="auto"/>
              </w:rPr>
            </w:pPr>
          </w:p>
        </w:tc>
        <w:tc>
          <w:tcPr>
            <w:tcW w:w="2237" w:type="pct"/>
            <w:tcBorders>
              <w:top w:val="single" w:color="auto" w:sz="4" w:space="0"/>
              <w:left w:val="single" w:color="auto" w:sz="4" w:space="0"/>
              <w:bottom w:val="single" w:color="auto" w:sz="4" w:space="0"/>
              <w:right w:val="single" w:color="auto" w:sz="4" w:space="0"/>
            </w:tcBorders>
            <w:noWrap w:val="0"/>
            <w:vAlign w:val="center"/>
          </w:tcPr>
          <w:p w14:paraId="1C4F3B5C">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季节性沟渠，常年干涸</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6C37885E">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m/处</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3D3DCD88">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26</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2423EABA">
            <w:pPr>
              <w:pStyle w:val="6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开挖加钢筋混凝土套管ⅢDN400保护和C25混凝土现浇稳管</w:t>
            </w:r>
          </w:p>
        </w:tc>
      </w:tr>
      <w:tr w14:paraId="437D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4D7F34DA">
            <w:pPr>
              <w:pStyle w:val="60"/>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val="en-US" w:eastAsia="zh-CN"/>
              </w:rPr>
              <w:t>3</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5052ABD3">
            <w:pPr>
              <w:pStyle w:val="60"/>
              <w:jc w:val="left"/>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土石方工程</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2BF5B1C7">
            <w:pPr>
              <w:pStyle w:val="60"/>
              <w:jc w:val="center"/>
              <w:rPr>
                <w:rFonts w:hint="default" w:ascii="Times New Roman" w:hAnsi="Times New Roman" w:eastAsia="宋体" w:cs="Times New Roman"/>
                <w:color w:val="auto"/>
              </w:rPr>
            </w:pPr>
          </w:p>
        </w:tc>
        <w:tc>
          <w:tcPr>
            <w:tcW w:w="501" w:type="pct"/>
            <w:tcBorders>
              <w:top w:val="single" w:color="auto" w:sz="4" w:space="0"/>
              <w:left w:val="single" w:color="auto" w:sz="4" w:space="0"/>
              <w:bottom w:val="single" w:color="auto" w:sz="4" w:space="0"/>
              <w:right w:val="single" w:color="auto" w:sz="4" w:space="0"/>
            </w:tcBorders>
            <w:noWrap w:val="0"/>
            <w:vAlign w:val="center"/>
          </w:tcPr>
          <w:p w14:paraId="3C260B28">
            <w:pPr>
              <w:pStyle w:val="60"/>
              <w:jc w:val="center"/>
              <w:rPr>
                <w:rFonts w:hint="default" w:ascii="Times New Roman" w:hAnsi="Times New Roman" w:eastAsia="宋体" w:cs="Times New Roman"/>
                <w:color w:val="auto"/>
              </w:rPr>
            </w:pPr>
          </w:p>
        </w:tc>
        <w:tc>
          <w:tcPr>
            <w:tcW w:w="1449" w:type="pct"/>
            <w:tcBorders>
              <w:top w:val="single" w:color="auto" w:sz="4" w:space="0"/>
              <w:left w:val="single" w:color="auto" w:sz="4" w:space="0"/>
              <w:bottom w:val="single" w:color="auto" w:sz="4" w:space="0"/>
              <w:right w:val="single" w:color="auto" w:sz="4" w:space="0"/>
            </w:tcBorders>
            <w:noWrap w:val="0"/>
            <w:vAlign w:val="center"/>
          </w:tcPr>
          <w:p w14:paraId="5D30144D">
            <w:pPr>
              <w:pStyle w:val="60"/>
              <w:rPr>
                <w:rFonts w:hint="default" w:ascii="Times New Roman" w:hAnsi="Times New Roman" w:eastAsia="宋体" w:cs="Times New Roman"/>
                <w:color w:val="auto"/>
              </w:rPr>
            </w:pPr>
          </w:p>
        </w:tc>
      </w:tr>
      <w:tr w14:paraId="3098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5552BE0D">
            <w:pPr>
              <w:pStyle w:val="6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64F67F5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挖方</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11A2ECDA">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5C894EE4">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5808</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57F2F271">
            <w:pPr>
              <w:pStyle w:val="60"/>
              <w:rPr>
                <w:rFonts w:hint="default" w:ascii="Times New Roman" w:hAnsi="Times New Roman" w:eastAsia="宋体" w:cs="Times New Roman"/>
                <w:color w:val="auto"/>
              </w:rPr>
            </w:pPr>
          </w:p>
        </w:tc>
      </w:tr>
      <w:tr w14:paraId="2D64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62DB5FA6">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6C7924C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填方</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5C5B3121">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571D3C9C">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5808</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5B17D5F0">
            <w:pPr>
              <w:pStyle w:val="60"/>
              <w:rPr>
                <w:rFonts w:hint="default" w:ascii="Times New Roman" w:hAnsi="Times New Roman" w:eastAsia="宋体" w:cs="Times New Roman"/>
                <w:color w:val="auto"/>
              </w:rPr>
            </w:pPr>
          </w:p>
        </w:tc>
      </w:tr>
      <w:tr w14:paraId="6FEE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1315D058">
            <w:pPr>
              <w:pStyle w:val="60"/>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val="en-US" w:eastAsia="zh-CN"/>
              </w:rPr>
              <w:t>4</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0496D221">
            <w:pPr>
              <w:pStyle w:val="60"/>
              <w:jc w:val="left"/>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附属工程</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70EAD540">
            <w:pPr>
              <w:pStyle w:val="60"/>
              <w:jc w:val="center"/>
              <w:rPr>
                <w:rFonts w:hint="default" w:ascii="Times New Roman" w:hAnsi="Times New Roman" w:eastAsia="宋体" w:cs="Times New Roman"/>
                <w:color w:val="auto"/>
              </w:rPr>
            </w:pPr>
          </w:p>
        </w:tc>
        <w:tc>
          <w:tcPr>
            <w:tcW w:w="501" w:type="pct"/>
            <w:tcBorders>
              <w:top w:val="single" w:color="auto" w:sz="4" w:space="0"/>
              <w:left w:val="single" w:color="auto" w:sz="4" w:space="0"/>
              <w:bottom w:val="single" w:color="auto" w:sz="4" w:space="0"/>
              <w:right w:val="single" w:color="auto" w:sz="4" w:space="0"/>
            </w:tcBorders>
            <w:noWrap w:val="0"/>
            <w:vAlign w:val="center"/>
          </w:tcPr>
          <w:p w14:paraId="36EB2C9D">
            <w:pPr>
              <w:pStyle w:val="60"/>
              <w:jc w:val="center"/>
              <w:rPr>
                <w:rFonts w:hint="default" w:ascii="Times New Roman" w:hAnsi="Times New Roman" w:eastAsia="宋体" w:cs="Times New Roman"/>
                <w:color w:val="auto"/>
              </w:rPr>
            </w:pPr>
          </w:p>
        </w:tc>
        <w:tc>
          <w:tcPr>
            <w:tcW w:w="1449" w:type="pct"/>
            <w:tcBorders>
              <w:top w:val="single" w:color="auto" w:sz="4" w:space="0"/>
              <w:left w:val="single" w:color="auto" w:sz="4" w:space="0"/>
              <w:bottom w:val="single" w:color="auto" w:sz="4" w:space="0"/>
              <w:right w:val="single" w:color="auto" w:sz="4" w:space="0"/>
            </w:tcBorders>
            <w:noWrap w:val="0"/>
            <w:vAlign w:val="center"/>
          </w:tcPr>
          <w:p w14:paraId="4D289930">
            <w:pPr>
              <w:pStyle w:val="60"/>
              <w:rPr>
                <w:rFonts w:hint="default" w:ascii="Times New Roman" w:hAnsi="Times New Roman" w:eastAsia="宋体" w:cs="Times New Roman"/>
                <w:color w:val="auto"/>
              </w:rPr>
            </w:pPr>
          </w:p>
        </w:tc>
      </w:tr>
      <w:tr w14:paraId="4919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7F24B07A">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2098A043">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标志桩</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2E2C8EEA">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个</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14690124">
            <w:pPr>
              <w:pStyle w:val="60"/>
              <w:jc w:val="center"/>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29</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69126D2D">
            <w:pPr>
              <w:pStyle w:val="60"/>
              <w:rPr>
                <w:rFonts w:hint="default" w:ascii="Times New Roman" w:hAnsi="Times New Roman" w:eastAsia="宋体" w:cs="Times New Roman"/>
                <w:color w:val="auto"/>
              </w:rPr>
            </w:pPr>
          </w:p>
        </w:tc>
      </w:tr>
      <w:tr w14:paraId="369E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697166B7">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640637FF">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警示牌</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539F432B">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个</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7E0B23C1">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2</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69ECD4B4">
            <w:pPr>
              <w:pStyle w:val="60"/>
              <w:rPr>
                <w:rFonts w:hint="default" w:ascii="Times New Roman" w:hAnsi="Times New Roman" w:eastAsia="宋体" w:cs="Times New Roman"/>
                <w:color w:val="auto"/>
              </w:rPr>
            </w:pPr>
          </w:p>
        </w:tc>
      </w:tr>
      <w:tr w14:paraId="1AD1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368BFB02">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6AB6F695">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测试</w:t>
            </w:r>
            <w:r>
              <w:rPr>
                <w:rFonts w:hint="default" w:ascii="Times New Roman" w:hAnsi="Times New Roman" w:eastAsia="宋体" w:cs="Times New Roman"/>
                <w:color w:val="auto"/>
              </w:rPr>
              <w:t>桩</w:t>
            </w:r>
            <w:r>
              <w:rPr>
                <w:rFonts w:hint="default" w:ascii="Times New Roman" w:hAnsi="Times New Roman" w:eastAsia="宋体" w:cs="Times New Roman"/>
                <w:color w:val="auto"/>
                <w:lang w:val="en-US" w:eastAsia="zh-CN"/>
              </w:rPr>
              <w:t xml:space="preserve"> D108×4×2500</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2A574B8B">
            <w:pPr>
              <w:pStyle w:val="6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套</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5131E59D">
            <w:pPr>
              <w:pStyle w:val="6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2</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03BE8258">
            <w:pPr>
              <w:pStyle w:val="60"/>
              <w:rPr>
                <w:rFonts w:hint="default" w:ascii="Times New Roman" w:hAnsi="Times New Roman" w:eastAsia="宋体" w:cs="Times New Roman"/>
                <w:color w:val="auto"/>
              </w:rPr>
            </w:pPr>
          </w:p>
        </w:tc>
      </w:tr>
      <w:tr w14:paraId="2855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08ECA54B">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4</w:t>
            </w:r>
            <w:r>
              <w:rPr>
                <w:rFonts w:hint="default" w:ascii="Times New Roman" w:hAnsi="Times New Roman" w:eastAsia="宋体" w:cs="Times New Roman"/>
                <w:color w:val="auto"/>
                <w:lang w:val="en-US" w:eastAsia="zh-CN"/>
              </w:rPr>
              <w:t>)</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0772259C">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警示带</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5F252919">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m</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1BCEE24E">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451.9</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61C96629">
            <w:pPr>
              <w:pStyle w:val="60"/>
              <w:rPr>
                <w:rFonts w:hint="default" w:ascii="Times New Roman" w:hAnsi="Times New Roman" w:eastAsia="宋体" w:cs="Times New Roman"/>
                <w:color w:val="auto"/>
              </w:rPr>
            </w:pPr>
          </w:p>
        </w:tc>
      </w:tr>
      <w:tr w14:paraId="5862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6BBDAD40">
            <w:pPr>
              <w:pStyle w:val="60"/>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val="en-US" w:eastAsia="zh-CN"/>
              </w:rPr>
              <w:t>5</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2E6ED1D1">
            <w:pPr>
              <w:pStyle w:val="60"/>
              <w:jc w:val="left"/>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临时占地</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6775A9DB">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h</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408DDDCD">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0.91</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0977C310">
            <w:pPr>
              <w:pStyle w:val="60"/>
              <w:rPr>
                <w:rFonts w:hint="default" w:ascii="Times New Roman" w:hAnsi="Times New Roman" w:eastAsia="宋体" w:cs="Times New Roman"/>
                <w:color w:val="auto"/>
              </w:rPr>
            </w:pPr>
          </w:p>
        </w:tc>
      </w:tr>
      <w:tr w14:paraId="65B5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24BD1353">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0DBC13E3">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施工作业带</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2927FE15">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h</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0469E986">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0.91</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19298C35">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作业带</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m</w:t>
            </w:r>
          </w:p>
        </w:tc>
      </w:tr>
      <w:tr w14:paraId="592A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op w:val="single" w:color="auto" w:sz="4" w:space="0"/>
              <w:left w:val="single" w:color="auto" w:sz="4" w:space="0"/>
              <w:bottom w:val="single" w:color="auto" w:sz="4" w:space="0"/>
              <w:right w:val="single" w:color="auto" w:sz="4" w:space="0"/>
            </w:tcBorders>
            <w:noWrap w:val="0"/>
            <w:vAlign w:val="center"/>
          </w:tcPr>
          <w:p w14:paraId="5390E944">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w:t>
            </w:r>
          </w:p>
        </w:tc>
        <w:tc>
          <w:tcPr>
            <w:tcW w:w="2237" w:type="pct"/>
            <w:tcBorders>
              <w:top w:val="single" w:color="auto" w:sz="4" w:space="0"/>
              <w:left w:val="single" w:color="auto" w:sz="4" w:space="0"/>
              <w:bottom w:val="single" w:color="auto" w:sz="4" w:space="0"/>
              <w:right w:val="single" w:color="auto" w:sz="4" w:space="0"/>
            </w:tcBorders>
            <w:noWrap w:val="0"/>
            <w:vAlign w:val="center"/>
          </w:tcPr>
          <w:p w14:paraId="7EA5F40D">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堆管场</w:t>
            </w:r>
          </w:p>
        </w:tc>
        <w:tc>
          <w:tcPr>
            <w:tcW w:w="396" w:type="pct"/>
            <w:tcBorders>
              <w:top w:val="single" w:color="auto" w:sz="4" w:space="0"/>
              <w:left w:val="single" w:color="auto" w:sz="4" w:space="0"/>
              <w:bottom w:val="single" w:color="auto" w:sz="4" w:space="0"/>
              <w:right w:val="single" w:color="auto" w:sz="4" w:space="0"/>
            </w:tcBorders>
            <w:noWrap w:val="0"/>
            <w:vAlign w:val="center"/>
          </w:tcPr>
          <w:p w14:paraId="48E3A5FB">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h</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501" w:type="pct"/>
            <w:tcBorders>
              <w:top w:val="single" w:color="auto" w:sz="4" w:space="0"/>
              <w:left w:val="single" w:color="auto" w:sz="4" w:space="0"/>
              <w:bottom w:val="single" w:color="auto" w:sz="4" w:space="0"/>
              <w:right w:val="single" w:color="auto" w:sz="4" w:space="0"/>
            </w:tcBorders>
            <w:noWrap w:val="0"/>
            <w:vAlign w:val="center"/>
          </w:tcPr>
          <w:p w14:paraId="2DA1C9D1">
            <w:pPr>
              <w:pStyle w:val="60"/>
              <w:jc w:val="center"/>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0.03</w:t>
            </w:r>
          </w:p>
        </w:tc>
        <w:tc>
          <w:tcPr>
            <w:tcW w:w="1449" w:type="pct"/>
            <w:tcBorders>
              <w:top w:val="single" w:color="auto" w:sz="4" w:space="0"/>
              <w:left w:val="single" w:color="auto" w:sz="4" w:space="0"/>
              <w:bottom w:val="single" w:color="auto" w:sz="4" w:space="0"/>
              <w:right w:val="single" w:color="auto" w:sz="4" w:space="0"/>
            </w:tcBorders>
            <w:noWrap w:val="0"/>
            <w:vAlign w:val="center"/>
          </w:tcPr>
          <w:p w14:paraId="396B9C73">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处</w:t>
            </w:r>
          </w:p>
        </w:tc>
      </w:tr>
    </w:tbl>
    <w:p w14:paraId="58DDA713">
      <w:pPr>
        <w:pStyle w:val="58"/>
        <w:rPr>
          <w:rFonts w:hint="default" w:ascii="Times New Roman" w:hAnsi="Times New Roman" w:eastAsia="宋体" w:cs="Times New Roman"/>
          <w:bCs/>
          <w:color w:val="auto"/>
        </w:rPr>
      </w:pPr>
    </w:p>
    <w:p w14:paraId="3EC718F0">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本项目消耗的原材料主要是管材、水泥等，能源消耗主要有水、电，见表2.</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lang w:val="en-US" w:eastAsia="zh-CN"/>
        </w:rPr>
        <w:t>-3。</w:t>
      </w:r>
    </w:p>
    <w:p w14:paraId="5EB01013">
      <w:pPr>
        <w:pStyle w:val="58"/>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w:t>
      </w:r>
      <w:r>
        <w:rPr>
          <w:rFonts w:hint="eastAsia" w:ascii="Times New Roman" w:hAnsi="Times New Roman" w:cs="Times New Roman"/>
          <w:b/>
          <w:bCs/>
          <w:color w:val="auto"/>
          <w:lang w:val="en-US" w:eastAsia="zh-CN"/>
        </w:rPr>
        <w:t>2</w:t>
      </w:r>
      <w:r>
        <w:rPr>
          <w:rFonts w:hint="default" w:ascii="Times New Roman" w:hAnsi="Times New Roman" w:eastAsia="宋体" w:cs="Times New Roman"/>
          <w:b/>
          <w:bCs/>
          <w:color w:val="auto"/>
          <w:lang w:val="en-US" w:eastAsia="zh-CN"/>
        </w:rPr>
        <w:t>-3 项目原辅材料及能源消耗表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733"/>
        <w:gridCol w:w="2048"/>
        <w:gridCol w:w="1780"/>
        <w:gridCol w:w="1368"/>
        <w:gridCol w:w="1160"/>
      </w:tblGrid>
      <w:tr w14:paraId="217D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6"/>
            <w:noWrap w:val="0"/>
            <w:vAlign w:val="center"/>
          </w:tcPr>
          <w:p w14:paraId="17D6818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原材料</w:t>
            </w:r>
          </w:p>
        </w:tc>
      </w:tr>
      <w:tr w14:paraId="6A2B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0"/>
            <w:vAlign w:val="center"/>
          </w:tcPr>
          <w:p w14:paraId="22A415ED">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18" w:type="pct"/>
            <w:noWrap w:val="0"/>
            <w:vAlign w:val="center"/>
          </w:tcPr>
          <w:p w14:paraId="688E7199">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材料名称</w:t>
            </w:r>
          </w:p>
        </w:tc>
        <w:tc>
          <w:tcPr>
            <w:tcW w:w="1203" w:type="pct"/>
            <w:noWrap w:val="0"/>
            <w:vAlign w:val="center"/>
          </w:tcPr>
          <w:p w14:paraId="17A558C4">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型号</w:t>
            </w:r>
          </w:p>
        </w:tc>
        <w:tc>
          <w:tcPr>
            <w:tcW w:w="1045" w:type="pct"/>
            <w:noWrap w:val="0"/>
            <w:vAlign w:val="center"/>
          </w:tcPr>
          <w:p w14:paraId="530CCADB">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主要成分、材质</w:t>
            </w:r>
          </w:p>
        </w:tc>
        <w:tc>
          <w:tcPr>
            <w:tcW w:w="803" w:type="pct"/>
            <w:noWrap w:val="0"/>
            <w:vAlign w:val="center"/>
          </w:tcPr>
          <w:p w14:paraId="706DE6E2">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消耗量</w:t>
            </w:r>
          </w:p>
        </w:tc>
        <w:tc>
          <w:tcPr>
            <w:tcW w:w="678" w:type="pct"/>
            <w:noWrap w:val="0"/>
            <w:vAlign w:val="center"/>
          </w:tcPr>
          <w:p w14:paraId="0D821AC9">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63C6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0"/>
            <w:vAlign w:val="center"/>
          </w:tcPr>
          <w:p w14:paraId="7A5FCD8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18" w:type="pct"/>
            <w:noWrap w:val="0"/>
            <w:vAlign w:val="center"/>
          </w:tcPr>
          <w:p w14:paraId="051EB73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集输管材</w:t>
            </w:r>
          </w:p>
        </w:tc>
        <w:tc>
          <w:tcPr>
            <w:tcW w:w="1203" w:type="pct"/>
            <w:noWrap w:val="0"/>
            <w:vAlign w:val="center"/>
          </w:tcPr>
          <w:p w14:paraId="56E504F6">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D89×5 L245N PSL2</w:t>
            </w:r>
          </w:p>
        </w:tc>
        <w:tc>
          <w:tcPr>
            <w:tcW w:w="1045" w:type="pct"/>
            <w:noWrap w:val="0"/>
            <w:vAlign w:val="center"/>
          </w:tcPr>
          <w:p w14:paraId="6EB7965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无缝钢管</w:t>
            </w:r>
          </w:p>
        </w:tc>
        <w:tc>
          <w:tcPr>
            <w:tcW w:w="803" w:type="pct"/>
            <w:noWrap w:val="0"/>
            <w:vAlign w:val="center"/>
          </w:tcPr>
          <w:p w14:paraId="7C643F2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1451.9m</w:t>
            </w:r>
          </w:p>
        </w:tc>
        <w:tc>
          <w:tcPr>
            <w:tcW w:w="678" w:type="pct"/>
            <w:noWrap w:val="0"/>
            <w:vAlign w:val="center"/>
          </w:tcPr>
          <w:p w14:paraId="4C3F509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592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0"/>
            <w:vAlign w:val="center"/>
          </w:tcPr>
          <w:p w14:paraId="57C78BDF">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18" w:type="pct"/>
            <w:noWrap w:val="0"/>
            <w:vAlign w:val="center"/>
          </w:tcPr>
          <w:p w14:paraId="1845C6F4">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混凝土</w:t>
            </w:r>
          </w:p>
        </w:tc>
        <w:tc>
          <w:tcPr>
            <w:tcW w:w="1203" w:type="pct"/>
            <w:noWrap w:val="0"/>
            <w:vAlign w:val="center"/>
          </w:tcPr>
          <w:p w14:paraId="3C292D2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5" w:type="pct"/>
            <w:noWrap w:val="0"/>
            <w:vAlign w:val="center"/>
          </w:tcPr>
          <w:p w14:paraId="06379A42">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水泥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碎石等</w:t>
            </w:r>
          </w:p>
        </w:tc>
        <w:tc>
          <w:tcPr>
            <w:tcW w:w="803" w:type="pct"/>
            <w:noWrap w:val="0"/>
            <w:vAlign w:val="center"/>
          </w:tcPr>
          <w:p w14:paraId="08EDD8B3">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40kg</w:t>
            </w:r>
          </w:p>
        </w:tc>
        <w:tc>
          <w:tcPr>
            <w:tcW w:w="678" w:type="pct"/>
            <w:noWrap w:val="0"/>
            <w:vAlign w:val="center"/>
          </w:tcPr>
          <w:p w14:paraId="5CE3B29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02D0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0"/>
            <w:vAlign w:val="center"/>
          </w:tcPr>
          <w:p w14:paraId="48DD600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18" w:type="pct"/>
            <w:noWrap w:val="0"/>
            <w:vAlign w:val="center"/>
          </w:tcPr>
          <w:p w14:paraId="5D5FDD38">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氮气</w:t>
            </w:r>
          </w:p>
        </w:tc>
        <w:tc>
          <w:tcPr>
            <w:tcW w:w="1203" w:type="pct"/>
            <w:noWrap w:val="0"/>
            <w:vAlign w:val="center"/>
          </w:tcPr>
          <w:p w14:paraId="30A02C9C">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045" w:type="pct"/>
            <w:noWrap w:val="0"/>
            <w:vAlign w:val="center"/>
          </w:tcPr>
          <w:p w14:paraId="66B925B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vertAlign w:val="subscript"/>
                <w:lang w:val="en-US" w:eastAsia="zh-CN"/>
              </w:rPr>
              <w:t>2</w:t>
            </w:r>
          </w:p>
        </w:tc>
        <w:tc>
          <w:tcPr>
            <w:tcW w:w="803" w:type="pct"/>
            <w:noWrap w:val="0"/>
            <w:vAlign w:val="center"/>
          </w:tcPr>
          <w:p w14:paraId="60044613">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485m</w:t>
            </w:r>
            <w:r>
              <w:rPr>
                <w:rFonts w:hint="default" w:ascii="Times New Roman" w:hAnsi="Times New Roman" w:eastAsia="宋体" w:cs="Times New Roman"/>
                <w:color w:val="auto"/>
                <w:sz w:val="21"/>
                <w:szCs w:val="21"/>
                <w:vertAlign w:val="superscript"/>
                <w:lang w:val="en-US" w:eastAsia="zh-CN"/>
              </w:rPr>
              <w:t>3</w:t>
            </w:r>
          </w:p>
        </w:tc>
        <w:tc>
          <w:tcPr>
            <w:tcW w:w="678" w:type="pct"/>
            <w:noWrap w:val="0"/>
            <w:vAlign w:val="center"/>
          </w:tcPr>
          <w:p w14:paraId="2ADD6BC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720F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0"/>
            <w:vAlign w:val="center"/>
          </w:tcPr>
          <w:p w14:paraId="427267C3">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018" w:type="pct"/>
            <w:noWrap w:val="0"/>
            <w:vAlign w:val="center"/>
          </w:tcPr>
          <w:p w14:paraId="4D224421">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电焊条</w:t>
            </w:r>
          </w:p>
        </w:tc>
        <w:tc>
          <w:tcPr>
            <w:tcW w:w="1203" w:type="pct"/>
            <w:noWrap w:val="0"/>
            <w:vAlign w:val="center"/>
          </w:tcPr>
          <w:p w14:paraId="60B0FB1D">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5" w:type="pct"/>
            <w:vMerge w:val="restart"/>
            <w:noWrap w:val="0"/>
            <w:vAlign w:val="center"/>
          </w:tcPr>
          <w:p w14:paraId="62DF9E82">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碳、锰、铜、硅等</w:t>
            </w:r>
          </w:p>
        </w:tc>
        <w:tc>
          <w:tcPr>
            <w:tcW w:w="803" w:type="pct"/>
            <w:noWrap w:val="0"/>
            <w:vAlign w:val="center"/>
          </w:tcPr>
          <w:p w14:paraId="36CA62E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35kg</w:t>
            </w:r>
          </w:p>
        </w:tc>
        <w:tc>
          <w:tcPr>
            <w:tcW w:w="678" w:type="pct"/>
            <w:noWrap w:val="0"/>
            <w:vAlign w:val="center"/>
          </w:tcPr>
          <w:p w14:paraId="40CB0E1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BC8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0"/>
            <w:vAlign w:val="center"/>
          </w:tcPr>
          <w:p w14:paraId="72D356F4">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018" w:type="pct"/>
            <w:noWrap w:val="0"/>
            <w:vAlign w:val="center"/>
          </w:tcPr>
          <w:p w14:paraId="2B4051B3">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氩弧焊丝</w:t>
            </w:r>
          </w:p>
        </w:tc>
        <w:tc>
          <w:tcPr>
            <w:tcW w:w="1203" w:type="pct"/>
            <w:noWrap w:val="0"/>
            <w:vAlign w:val="center"/>
          </w:tcPr>
          <w:p w14:paraId="53BC271C">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5" w:type="pct"/>
            <w:vMerge w:val="continue"/>
            <w:noWrap w:val="0"/>
            <w:vAlign w:val="center"/>
          </w:tcPr>
          <w:p w14:paraId="08B7CC4F">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803" w:type="pct"/>
            <w:noWrap w:val="0"/>
            <w:vAlign w:val="center"/>
          </w:tcPr>
          <w:p w14:paraId="07292D8A">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24kg</w:t>
            </w:r>
          </w:p>
        </w:tc>
        <w:tc>
          <w:tcPr>
            <w:tcW w:w="678" w:type="pct"/>
            <w:noWrap w:val="0"/>
            <w:vAlign w:val="center"/>
          </w:tcPr>
          <w:p w14:paraId="5B06FD2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C4F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0"/>
            <w:vAlign w:val="center"/>
          </w:tcPr>
          <w:p w14:paraId="2B32B8FE">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018" w:type="pct"/>
            <w:noWrap w:val="0"/>
            <w:vAlign w:val="center"/>
          </w:tcPr>
          <w:p w14:paraId="011698B3">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乙炔</w:t>
            </w:r>
          </w:p>
        </w:tc>
        <w:tc>
          <w:tcPr>
            <w:tcW w:w="1203" w:type="pct"/>
            <w:noWrap w:val="0"/>
            <w:vAlign w:val="center"/>
          </w:tcPr>
          <w:p w14:paraId="459FAA15">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5" w:type="pct"/>
            <w:noWrap w:val="0"/>
            <w:vAlign w:val="center"/>
          </w:tcPr>
          <w:p w14:paraId="182F771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p>
        </w:tc>
        <w:tc>
          <w:tcPr>
            <w:tcW w:w="803" w:type="pct"/>
            <w:noWrap w:val="0"/>
            <w:vAlign w:val="center"/>
          </w:tcPr>
          <w:p w14:paraId="04B36BFF">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12kg</w:t>
            </w:r>
          </w:p>
        </w:tc>
        <w:tc>
          <w:tcPr>
            <w:tcW w:w="678" w:type="pct"/>
            <w:noWrap w:val="0"/>
            <w:vAlign w:val="center"/>
          </w:tcPr>
          <w:p w14:paraId="5A0F4E5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E28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0"/>
            <w:vAlign w:val="center"/>
          </w:tcPr>
          <w:p w14:paraId="4485C76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018" w:type="pct"/>
            <w:noWrap w:val="0"/>
            <w:vAlign w:val="center"/>
          </w:tcPr>
          <w:p w14:paraId="3225EB46">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氧气</w:t>
            </w:r>
          </w:p>
        </w:tc>
        <w:tc>
          <w:tcPr>
            <w:tcW w:w="1203" w:type="pct"/>
            <w:noWrap w:val="0"/>
            <w:vAlign w:val="center"/>
          </w:tcPr>
          <w:p w14:paraId="7334684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5" w:type="pct"/>
            <w:noWrap w:val="0"/>
            <w:vAlign w:val="center"/>
          </w:tcPr>
          <w:p w14:paraId="303E86D4">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lang w:val="en-US" w:eastAsia="zh-CN"/>
              </w:rPr>
              <w:t>2</w:t>
            </w:r>
          </w:p>
        </w:tc>
        <w:tc>
          <w:tcPr>
            <w:tcW w:w="803" w:type="pct"/>
            <w:noWrap w:val="0"/>
            <w:vAlign w:val="center"/>
          </w:tcPr>
          <w:p w14:paraId="77F7DB1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35kg</w:t>
            </w:r>
          </w:p>
        </w:tc>
        <w:tc>
          <w:tcPr>
            <w:tcW w:w="678" w:type="pct"/>
            <w:noWrap w:val="0"/>
            <w:vAlign w:val="center"/>
          </w:tcPr>
          <w:p w14:paraId="45DBDB9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0D0E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0"/>
            <w:vAlign w:val="center"/>
          </w:tcPr>
          <w:p w14:paraId="18F46C48">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018" w:type="pct"/>
            <w:noWrap w:val="0"/>
            <w:vAlign w:val="center"/>
          </w:tcPr>
          <w:p w14:paraId="498F492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氩气</w:t>
            </w:r>
          </w:p>
        </w:tc>
        <w:tc>
          <w:tcPr>
            <w:tcW w:w="1203" w:type="pct"/>
            <w:noWrap w:val="0"/>
            <w:vAlign w:val="center"/>
          </w:tcPr>
          <w:p w14:paraId="1E6858FD">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5" w:type="pct"/>
            <w:noWrap w:val="0"/>
            <w:vAlign w:val="center"/>
          </w:tcPr>
          <w:p w14:paraId="1396BA43">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Ar</w:t>
            </w:r>
          </w:p>
        </w:tc>
        <w:tc>
          <w:tcPr>
            <w:tcW w:w="803" w:type="pct"/>
            <w:noWrap w:val="0"/>
            <w:vAlign w:val="center"/>
          </w:tcPr>
          <w:p w14:paraId="045A13D9">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22kg</w:t>
            </w:r>
          </w:p>
        </w:tc>
        <w:tc>
          <w:tcPr>
            <w:tcW w:w="678" w:type="pct"/>
            <w:noWrap w:val="0"/>
            <w:vAlign w:val="center"/>
          </w:tcPr>
          <w:p w14:paraId="29B2BF0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46E8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2014A025">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能源</w:t>
            </w:r>
          </w:p>
        </w:tc>
      </w:tr>
      <w:tr w14:paraId="0034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noWrap w:val="0"/>
            <w:vAlign w:val="center"/>
          </w:tcPr>
          <w:p w14:paraId="3AE85B16">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018" w:type="pct"/>
            <w:noWrap w:val="0"/>
            <w:vAlign w:val="center"/>
          </w:tcPr>
          <w:p w14:paraId="796BEEF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1203" w:type="pct"/>
            <w:noWrap w:val="0"/>
            <w:vAlign w:val="center"/>
          </w:tcPr>
          <w:p w14:paraId="64AC67ED">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45" w:type="pct"/>
            <w:noWrap w:val="0"/>
            <w:vAlign w:val="center"/>
          </w:tcPr>
          <w:p w14:paraId="4F9BC4DC">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HO</w:t>
            </w:r>
            <w:r>
              <w:rPr>
                <w:rFonts w:hint="default" w:ascii="Times New Roman" w:hAnsi="Times New Roman" w:eastAsia="宋体" w:cs="Times New Roman"/>
                <w:color w:val="auto"/>
                <w:sz w:val="21"/>
                <w:szCs w:val="21"/>
                <w:vertAlign w:val="subscript"/>
                <w:lang w:val="en-US" w:eastAsia="zh-CN"/>
              </w:rPr>
              <w:t>2</w:t>
            </w:r>
          </w:p>
        </w:tc>
        <w:tc>
          <w:tcPr>
            <w:tcW w:w="803" w:type="pct"/>
            <w:noWrap w:val="0"/>
            <w:vAlign w:val="center"/>
          </w:tcPr>
          <w:p w14:paraId="17A31623">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79.48</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678" w:type="pct"/>
            <w:noWrap w:val="0"/>
            <w:vAlign w:val="center"/>
          </w:tcPr>
          <w:p w14:paraId="5F2D3E11">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试压</w:t>
            </w:r>
          </w:p>
        </w:tc>
      </w:tr>
    </w:tbl>
    <w:p w14:paraId="67029123">
      <w:pPr>
        <w:snapToGrid w:val="0"/>
        <w:spacing w:line="240" w:lineRule="auto"/>
        <w:ind w:firstLine="522"/>
        <w:rPr>
          <w:rFonts w:hint="default" w:ascii="Times New Roman" w:hAnsi="Times New Roman" w:eastAsia="宋体" w:cs="Times New Roman"/>
          <w:b/>
          <w:color w:val="auto"/>
          <w:szCs w:val="26"/>
        </w:rPr>
      </w:pPr>
    </w:p>
    <w:p w14:paraId="411617E2">
      <w:pPr>
        <w:spacing w:line="500" w:lineRule="exact"/>
        <w:ind w:firstLine="522" w:firstLineChars="200"/>
        <w:outlineLvl w:val="1"/>
        <w:rPr>
          <w:rFonts w:hint="default" w:ascii="Times New Roman" w:hAnsi="Times New Roman" w:eastAsia="宋体" w:cs="Times New Roman"/>
          <w:b/>
          <w:color w:val="auto"/>
          <w:sz w:val="26"/>
          <w:szCs w:val="26"/>
          <w:lang w:val="en-US" w:eastAsia="zh-CN"/>
        </w:rPr>
      </w:pPr>
      <w:bookmarkStart w:id="235" w:name="_Toc14275"/>
      <w:bookmarkStart w:id="236" w:name="_Toc60144386"/>
      <w:bookmarkStart w:id="237" w:name="_Toc45551072"/>
      <w:bookmarkStart w:id="238" w:name="_Toc13800"/>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线路工程</w:t>
      </w:r>
      <w:bookmarkEnd w:id="235"/>
      <w:bookmarkEnd w:id="236"/>
      <w:bookmarkEnd w:id="237"/>
      <w:r>
        <w:rPr>
          <w:rFonts w:hint="default" w:ascii="Times New Roman" w:hAnsi="Times New Roman" w:eastAsia="宋体" w:cs="Times New Roman"/>
          <w:b/>
          <w:color w:val="auto"/>
          <w:sz w:val="26"/>
          <w:szCs w:val="26"/>
          <w:lang w:val="en-US" w:eastAsia="zh-CN"/>
        </w:rPr>
        <w:t>概况</w:t>
      </w:r>
      <w:bookmarkEnd w:id="238"/>
    </w:p>
    <w:p w14:paraId="7272C6AC">
      <w:pPr>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.1选线原则</w:t>
      </w:r>
    </w:p>
    <w:p w14:paraId="5876E16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（1）线路走向应符合中华人民共和国国家标准《输气管道工程设计规范》（GB50251-2015）中有关规定；</w:t>
      </w:r>
    </w:p>
    <w:p w14:paraId="7A00508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（2）将安全放于首要位置，尽量避开人口稠密区和人员聚集地；</w:t>
      </w:r>
    </w:p>
    <w:p w14:paraId="12842F02">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（3）线路力求顺直、平缓，合理利用地形条件，缩短线路长度，以节省钢材投资和维护</w:t>
      </w:r>
      <w:r>
        <w:rPr>
          <w:rFonts w:hint="default" w:ascii="Times New Roman" w:hAnsi="Times New Roman" w:eastAsia="宋体" w:cs="Times New Roman"/>
          <w:color w:val="auto"/>
          <w:shd w:val="clear" w:fill="FFFFFF"/>
        </w:rPr>
        <w:t>费</w:t>
      </w:r>
      <w:r>
        <w:rPr>
          <w:rFonts w:hint="default" w:ascii="Times New Roman" w:hAnsi="Times New Roman" w:eastAsia="宋体" w:cs="Times New Roman"/>
          <w:color w:val="auto"/>
          <w:lang w:eastAsia="zh-CN"/>
        </w:rPr>
        <w:t>；</w:t>
      </w:r>
    </w:p>
    <w:p w14:paraId="05CCEEF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（4）线路走向应减少与天然或人工障碍物的交叉，尽量避免发生大型的穿跨越；</w:t>
      </w:r>
    </w:p>
    <w:p w14:paraId="439ED36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（5）线路选择与沿线规划等有关部门</w:t>
      </w:r>
      <w:r>
        <w:rPr>
          <w:rFonts w:hint="default" w:ascii="Times New Roman" w:hAnsi="Times New Roman" w:eastAsia="宋体" w:cs="Times New Roman"/>
          <w:color w:val="auto"/>
          <w:shd w:val="clear" w:fill="FFFFFF"/>
          <w:lang w:eastAsia="zh-CN"/>
        </w:rPr>
        <w:t>结合</w:t>
      </w:r>
      <w:r>
        <w:rPr>
          <w:rFonts w:hint="default" w:ascii="Times New Roman" w:hAnsi="Times New Roman" w:eastAsia="宋体" w:cs="Times New Roman"/>
          <w:color w:val="auto"/>
        </w:rPr>
        <w:t>，调查其现状和规划，满足管道与沿线已有构筑物之间的距离要求，遵守相关部门的法规。</w:t>
      </w:r>
    </w:p>
    <w:p w14:paraId="2463D7F0">
      <w:pPr>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.2管线路由及比选</w:t>
      </w:r>
    </w:p>
    <w:p w14:paraId="29E9949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本工程</w:t>
      </w:r>
      <w:r>
        <w:rPr>
          <w:rFonts w:hint="default" w:ascii="Times New Roman" w:hAnsi="Times New Roman" w:eastAsia="宋体" w:cs="Times New Roman"/>
          <w:color w:val="auto"/>
          <w:lang w:val="en-US" w:eastAsia="zh-CN"/>
        </w:rPr>
        <w:t>改建</w:t>
      </w:r>
      <w:r>
        <w:rPr>
          <w:rFonts w:hint="default" w:ascii="Times New Roman" w:hAnsi="Times New Roman" w:eastAsia="宋体" w:cs="Times New Roman"/>
          <w:color w:val="auto"/>
        </w:rPr>
        <w:t>管道位于重庆市綦江区文龙街道</w:t>
      </w:r>
      <w:r>
        <w:rPr>
          <w:rFonts w:hint="default" w:ascii="Times New Roman" w:hAnsi="Times New Roman" w:eastAsia="宋体" w:cs="Times New Roman"/>
          <w:color w:val="auto"/>
          <w:lang w:eastAsia="zh-CN"/>
        </w:rPr>
        <w:t>，所在地区现状为二级地区</w:t>
      </w:r>
      <w:r>
        <w:rPr>
          <w:rFonts w:hint="default" w:ascii="Times New Roman" w:hAnsi="Times New Roman" w:eastAsia="宋体" w:cs="Times New Roman"/>
          <w:color w:val="auto"/>
        </w:rPr>
        <w:t>。经现场踏勘并结合綦江区水利局提供的金钗水库</w:t>
      </w:r>
      <w:r>
        <w:rPr>
          <w:rFonts w:hint="default" w:ascii="Times New Roman" w:hAnsi="Times New Roman" w:eastAsia="宋体" w:cs="Times New Roman"/>
          <w:color w:val="auto"/>
          <w:lang w:val="en-US" w:eastAsia="zh-CN"/>
        </w:rPr>
        <w:t>用地</w:t>
      </w:r>
      <w:r>
        <w:rPr>
          <w:rFonts w:hint="default" w:ascii="Times New Roman" w:hAnsi="Times New Roman" w:eastAsia="宋体" w:cs="Times New Roman"/>
          <w:color w:val="auto"/>
        </w:rPr>
        <w:t>红线图，</w:t>
      </w:r>
      <w:r>
        <w:rPr>
          <w:rFonts w:hint="default" w:ascii="Times New Roman" w:hAnsi="Times New Roman" w:eastAsia="宋体" w:cs="Times New Roman"/>
          <w:color w:val="auto"/>
          <w:lang w:val="en-US" w:eastAsia="zh-CN"/>
        </w:rPr>
        <w:t>改建</w:t>
      </w:r>
      <w:r>
        <w:rPr>
          <w:rFonts w:hint="default" w:ascii="Times New Roman" w:hAnsi="Times New Roman" w:eastAsia="宋体" w:cs="Times New Roman"/>
          <w:color w:val="auto"/>
        </w:rPr>
        <w:t>管道起于金钗水库东侧，止于金钗水库西侧。初步确定两个迁改路由方案。</w:t>
      </w:r>
    </w:p>
    <w:p w14:paraId="1FEDD088">
      <w:pPr>
        <w:pStyle w:val="56"/>
        <w:numPr>
          <w:ilvl w:val="0"/>
          <w:numId w:val="0"/>
        </w:numPr>
        <w:ind w:firstLine="5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6"/>
          <w:szCs w:val="26"/>
          <w:lang w:val="en-US" w:eastAsia="zh-CN" w:bidi="ar-SA"/>
        </w:rPr>
        <w:t>（1）</w:t>
      </w:r>
      <w:r>
        <w:rPr>
          <w:rFonts w:hint="default" w:ascii="Times New Roman" w:hAnsi="Times New Roman" w:eastAsia="宋体" w:cs="Times New Roman"/>
          <w:b/>
          <w:bCs/>
          <w:color w:val="auto"/>
        </w:rPr>
        <w:t>方案一</w:t>
      </w:r>
      <w:r>
        <w:rPr>
          <w:rFonts w:hint="default" w:ascii="Times New Roman" w:hAnsi="Times New Roman" w:eastAsia="宋体" w:cs="Times New Roman"/>
          <w:color w:val="auto"/>
        </w:rPr>
        <w:t>：迁改管道起于金钗水库东侧林地内，随后向北沿林地敷设约3</w:t>
      </w:r>
      <w:r>
        <w:rPr>
          <w:rFonts w:hint="default" w:ascii="Times New Roman" w:hAnsi="Times New Roman" w:eastAsia="宋体" w:cs="Times New Roman"/>
          <w:color w:val="auto"/>
          <w:lang w:val="en-US" w:eastAsia="zh-CN"/>
        </w:rPr>
        <w:t>50</w:t>
      </w:r>
      <w:r>
        <w:rPr>
          <w:rFonts w:hint="default" w:ascii="Times New Roman" w:hAnsi="Times New Roman" w:eastAsia="宋体" w:cs="Times New Roman"/>
          <w:color w:val="auto"/>
        </w:rPr>
        <w:t>m后，转向西侧沿林地和耕地敷设</w:t>
      </w:r>
      <w:r>
        <w:rPr>
          <w:rFonts w:hint="default" w:ascii="Times New Roman" w:hAnsi="Times New Roman" w:eastAsia="宋体" w:cs="Times New Roman"/>
          <w:color w:val="auto"/>
          <w:lang w:val="en-US" w:eastAsia="zh-CN"/>
        </w:rPr>
        <w:t>595</w:t>
      </w:r>
      <w:r>
        <w:rPr>
          <w:rFonts w:hint="default" w:ascii="Times New Roman" w:hAnsi="Times New Roman" w:eastAsia="宋体" w:cs="Times New Roman"/>
          <w:color w:val="auto"/>
        </w:rPr>
        <w:t>m，最后向南侧沿耕地敷设</w:t>
      </w:r>
      <w:r>
        <w:rPr>
          <w:rFonts w:hint="default" w:ascii="Times New Roman" w:hAnsi="Times New Roman" w:eastAsia="宋体" w:cs="Times New Roman"/>
          <w:color w:val="auto"/>
          <w:lang w:val="en-US" w:eastAsia="zh-CN"/>
        </w:rPr>
        <w:t>506.9</w:t>
      </w:r>
      <w:r>
        <w:rPr>
          <w:rFonts w:hint="default" w:ascii="Times New Roman" w:hAnsi="Times New Roman" w:eastAsia="宋体" w:cs="Times New Roman"/>
          <w:color w:val="auto"/>
        </w:rPr>
        <w:t>m，与原管道碰口。本方案全长约1</w:t>
      </w:r>
      <w:r>
        <w:rPr>
          <w:rFonts w:hint="default" w:ascii="Times New Roman" w:hAnsi="Times New Roman" w:eastAsia="宋体" w:cs="Times New Roman"/>
          <w:color w:val="auto"/>
          <w:lang w:val="en-US" w:eastAsia="zh-CN"/>
        </w:rPr>
        <w:t>451.9</w:t>
      </w:r>
      <w:r>
        <w:rPr>
          <w:rFonts w:hint="default" w:ascii="Times New Roman" w:hAnsi="Times New Roman" w:eastAsia="宋体" w:cs="Times New Roman"/>
          <w:color w:val="auto"/>
        </w:rPr>
        <w:t>m，其中开挖穿越乡村碎石路1次，穿越长度</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m</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开挖穿越乡村水泥道路4次，穿越长度</w:t>
      </w:r>
      <w:r>
        <w:rPr>
          <w:rFonts w:hint="default" w:ascii="Times New Roman" w:hAnsi="Times New Roman" w:eastAsia="宋体" w:cs="Times New Roman"/>
          <w:color w:val="auto"/>
          <w:lang w:val="en-US" w:eastAsia="zh-CN"/>
        </w:rPr>
        <w:t>20</w:t>
      </w:r>
      <w:r>
        <w:rPr>
          <w:rFonts w:hint="default" w:ascii="Times New Roman" w:hAnsi="Times New Roman" w:eastAsia="宋体" w:cs="Times New Roman"/>
          <w:color w:val="auto"/>
        </w:rPr>
        <w:t>m，均采用钢筋混凝土套管DN400保护</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开挖穿越沟渠1次，穿越长度</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6m，穿越采用开挖+钢筋混凝土套管DN400保护，再采用混凝土现浇稳管。</w:t>
      </w:r>
    </w:p>
    <w:p w14:paraId="163648F3">
      <w:pPr>
        <w:pStyle w:val="56"/>
        <w:numPr>
          <w:ilvl w:val="0"/>
          <w:numId w:val="0"/>
        </w:numPr>
        <w:ind w:left="0" w:leftChars="0" w:firstLine="5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6"/>
          <w:szCs w:val="26"/>
          <w:lang w:val="en-US" w:eastAsia="zh-CN" w:bidi="ar-SA"/>
        </w:rPr>
        <w:t>（2）</w:t>
      </w:r>
      <w:r>
        <w:rPr>
          <w:rFonts w:hint="default" w:ascii="Times New Roman" w:hAnsi="Times New Roman" w:eastAsia="宋体" w:cs="Times New Roman"/>
          <w:b/>
          <w:bCs/>
          <w:color w:val="auto"/>
        </w:rPr>
        <w:t>方案二</w:t>
      </w:r>
      <w:r>
        <w:rPr>
          <w:rFonts w:hint="default" w:ascii="Times New Roman" w:hAnsi="Times New Roman" w:eastAsia="宋体" w:cs="Times New Roman"/>
          <w:color w:val="auto"/>
        </w:rPr>
        <w:t>：迁改管道起于金钗水库东侧林地内，随后向南沿林地敷设1015m，转向西侧沿耕地敷设80m，再向西北方向沿林地和耕地敷设</w:t>
      </w:r>
      <w:r>
        <w:rPr>
          <w:rFonts w:hint="default" w:ascii="Times New Roman" w:hAnsi="Times New Roman" w:eastAsia="宋体" w:cs="Times New Roman"/>
          <w:color w:val="auto"/>
          <w:lang w:val="en-US" w:eastAsia="zh-CN"/>
        </w:rPr>
        <w:t>1641.9</w:t>
      </w:r>
      <w:r>
        <w:rPr>
          <w:rFonts w:hint="default" w:ascii="Times New Roman" w:hAnsi="Times New Roman" w:eastAsia="宋体" w:cs="Times New Roman"/>
          <w:color w:val="auto"/>
        </w:rPr>
        <w:t>m后，与原管道碰口。本方案全长约2</w:t>
      </w:r>
      <w:r>
        <w:rPr>
          <w:rFonts w:hint="default" w:ascii="Times New Roman" w:hAnsi="Times New Roman" w:eastAsia="宋体" w:cs="Times New Roman"/>
          <w:color w:val="auto"/>
          <w:lang w:val="en-US" w:eastAsia="zh-CN"/>
        </w:rPr>
        <w:t>736.9</w:t>
      </w:r>
      <w:r>
        <w:rPr>
          <w:rFonts w:hint="default" w:ascii="Times New Roman" w:hAnsi="Times New Roman" w:eastAsia="宋体" w:cs="Times New Roman"/>
          <w:color w:val="auto"/>
        </w:rPr>
        <w:t>m，其中开挖穿越乡村沥青道路1次，穿越长度1</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m，开挖穿越乡村水泥道路4次，穿越长度</w:t>
      </w:r>
      <w:r>
        <w:rPr>
          <w:rFonts w:hint="default" w:ascii="Times New Roman" w:hAnsi="Times New Roman" w:eastAsia="宋体" w:cs="Times New Roman"/>
          <w:color w:val="auto"/>
          <w:lang w:val="en-US" w:eastAsia="zh-CN"/>
        </w:rPr>
        <w:t>20</w:t>
      </w:r>
      <w:r>
        <w:rPr>
          <w:rFonts w:hint="default" w:ascii="Times New Roman" w:hAnsi="Times New Roman" w:eastAsia="宋体" w:cs="Times New Roman"/>
          <w:color w:val="auto"/>
        </w:rPr>
        <w:t>m，均采用钢筋混凝土套管DN400保护。</w:t>
      </w:r>
    </w:p>
    <w:p w14:paraId="7AC07F0A">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eastAsia" w:ascii="Times New Roman" w:hAnsi="Times New Roman" w:cs="Times New Roman"/>
          <w:color w:val="auto"/>
          <w:sz w:val="26"/>
          <w:szCs w:val="26"/>
          <w:vertAlign w:val="baseline"/>
          <w:lang w:val="en-US" w:eastAsia="zh-CN"/>
        </w:rPr>
        <w:t>***</w:t>
      </w:r>
    </w:p>
    <w:p w14:paraId="7A9AF41A">
      <w:pPr>
        <w:pStyle w:val="58"/>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 xml:space="preserve">图2.3-1 </w:t>
      </w:r>
      <w:r>
        <w:rPr>
          <w:rFonts w:hint="default" w:ascii="Times New Roman" w:hAnsi="Times New Roman" w:eastAsia="宋体" w:cs="Times New Roman"/>
          <w:b/>
          <w:color w:val="auto"/>
          <w:sz w:val="21"/>
          <w:szCs w:val="21"/>
        </w:rPr>
        <w:t>方案走向</w:t>
      </w:r>
      <w:r>
        <w:rPr>
          <w:rFonts w:hint="default" w:ascii="Times New Roman" w:hAnsi="Times New Roman" w:eastAsia="宋体" w:cs="Times New Roman"/>
          <w:b/>
          <w:color w:val="auto"/>
          <w:sz w:val="21"/>
          <w:szCs w:val="21"/>
          <w:lang w:val="en-US" w:eastAsia="zh-CN"/>
        </w:rPr>
        <w:t>比选</w:t>
      </w:r>
      <w:r>
        <w:rPr>
          <w:rFonts w:hint="default" w:ascii="Times New Roman" w:hAnsi="Times New Roman" w:eastAsia="宋体" w:cs="Times New Roman"/>
          <w:b/>
          <w:color w:val="auto"/>
          <w:sz w:val="21"/>
          <w:szCs w:val="21"/>
        </w:rPr>
        <w:t>示意</w:t>
      </w:r>
      <w:r>
        <w:rPr>
          <w:rFonts w:hint="default" w:ascii="Times New Roman" w:hAnsi="Times New Roman" w:eastAsia="宋体" w:cs="Times New Roman"/>
          <w:b/>
          <w:color w:val="auto"/>
          <w:sz w:val="21"/>
          <w:szCs w:val="21"/>
          <w:lang w:val="en-US" w:eastAsia="zh-CN"/>
        </w:rPr>
        <w:t>图</w:t>
      </w: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14:paraId="52BE2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noWrap w:val="0"/>
            <w:vAlign w:val="top"/>
          </w:tcPr>
          <w:p w14:paraId="5C848A30">
            <w:pPr>
              <w:pStyle w:val="56"/>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6"/>
                <w:szCs w:val="26"/>
                <w:vertAlign w:val="baseline"/>
                <w:lang w:val="en-US" w:eastAsia="zh-CN"/>
              </w:rPr>
              <w:t>***</w:t>
            </w:r>
          </w:p>
        </w:tc>
      </w:tr>
      <w:tr w14:paraId="16C37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noWrap w:val="0"/>
            <w:vAlign w:val="top"/>
          </w:tcPr>
          <w:p w14:paraId="355601BB">
            <w:pPr>
              <w:pStyle w:val="58"/>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color w:val="auto"/>
                <w:sz w:val="21"/>
                <w:szCs w:val="21"/>
                <w:lang w:val="en-US" w:eastAsia="zh-CN"/>
              </w:rPr>
              <w:t xml:space="preserve">图2.3-2 </w:t>
            </w:r>
            <w:r>
              <w:rPr>
                <w:rFonts w:hint="default" w:ascii="Times New Roman" w:hAnsi="Times New Roman" w:eastAsia="宋体" w:cs="Times New Roman"/>
                <w:b/>
                <w:color w:val="auto"/>
                <w:sz w:val="21"/>
                <w:szCs w:val="21"/>
              </w:rPr>
              <w:t>方案</w:t>
            </w:r>
            <w:r>
              <w:rPr>
                <w:rFonts w:hint="default" w:ascii="Times New Roman" w:hAnsi="Times New Roman" w:eastAsia="宋体" w:cs="Times New Roman"/>
                <w:b/>
                <w:color w:val="auto"/>
                <w:sz w:val="21"/>
                <w:szCs w:val="21"/>
                <w:lang w:val="en-US" w:eastAsia="zh-CN"/>
              </w:rPr>
              <w:t>一</w:t>
            </w:r>
            <w:r>
              <w:rPr>
                <w:rFonts w:hint="default" w:ascii="Times New Roman" w:hAnsi="Times New Roman" w:eastAsia="宋体" w:cs="Times New Roman"/>
                <w:b/>
                <w:color w:val="auto"/>
                <w:sz w:val="21"/>
                <w:szCs w:val="21"/>
              </w:rPr>
              <w:t>线路走向示意图</w:t>
            </w:r>
          </w:p>
        </w:tc>
      </w:tr>
      <w:tr w14:paraId="771C5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noWrap w:val="0"/>
            <w:vAlign w:val="top"/>
          </w:tcPr>
          <w:p w14:paraId="28CC6F06">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6"/>
                <w:szCs w:val="26"/>
                <w:vertAlign w:val="baseline"/>
                <w:lang w:val="en-US" w:eastAsia="zh-CN"/>
              </w:rPr>
              <w:t>***</w:t>
            </w:r>
          </w:p>
        </w:tc>
      </w:tr>
      <w:tr w14:paraId="57ECA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noWrap w:val="0"/>
            <w:vAlign w:val="top"/>
          </w:tcPr>
          <w:p w14:paraId="08886796">
            <w:pPr>
              <w:pStyle w:val="56"/>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color w:val="auto"/>
                <w:sz w:val="21"/>
                <w:szCs w:val="21"/>
                <w:lang w:val="en-US" w:eastAsia="zh-CN"/>
              </w:rPr>
              <w:t xml:space="preserve">图2.3-3 </w:t>
            </w:r>
            <w:r>
              <w:rPr>
                <w:rFonts w:hint="default" w:ascii="Times New Roman" w:hAnsi="Times New Roman" w:eastAsia="宋体" w:cs="Times New Roman"/>
                <w:b/>
                <w:color w:val="auto"/>
                <w:sz w:val="21"/>
                <w:szCs w:val="21"/>
              </w:rPr>
              <w:t>方案</w:t>
            </w:r>
            <w:r>
              <w:rPr>
                <w:rFonts w:hint="default" w:ascii="Times New Roman" w:hAnsi="Times New Roman" w:eastAsia="宋体" w:cs="Times New Roman"/>
                <w:b/>
                <w:color w:val="auto"/>
                <w:sz w:val="21"/>
                <w:szCs w:val="21"/>
                <w:lang w:val="en-US" w:eastAsia="zh-CN"/>
              </w:rPr>
              <w:t>一</w:t>
            </w:r>
            <w:r>
              <w:rPr>
                <w:rFonts w:hint="default" w:ascii="Times New Roman" w:hAnsi="Times New Roman" w:eastAsia="宋体" w:cs="Times New Roman"/>
                <w:b/>
                <w:color w:val="auto"/>
                <w:sz w:val="21"/>
                <w:szCs w:val="21"/>
              </w:rPr>
              <w:t>线路走向</w:t>
            </w:r>
            <w:r>
              <w:rPr>
                <w:rFonts w:hint="default" w:ascii="Times New Roman" w:hAnsi="Times New Roman" w:eastAsia="宋体" w:cs="Times New Roman"/>
                <w:b/>
                <w:color w:val="auto"/>
                <w:sz w:val="21"/>
                <w:szCs w:val="21"/>
                <w:lang w:val="en-US" w:eastAsia="zh-CN"/>
              </w:rPr>
              <w:t>高程</w:t>
            </w:r>
            <w:r>
              <w:rPr>
                <w:rFonts w:hint="default" w:ascii="Times New Roman" w:hAnsi="Times New Roman" w:eastAsia="宋体" w:cs="Times New Roman"/>
                <w:b/>
                <w:color w:val="auto"/>
                <w:sz w:val="21"/>
                <w:szCs w:val="21"/>
              </w:rPr>
              <w:t>图</w:t>
            </w:r>
          </w:p>
        </w:tc>
      </w:tr>
    </w:tbl>
    <w:p w14:paraId="2B2469EE">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lang w:eastAsia="zh-CN"/>
        </w:rPr>
      </w:pP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14:paraId="10E4A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noWrap w:val="0"/>
            <w:vAlign w:val="top"/>
          </w:tcPr>
          <w:p w14:paraId="2ACD3AFF">
            <w:pPr>
              <w:pStyle w:val="56"/>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6"/>
                <w:szCs w:val="26"/>
                <w:vertAlign w:val="baseline"/>
                <w:lang w:val="en-US" w:eastAsia="zh-CN"/>
              </w:rPr>
              <w:t>***</w:t>
            </w:r>
          </w:p>
        </w:tc>
      </w:tr>
      <w:tr w14:paraId="1FBEA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noWrap w:val="0"/>
            <w:vAlign w:val="top"/>
          </w:tcPr>
          <w:p w14:paraId="6097BEB8">
            <w:pPr>
              <w:pStyle w:val="58"/>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color w:val="auto"/>
                <w:sz w:val="21"/>
                <w:szCs w:val="21"/>
                <w:lang w:val="en-US" w:eastAsia="zh-CN"/>
              </w:rPr>
              <w:t xml:space="preserve">图2.3-4 </w:t>
            </w:r>
            <w:r>
              <w:rPr>
                <w:rFonts w:hint="default" w:ascii="Times New Roman" w:hAnsi="Times New Roman" w:eastAsia="宋体" w:cs="Times New Roman"/>
                <w:b/>
                <w:color w:val="auto"/>
                <w:sz w:val="21"/>
                <w:szCs w:val="21"/>
              </w:rPr>
              <w:t>方案</w:t>
            </w:r>
            <w:r>
              <w:rPr>
                <w:rFonts w:hint="default" w:ascii="Times New Roman" w:hAnsi="Times New Roman" w:eastAsia="宋体" w:cs="Times New Roman"/>
                <w:b/>
                <w:color w:val="auto"/>
                <w:sz w:val="21"/>
                <w:szCs w:val="21"/>
                <w:lang w:val="en-US" w:eastAsia="zh-CN"/>
              </w:rPr>
              <w:t>二</w:t>
            </w:r>
            <w:r>
              <w:rPr>
                <w:rFonts w:hint="default" w:ascii="Times New Roman" w:hAnsi="Times New Roman" w:eastAsia="宋体" w:cs="Times New Roman"/>
                <w:b/>
                <w:color w:val="auto"/>
                <w:sz w:val="21"/>
                <w:szCs w:val="21"/>
              </w:rPr>
              <w:t>线路走向示意图</w:t>
            </w:r>
          </w:p>
        </w:tc>
      </w:tr>
      <w:tr w14:paraId="5F203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noWrap w:val="0"/>
            <w:vAlign w:val="top"/>
          </w:tcPr>
          <w:p w14:paraId="1DC7245D">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6"/>
                <w:szCs w:val="26"/>
                <w:vertAlign w:val="baseline"/>
                <w:lang w:val="en-US" w:eastAsia="zh-CN"/>
              </w:rPr>
              <w:t>***</w:t>
            </w:r>
          </w:p>
        </w:tc>
      </w:tr>
      <w:tr w14:paraId="06EE9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noWrap w:val="0"/>
            <w:vAlign w:val="top"/>
          </w:tcPr>
          <w:p w14:paraId="6D1A3CB7">
            <w:pPr>
              <w:pStyle w:val="56"/>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color w:val="auto"/>
                <w:sz w:val="21"/>
                <w:szCs w:val="21"/>
                <w:lang w:val="en-US" w:eastAsia="zh-CN"/>
              </w:rPr>
              <w:t xml:space="preserve">图2.3-5 </w:t>
            </w:r>
            <w:r>
              <w:rPr>
                <w:rFonts w:hint="default" w:ascii="Times New Roman" w:hAnsi="Times New Roman" w:eastAsia="宋体" w:cs="Times New Roman"/>
                <w:b/>
                <w:color w:val="auto"/>
                <w:sz w:val="21"/>
                <w:szCs w:val="21"/>
              </w:rPr>
              <w:t>方案</w:t>
            </w:r>
            <w:r>
              <w:rPr>
                <w:rFonts w:hint="default" w:ascii="Times New Roman" w:hAnsi="Times New Roman" w:eastAsia="宋体" w:cs="Times New Roman"/>
                <w:b/>
                <w:color w:val="auto"/>
                <w:sz w:val="21"/>
                <w:szCs w:val="21"/>
                <w:lang w:val="en-US" w:eastAsia="zh-CN"/>
              </w:rPr>
              <w:t>二</w:t>
            </w:r>
            <w:r>
              <w:rPr>
                <w:rFonts w:hint="default" w:ascii="Times New Roman" w:hAnsi="Times New Roman" w:eastAsia="宋体" w:cs="Times New Roman"/>
                <w:b/>
                <w:color w:val="auto"/>
                <w:sz w:val="21"/>
                <w:szCs w:val="21"/>
              </w:rPr>
              <w:t>线路走向</w:t>
            </w:r>
            <w:r>
              <w:rPr>
                <w:rFonts w:hint="default" w:ascii="Times New Roman" w:hAnsi="Times New Roman" w:eastAsia="宋体" w:cs="Times New Roman"/>
                <w:b/>
                <w:color w:val="auto"/>
                <w:sz w:val="21"/>
                <w:szCs w:val="21"/>
                <w:lang w:val="en-US" w:eastAsia="zh-CN"/>
              </w:rPr>
              <w:t>高程</w:t>
            </w:r>
            <w:r>
              <w:rPr>
                <w:rFonts w:hint="default" w:ascii="Times New Roman" w:hAnsi="Times New Roman" w:eastAsia="宋体" w:cs="Times New Roman"/>
                <w:b/>
                <w:color w:val="auto"/>
                <w:sz w:val="21"/>
                <w:szCs w:val="21"/>
              </w:rPr>
              <w:t>图</w:t>
            </w:r>
          </w:p>
        </w:tc>
      </w:tr>
    </w:tbl>
    <w:p w14:paraId="2D6D2488">
      <w:pPr>
        <w:pStyle w:val="56"/>
        <w:rPr>
          <w:rFonts w:hint="default" w:ascii="Times New Roman" w:hAnsi="Times New Roman" w:eastAsia="宋体" w:cs="Times New Roman"/>
          <w:color w:val="auto"/>
        </w:rPr>
      </w:pPr>
    </w:p>
    <w:p w14:paraId="74DDA9C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方案一和方案二比选情况详见表2.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-1。</w:t>
      </w:r>
    </w:p>
    <w:p w14:paraId="651D2E45">
      <w:pPr>
        <w:pStyle w:val="58"/>
        <w:rPr>
          <w:rFonts w:hint="default" w:ascii="Times New Roman" w:hAnsi="Times New Roman" w:eastAsia="宋体" w:cs="Times New Roman"/>
          <w:color w:val="auto"/>
        </w:rPr>
      </w:pPr>
    </w:p>
    <w:p w14:paraId="6808E3AD">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-1  方案一和方案二环保比选表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47"/>
        <w:gridCol w:w="2368"/>
        <w:gridCol w:w="2163"/>
        <w:gridCol w:w="282"/>
        <w:gridCol w:w="2041"/>
        <w:gridCol w:w="1055"/>
      </w:tblGrid>
      <w:tr w14:paraId="602D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noWrap w:val="0"/>
            <w:vAlign w:val="center"/>
          </w:tcPr>
          <w:p w14:paraId="7DFBA9E1">
            <w:pPr>
              <w:pStyle w:val="8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1417" w:type="pct"/>
            <w:noWrap w:val="0"/>
            <w:vAlign w:val="center"/>
          </w:tcPr>
          <w:p w14:paraId="41D80346">
            <w:pPr>
              <w:pStyle w:val="8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项目</w:t>
            </w:r>
          </w:p>
        </w:tc>
        <w:tc>
          <w:tcPr>
            <w:tcW w:w="1294" w:type="pct"/>
            <w:noWrap w:val="0"/>
            <w:vAlign w:val="center"/>
          </w:tcPr>
          <w:p w14:paraId="10EDC818">
            <w:pPr>
              <w:pStyle w:val="8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方案一</w:t>
            </w:r>
          </w:p>
        </w:tc>
        <w:tc>
          <w:tcPr>
            <w:tcW w:w="1390" w:type="pct"/>
            <w:gridSpan w:val="2"/>
            <w:noWrap w:val="0"/>
            <w:vAlign w:val="center"/>
          </w:tcPr>
          <w:p w14:paraId="5CD1A244">
            <w:pPr>
              <w:pStyle w:val="8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方案二</w:t>
            </w:r>
          </w:p>
        </w:tc>
        <w:tc>
          <w:tcPr>
            <w:tcW w:w="630" w:type="pct"/>
            <w:noWrap w:val="0"/>
            <w:vAlign w:val="center"/>
          </w:tcPr>
          <w:p w14:paraId="5EC568FC">
            <w:pPr>
              <w:pStyle w:val="87"/>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比较结果</w:t>
            </w:r>
          </w:p>
        </w:tc>
      </w:tr>
      <w:tr w14:paraId="7F68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6"/>
            <w:noWrap w:val="0"/>
            <w:vAlign w:val="center"/>
          </w:tcPr>
          <w:p w14:paraId="609A1E06">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工程比选</w:t>
            </w:r>
          </w:p>
        </w:tc>
      </w:tr>
      <w:tr w14:paraId="2A44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noWrap w:val="0"/>
            <w:vAlign w:val="center"/>
          </w:tcPr>
          <w:p w14:paraId="23EB67A9">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417" w:type="pct"/>
            <w:noWrap w:val="0"/>
            <w:vAlign w:val="center"/>
          </w:tcPr>
          <w:p w14:paraId="26A0E23E">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管线长度（m）</w:t>
            </w:r>
          </w:p>
        </w:tc>
        <w:tc>
          <w:tcPr>
            <w:tcW w:w="1294" w:type="pct"/>
            <w:noWrap w:val="0"/>
            <w:vAlign w:val="center"/>
          </w:tcPr>
          <w:p w14:paraId="29157E6D">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bidi="ar"/>
              </w:rPr>
              <w:t>1451.9</w:t>
            </w:r>
          </w:p>
        </w:tc>
        <w:tc>
          <w:tcPr>
            <w:tcW w:w="1390" w:type="pct"/>
            <w:gridSpan w:val="2"/>
            <w:noWrap w:val="0"/>
            <w:vAlign w:val="center"/>
          </w:tcPr>
          <w:p w14:paraId="6D87B977">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2736.9</w:t>
            </w:r>
          </w:p>
        </w:tc>
        <w:tc>
          <w:tcPr>
            <w:tcW w:w="630" w:type="pct"/>
            <w:noWrap w:val="0"/>
            <w:vAlign w:val="center"/>
          </w:tcPr>
          <w:p w14:paraId="026C9635">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方案</w:t>
            </w: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rPr>
              <w:t>优</w:t>
            </w:r>
          </w:p>
        </w:tc>
      </w:tr>
      <w:tr w14:paraId="1646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vMerge w:val="restart"/>
            <w:noWrap w:val="0"/>
            <w:vAlign w:val="center"/>
          </w:tcPr>
          <w:p w14:paraId="1243A7B0">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417" w:type="pct"/>
            <w:noWrap w:val="0"/>
            <w:vAlign w:val="center"/>
          </w:tcPr>
          <w:p w14:paraId="29FC41B6">
            <w:pPr>
              <w:pStyle w:val="87"/>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bidi="ar"/>
              </w:rPr>
              <w:t>沟渠（m/处）</w:t>
            </w:r>
          </w:p>
        </w:tc>
        <w:tc>
          <w:tcPr>
            <w:tcW w:w="1294" w:type="pct"/>
            <w:noWrap w:val="0"/>
            <w:vAlign w:val="center"/>
          </w:tcPr>
          <w:p w14:paraId="3C78077B">
            <w:pPr>
              <w:pStyle w:val="87"/>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val="en-US" w:eastAsia="zh-CN" w:bidi="ar"/>
              </w:rPr>
              <w:t>2</w:t>
            </w:r>
            <w:r>
              <w:rPr>
                <w:rFonts w:hint="default" w:ascii="Times New Roman" w:hAnsi="Times New Roman" w:eastAsia="宋体" w:cs="Times New Roman"/>
                <w:color w:val="auto"/>
                <w:lang w:bidi="ar"/>
              </w:rPr>
              <w:t>6/1</w:t>
            </w:r>
          </w:p>
        </w:tc>
        <w:tc>
          <w:tcPr>
            <w:tcW w:w="1390" w:type="pct"/>
            <w:gridSpan w:val="2"/>
            <w:noWrap w:val="0"/>
            <w:vAlign w:val="center"/>
          </w:tcPr>
          <w:p w14:paraId="02A827DF">
            <w:pPr>
              <w:pStyle w:val="87"/>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bidi="ar"/>
              </w:rPr>
              <w:t>/</w:t>
            </w:r>
          </w:p>
        </w:tc>
        <w:tc>
          <w:tcPr>
            <w:tcW w:w="630" w:type="pct"/>
            <w:vMerge w:val="restart"/>
            <w:noWrap w:val="0"/>
            <w:vAlign w:val="center"/>
          </w:tcPr>
          <w:p w14:paraId="1660E716">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方案二优</w:t>
            </w:r>
          </w:p>
        </w:tc>
      </w:tr>
      <w:tr w14:paraId="1A88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vMerge w:val="continue"/>
            <w:noWrap w:val="0"/>
            <w:vAlign w:val="center"/>
          </w:tcPr>
          <w:p w14:paraId="3749C051">
            <w:pPr>
              <w:pStyle w:val="87"/>
              <w:rPr>
                <w:rFonts w:hint="default" w:ascii="Times New Roman" w:hAnsi="Times New Roman" w:eastAsia="宋体" w:cs="Times New Roman"/>
                <w:color w:val="auto"/>
              </w:rPr>
            </w:pPr>
          </w:p>
        </w:tc>
        <w:tc>
          <w:tcPr>
            <w:tcW w:w="1417" w:type="pct"/>
            <w:noWrap w:val="0"/>
            <w:vAlign w:val="center"/>
          </w:tcPr>
          <w:p w14:paraId="62062E78">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乡村沥青路（m/处）</w:t>
            </w:r>
          </w:p>
        </w:tc>
        <w:tc>
          <w:tcPr>
            <w:tcW w:w="1294" w:type="pct"/>
            <w:noWrap w:val="0"/>
            <w:vAlign w:val="center"/>
          </w:tcPr>
          <w:p w14:paraId="2947710D">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w:t>
            </w:r>
          </w:p>
        </w:tc>
        <w:tc>
          <w:tcPr>
            <w:tcW w:w="1390" w:type="pct"/>
            <w:gridSpan w:val="2"/>
            <w:noWrap w:val="0"/>
            <w:vAlign w:val="center"/>
          </w:tcPr>
          <w:p w14:paraId="1D75DD07">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1</w:t>
            </w:r>
            <w:r>
              <w:rPr>
                <w:rFonts w:hint="default" w:ascii="Times New Roman" w:hAnsi="Times New Roman" w:eastAsia="宋体" w:cs="Times New Roman"/>
                <w:color w:val="auto"/>
                <w:lang w:val="en-US" w:eastAsia="zh-CN" w:bidi="ar"/>
              </w:rPr>
              <w:t>0</w:t>
            </w:r>
            <w:r>
              <w:rPr>
                <w:rFonts w:hint="default" w:ascii="Times New Roman" w:hAnsi="Times New Roman" w:eastAsia="宋体" w:cs="Times New Roman"/>
                <w:color w:val="auto"/>
                <w:lang w:bidi="ar"/>
              </w:rPr>
              <w:t>/1</w:t>
            </w:r>
          </w:p>
        </w:tc>
        <w:tc>
          <w:tcPr>
            <w:tcW w:w="630" w:type="pct"/>
            <w:vMerge w:val="continue"/>
            <w:noWrap w:val="0"/>
            <w:vAlign w:val="center"/>
          </w:tcPr>
          <w:p w14:paraId="5EF51334">
            <w:pPr>
              <w:pStyle w:val="87"/>
              <w:rPr>
                <w:rFonts w:hint="default" w:ascii="Times New Roman" w:hAnsi="Times New Roman" w:eastAsia="宋体" w:cs="Times New Roman"/>
                <w:color w:val="auto"/>
              </w:rPr>
            </w:pPr>
          </w:p>
        </w:tc>
      </w:tr>
      <w:tr w14:paraId="7104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vMerge w:val="continue"/>
            <w:noWrap w:val="0"/>
            <w:vAlign w:val="center"/>
          </w:tcPr>
          <w:p w14:paraId="140589D9">
            <w:pPr>
              <w:pStyle w:val="87"/>
              <w:rPr>
                <w:rFonts w:hint="default" w:ascii="Times New Roman" w:hAnsi="Times New Roman" w:eastAsia="宋体" w:cs="Times New Roman"/>
                <w:color w:val="auto"/>
              </w:rPr>
            </w:pPr>
          </w:p>
        </w:tc>
        <w:tc>
          <w:tcPr>
            <w:tcW w:w="1417" w:type="pct"/>
            <w:noWrap w:val="0"/>
            <w:vAlign w:val="center"/>
          </w:tcPr>
          <w:p w14:paraId="661E316D">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乡村水泥路（m/处）</w:t>
            </w:r>
          </w:p>
        </w:tc>
        <w:tc>
          <w:tcPr>
            <w:tcW w:w="1294" w:type="pct"/>
            <w:noWrap w:val="0"/>
            <w:vAlign w:val="center"/>
          </w:tcPr>
          <w:p w14:paraId="7A3010D1">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val="en-US" w:eastAsia="zh-CN" w:bidi="ar"/>
              </w:rPr>
              <w:t>20</w:t>
            </w:r>
            <w:r>
              <w:rPr>
                <w:rFonts w:hint="default" w:ascii="Times New Roman" w:hAnsi="Times New Roman" w:eastAsia="宋体" w:cs="Times New Roman"/>
                <w:color w:val="auto"/>
                <w:lang w:bidi="ar"/>
              </w:rPr>
              <w:t>/4</w:t>
            </w:r>
          </w:p>
        </w:tc>
        <w:tc>
          <w:tcPr>
            <w:tcW w:w="1390" w:type="pct"/>
            <w:gridSpan w:val="2"/>
            <w:noWrap w:val="0"/>
            <w:vAlign w:val="center"/>
          </w:tcPr>
          <w:p w14:paraId="2A2D1265">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val="en-US" w:eastAsia="zh-CN" w:bidi="ar"/>
              </w:rPr>
              <w:t>20</w:t>
            </w:r>
            <w:r>
              <w:rPr>
                <w:rFonts w:hint="eastAsia" w:cs="Times New Roman"/>
                <w:color w:val="auto"/>
                <w:lang w:val="en-US" w:eastAsia="zh-CN" w:bidi="ar"/>
              </w:rPr>
              <w:t>/</w:t>
            </w:r>
            <w:r>
              <w:rPr>
                <w:rFonts w:hint="default" w:ascii="Times New Roman" w:hAnsi="Times New Roman" w:eastAsia="宋体" w:cs="Times New Roman"/>
                <w:color w:val="auto"/>
                <w:lang w:bidi="ar"/>
              </w:rPr>
              <w:t>4</w:t>
            </w:r>
          </w:p>
        </w:tc>
        <w:tc>
          <w:tcPr>
            <w:tcW w:w="630" w:type="pct"/>
            <w:vMerge w:val="continue"/>
            <w:noWrap w:val="0"/>
            <w:vAlign w:val="center"/>
          </w:tcPr>
          <w:p w14:paraId="62AA6F17">
            <w:pPr>
              <w:pStyle w:val="87"/>
              <w:rPr>
                <w:rFonts w:hint="default" w:ascii="Times New Roman" w:hAnsi="Times New Roman" w:eastAsia="宋体" w:cs="Times New Roman"/>
                <w:color w:val="auto"/>
              </w:rPr>
            </w:pPr>
          </w:p>
        </w:tc>
      </w:tr>
      <w:tr w14:paraId="7A19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vMerge w:val="continue"/>
            <w:noWrap w:val="0"/>
            <w:vAlign w:val="center"/>
          </w:tcPr>
          <w:p w14:paraId="61021B3B">
            <w:pPr>
              <w:pStyle w:val="87"/>
              <w:rPr>
                <w:rFonts w:hint="default" w:ascii="Times New Roman" w:hAnsi="Times New Roman" w:eastAsia="宋体" w:cs="Times New Roman"/>
                <w:color w:val="auto"/>
              </w:rPr>
            </w:pPr>
          </w:p>
        </w:tc>
        <w:tc>
          <w:tcPr>
            <w:tcW w:w="1417" w:type="pct"/>
            <w:noWrap w:val="0"/>
            <w:vAlign w:val="center"/>
          </w:tcPr>
          <w:p w14:paraId="5D295903">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乡村碎石路（m/处）</w:t>
            </w:r>
          </w:p>
        </w:tc>
        <w:tc>
          <w:tcPr>
            <w:tcW w:w="1294" w:type="pct"/>
            <w:noWrap w:val="0"/>
            <w:vAlign w:val="center"/>
          </w:tcPr>
          <w:p w14:paraId="4DD7C6E6">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val="en-US" w:eastAsia="zh-CN" w:bidi="ar"/>
              </w:rPr>
              <w:t>6</w:t>
            </w:r>
            <w:r>
              <w:rPr>
                <w:rFonts w:hint="default" w:ascii="Times New Roman" w:hAnsi="Times New Roman" w:eastAsia="宋体" w:cs="Times New Roman"/>
                <w:color w:val="auto"/>
                <w:lang w:bidi="ar"/>
              </w:rPr>
              <w:t>/1</w:t>
            </w:r>
          </w:p>
        </w:tc>
        <w:tc>
          <w:tcPr>
            <w:tcW w:w="1390" w:type="pct"/>
            <w:gridSpan w:val="2"/>
            <w:noWrap w:val="0"/>
            <w:vAlign w:val="center"/>
          </w:tcPr>
          <w:p w14:paraId="0BF5469E">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w:t>
            </w:r>
          </w:p>
        </w:tc>
        <w:tc>
          <w:tcPr>
            <w:tcW w:w="630" w:type="pct"/>
            <w:vMerge w:val="continue"/>
            <w:noWrap w:val="0"/>
            <w:vAlign w:val="center"/>
          </w:tcPr>
          <w:p w14:paraId="753601DB">
            <w:pPr>
              <w:pStyle w:val="87"/>
              <w:rPr>
                <w:rFonts w:hint="default" w:ascii="Times New Roman" w:hAnsi="Times New Roman" w:eastAsia="宋体" w:cs="Times New Roman"/>
                <w:color w:val="auto"/>
              </w:rPr>
            </w:pPr>
          </w:p>
        </w:tc>
      </w:tr>
      <w:tr w14:paraId="3E82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noWrap w:val="0"/>
            <w:vAlign w:val="center"/>
          </w:tcPr>
          <w:p w14:paraId="67175FB8">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417" w:type="pct"/>
            <w:noWrap w:val="0"/>
            <w:vAlign w:val="center"/>
          </w:tcPr>
          <w:p w14:paraId="536D5356">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水工保护</w:t>
            </w:r>
            <w:r>
              <w:rPr>
                <w:rFonts w:hint="default" w:ascii="Times New Roman" w:hAnsi="Times New Roman" w:eastAsia="宋体" w:cs="Times New Roman"/>
                <w:color w:val="auto"/>
                <w:lang w:val="en-US" w:eastAsia="zh-CN" w:bidi="ar"/>
              </w:rPr>
              <w:t>-</w:t>
            </w:r>
            <w:r>
              <w:rPr>
                <w:rFonts w:hint="default" w:ascii="Times New Roman" w:hAnsi="Times New Roman" w:eastAsia="宋体" w:cs="Times New Roman"/>
                <w:color w:val="auto"/>
                <w:lang w:bidi="ar"/>
              </w:rPr>
              <w:t>砌石保护(m</w:t>
            </w:r>
            <w:r>
              <w:rPr>
                <w:rFonts w:hint="default" w:ascii="Times New Roman" w:hAnsi="Times New Roman" w:eastAsia="宋体" w:cs="Times New Roman"/>
                <w:color w:val="auto"/>
                <w:vertAlign w:val="superscript"/>
                <w:lang w:val="en-US" w:eastAsia="zh-CN" w:bidi="ar"/>
              </w:rPr>
              <w:t>3</w:t>
            </w:r>
            <w:r>
              <w:rPr>
                <w:rFonts w:hint="default" w:ascii="Times New Roman" w:hAnsi="Times New Roman" w:eastAsia="宋体" w:cs="Times New Roman"/>
                <w:color w:val="auto"/>
                <w:lang w:bidi="ar"/>
              </w:rPr>
              <w:t>)</w:t>
            </w:r>
          </w:p>
        </w:tc>
        <w:tc>
          <w:tcPr>
            <w:tcW w:w="1294" w:type="pct"/>
            <w:noWrap w:val="0"/>
            <w:vAlign w:val="center"/>
          </w:tcPr>
          <w:p w14:paraId="6C07DD34">
            <w:pPr>
              <w:pStyle w:val="87"/>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val="en-US" w:eastAsia="zh-CN" w:bidi="ar"/>
              </w:rPr>
              <w:t>600</w:t>
            </w:r>
          </w:p>
        </w:tc>
        <w:tc>
          <w:tcPr>
            <w:tcW w:w="1390" w:type="pct"/>
            <w:gridSpan w:val="2"/>
            <w:noWrap w:val="0"/>
            <w:vAlign w:val="center"/>
          </w:tcPr>
          <w:p w14:paraId="38192725">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val="en-US" w:eastAsia="zh-CN" w:bidi="ar"/>
              </w:rPr>
              <w:t>104</w:t>
            </w:r>
            <w:r>
              <w:rPr>
                <w:rFonts w:hint="default" w:ascii="Times New Roman" w:hAnsi="Times New Roman" w:eastAsia="宋体" w:cs="Times New Roman"/>
                <w:color w:val="auto"/>
                <w:lang w:bidi="ar"/>
              </w:rPr>
              <w:t>0</w:t>
            </w:r>
          </w:p>
        </w:tc>
        <w:tc>
          <w:tcPr>
            <w:tcW w:w="630" w:type="pct"/>
            <w:noWrap w:val="0"/>
            <w:vAlign w:val="center"/>
          </w:tcPr>
          <w:p w14:paraId="4CA83781">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方案</w:t>
            </w: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rPr>
              <w:t>优</w:t>
            </w:r>
          </w:p>
        </w:tc>
      </w:tr>
      <w:tr w14:paraId="3DED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noWrap w:val="0"/>
            <w:vAlign w:val="center"/>
          </w:tcPr>
          <w:p w14:paraId="7D745F61">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1417" w:type="pct"/>
            <w:noWrap w:val="0"/>
            <w:vAlign w:val="center"/>
          </w:tcPr>
          <w:p w14:paraId="18B4C622">
            <w:pPr>
              <w:pStyle w:val="87"/>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临时用地（m</w:t>
            </w:r>
            <w:r>
              <w:rPr>
                <w:rFonts w:hint="default" w:ascii="Times New Roman" w:hAnsi="Times New Roman" w:eastAsia="宋体" w:cs="Times New Roman"/>
                <w:color w:val="auto"/>
                <w:vertAlign w:val="superscript"/>
                <w:lang w:bidi="ar"/>
              </w:rPr>
              <w:t>2</w:t>
            </w:r>
            <w:r>
              <w:rPr>
                <w:rFonts w:hint="default" w:ascii="Times New Roman" w:hAnsi="Times New Roman" w:eastAsia="宋体" w:cs="Times New Roman"/>
                <w:color w:val="auto"/>
                <w:lang w:bidi="ar"/>
              </w:rPr>
              <w:t>）</w:t>
            </w:r>
          </w:p>
        </w:tc>
        <w:tc>
          <w:tcPr>
            <w:tcW w:w="1294" w:type="pct"/>
            <w:noWrap w:val="0"/>
            <w:vAlign w:val="center"/>
          </w:tcPr>
          <w:p w14:paraId="47CC8E59">
            <w:pPr>
              <w:pStyle w:val="87"/>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val="en-US" w:eastAsia="zh-CN" w:bidi="ar"/>
              </w:rPr>
              <w:t>9134</w:t>
            </w:r>
          </w:p>
        </w:tc>
        <w:tc>
          <w:tcPr>
            <w:tcW w:w="1390" w:type="pct"/>
            <w:gridSpan w:val="2"/>
            <w:noWrap w:val="0"/>
            <w:vAlign w:val="center"/>
          </w:tcPr>
          <w:p w14:paraId="5C724918">
            <w:pPr>
              <w:pStyle w:val="87"/>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bidi="ar"/>
              </w:rPr>
              <w:t>22920</w:t>
            </w:r>
          </w:p>
        </w:tc>
        <w:tc>
          <w:tcPr>
            <w:tcW w:w="630" w:type="pct"/>
            <w:noWrap w:val="0"/>
            <w:vAlign w:val="center"/>
          </w:tcPr>
          <w:p w14:paraId="3DF009BA">
            <w:pPr>
              <w:rPr>
                <w:rFonts w:hint="default" w:ascii="Times New Roman" w:hAnsi="Times New Roman" w:eastAsia="宋体" w:cs="Times New Roman"/>
                <w:color w:val="auto"/>
              </w:rPr>
            </w:pPr>
            <w:r>
              <w:rPr>
                <w:rFonts w:hint="default" w:ascii="Times New Roman" w:hAnsi="Times New Roman" w:eastAsia="宋体" w:cs="Times New Roman"/>
                <w:color w:val="auto"/>
              </w:rPr>
              <w:t>方案</w:t>
            </w: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rPr>
              <w:t>优</w:t>
            </w:r>
          </w:p>
        </w:tc>
      </w:tr>
      <w:tr w14:paraId="04FE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noWrap w:val="0"/>
            <w:vAlign w:val="center"/>
          </w:tcPr>
          <w:p w14:paraId="6C69EBF8">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1417" w:type="pct"/>
            <w:noWrap w:val="0"/>
            <w:vAlign w:val="center"/>
          </w:tcPr>
          <w:p w14:paraId="409A5B45">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lang w:bidi="ar"/>
              </w:rPr>
              <w:t>工程投资</w:t>
            </w:r>
            <w:r>
              <w:rPr>
                <w:rFonts w:hint="default" w:ascii="Times New Roman" w:hAnsi="Times New Roman" w:eastAsia="宋体" w:cs="Times New Roman"/>
                <w:color w:val="auto"/>
                <w:lang w:val="en-US" w:eastAsia="zh-CN" w:bidi="ar"/>
              </w:rPr>
              <w:t>估算</w:t>
            </w:r>
            <w:r>
              <w:rPr>
                <w:rFonts w:hint="default" w:ascii="Times New Roman" w:hAnsi="Times New Roman" w:eastAsia="宋体" w:cs="Times New Roman"/>
                <w:color w:val="auto"/>
                <w:lang w:bidi="ar"/>
              </w:rPr>
              <w:t>（</w:t>
            </w:r>
            <w:bookmarkStart w:id="500" w:name="_GoBack"/>
            <w:bookmarkEnd w:id="500"/>
            <w:r>
              <w:rPr>
                <w:rFonts w:hint="default" w:ascii="Times New Roman" w:hAnsi="Times New Roman" w:eastAsia="宋体" w:cs="Times New Roman"/>
                <w:color w:val="auto"/>
                <w:lang w:bidi="ar"/>
              </w:rPr>
              <w:t>万元）</w:t>
            </w:r>
          </w:p>
        </w:tc>
        <w:tc>
          <w:tcPr>
            <w:tcW w:w="1294" w:type="pct"/>
            <w:noWrap w:val="0"/>
            <w:vAlign w:val="center"/>
          </w:tcPr>
          <w:p w14:paraId="479DC5ED">
            <w:pPr>
              <w:pStyle w:val="87"/>
              <w:rPr>
                <w:rFonts w:hint="default" w:ascii="Times New Roman" w:hAnsi="Times New Roman" w:eastAsia="宋体" w:cs="Times New Roman"/>
                <w:color w:val="auto"/>
                <w:sz w:val="22"/>
                <w:lang w:val="en-US" w:eastAsia="zh-CN" w:bidi="ar-SA"/>
              </w:rPr>
            </w:pPr>
            <w:r>
              <w:rPr>
                <w:rFonts w:hint="eastAsia" w:cs="Times New Roman"/>
                <w:color w:val="auto"/>
                <w:lang w:val="en-US" w:eastAsia="zh-CN" w:bidi="ar"/>
              </w:rPr>
              <w:t>***</w:t>
            </w:r>
          </w:p>
        </w:tc>
        <w:tc>
          <w:tcPr>
            <w:tcW w:w="1390" w:type="pct"/>
            <w:gridSpan w:val="2"/>
            <w:noWrap w:val="0"/>
            <w:vAlign w:val="center"/>
          </w:tcPr>
          <w:p w14:paraId="0B76576F">
            <w:pPr>
              <w:pStyle w:val="87"/>
              <w:rPr>
                <w:rFonts w:hint="default" w:ascii="Times New Roman" w:hAnsi="Times New Roman" w:eastAsia="宋体" w:cs="Times New Roman"/>
                <w:color w:val="auto"/>
                <w:sz w:val="22"/>
                <w:lang w:val="en-US" w:eastAsia="zh-CN" w:bidi="ar-SA"/>
              </w:rPr>
            </w:pPr>
            <w:r>
              <w:rPr>
                <w:rFonts w:hint="eastAsia" w:cs="Times New Roman"/>
                <w:color w:val="auto"/>
                <w:lang w:val="en-US" w:eastAsia="zh-CN" w:bidi="ar"/>
              </w:rPr>
              <w:t>***</w:t>
            </w:r>
          </w:p>
        </w:tc>
        <w:tc>
          <w:tcPr>
            <w:tcW w:w="630" w:type="pct"/>
            <w:noWrap w:val="0"/>
            <w:vAlign w:val="center"/>
          </w:tcPr>
          <w:p w14:paraId="7CAB1AB2">
            <w:pP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rPr>
              <w:t>方案</w:t>
            </w: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rPr>
              <w:t>优</w:t>
            </w:r>
          </w:p>
        </w:tc>
      </w:tr>
      <w:tr w14:paraId="0950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69" w:type="pct"/>
            <w:gridSpan w:val="5"/>
            <w:noWrap w:val="0"/>
            <w:vAlign w:val="center"/>
          </w:tcPr>
          <w:p w14:paraId="1F9EC80A">
            <w:pPr>
              <w:pStyle w:val="87"/>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val="en-US" w:eastAsia="zh-CN" w:bidi="ar"/>
              </w:rPr>
              <w:t>工程比选结果</w:t>
            </w:r>
          </w:p>
        </w:tc>
        <w:tc>
          <w:tcPr>
            <w:tcW w:w="630" w:type="pct"/>
            <w:noWrap w:val="0"/>
            <w:vAlign w:val="center"/>
          </w:tcPr>
          <w:p w14:paraId="46C25791">
            <w:pPr>
              <w:rPr>
                <w:rFonts w:hint="default" w:ascii="Times New Roman" w:hAnsi="Times New Roman" w:eastAsia="宋体" w:cs="Times New Roman"/>
                <w:color w:val="auto"/>
              </w:rPr>
            </w:pPr>
            <w:r>
              <w:rPr>
                <w:rFonts w:hint="default" w:ascii="Times New Roman" w:hAnsi="Times New Roman" w:eastAsia="宋体" w:cs="Times New Roman"/>
                <w:color w:val="auto"/>
              </w:rPr>
              <w:t>方案</w:t>
            </w: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rPr>
              <w:t>优</w:t>
            </w:r>
          </w:p>
        </w:tc>
      </w:tr>
      <w:tr w14:paraId="1AAE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57" w:hRule="atLeast"/>
          <w:jc w:val="center"/>
        </w:trPr>
        <w:tc>
          <w:tcPr>
            <w:tcW w:w="268" w:type="pct"/>
            <w:noWrap w:val="0"/>
            <w:vAlign w:val="center"/>
          </w:tcPr>
          <w:p w14:paraId="5E2E4790">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1417" w:type="pct"/>
            <w:noWrap w:val="0"/>
            <w:vAlign w:val="center"/>
          </w:tcPr>
          <w:p w14:paraId="38CF1079">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lang w:val="en-US" w:eastAsia="zh-CN" w:bidi="ar"/>
              </w:rPr>
              <w:t>环境空气、水环境和声环境</w:t>
            </w:r>
          </w:p>
        </w:tc>
        <w:tc>
          <w:tcPr>
            <w:tcW w:w="1294" w:type="pct"/>
            <w:noWrap w:val="0"/>
            <w:vAlign w:val="center"/>
          </w:tcPr>
          <w:p w14:paraId="34F5E839">
            <w:pPr>
              <w:pStyle w:val="87"/>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val="en-US" w:eastAsia="zh-CN" w:bidi="ar"/>
              </w:rPr>
              <w:t>不穿越大中小型河流和水源保护区，穿越沟渠1次，评价范围内涉及地表水饮用水源保护区1处-</w:t>
            </w:r>
            <w:r>
              <w:rPr>
                <w:rFonts w:hint="default" w:ascii="Times New Roman" w:hAnsi="Times New Roman" w:eastAsia="宋体" w:cs="Times New Roman"/>
                <w:lang w:val="en-US" w:eastAsia="zh-CN"/>
              </w:rPr>
              <w:t>薄刀岭水库新盛水厂水源地</w:t>
            </w:r>
            <w:r>
              <w:rPr>
                <w:rFonts w:hint="default" w:ascii="Times New Roman" w:hAnsi="Times New Roman" w:eastAsia="宋体" w:cs="Times New Roman"/>
                <w:color w:val="auto"/>
                <w:lang w:val="en-US" w:eastAsia="zh-CN" w:bidi="ar"/>
              </w:rPr>
              <w:t>；管道不经过集中式居住区和人口密集区，环境空气和声环境保护目标约28户81人</w:t>
            </w:r>
          </w:p>
        </w:tc>
        <w:tc>
          <w:tcPr>
            <w:tcW w:w="1390" w:type="pct"/>
            <w:gridSpan w:val="2"/>
            <w:noWrap w:val="0"/>
            <w:vAlign w:val="center"/>
          </w:tcPr>
          <w:p w14:paraId="6DA60081">
            <w:pPr>
              <w:pStyle w:val="87"/>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val="en-US" w:eastAsia="zh-CN" w:bidi="ar"/>
              </w:rPr>
              <w:t>不穿越大中小型河流、沟渠和水源保护区；管道不经过集中式居住区和人口密集区，环境空气和声环境保护目标约33户99人</w:t>
            </w:r>
          </w:p>
        </w:tc>
        <w:tc>
          <w:tcPr>
            <w:tcW w:w="630" w:type="pct"/>
            <w:noWrap w:val="0"/>
            <w:vAlign w:val="center"/>
          </w:tcPr>
          <w:p w14:paraId="368D9CB0">
            <w:pP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rPr>
              <w:t>方案</w:t>
            </w:r>
            <w:r>
              <w:rPr>
                <w:rFonts w:hint="default" w:ascii="Times New Roman" w:hAnsi="Times New Roman" w:eastAsia="宋体" w:cs="Times New Roman"/>
                <w:color w:val="auto"/>
                <w:lang w:val="en-US" w:eastAsia="zh-CN"/>
              </w:rPr>
              <w:t>二</w:t>
            </w:r>
            <w:r>
              <w:rPr>
                <w:rFonts w:hint="default" w:ascii="Times New Roman" w:hAnsi="Times New Roman" w:eastAsia="宋体" w:cs="Times New Roman"/>
                <w:color w:val="auto"/>
              </w:rPr>
              <w:t>优</w:t>
            </w:r>
          </w:p>
        </w:tc>
      </w:tr>
      <w:tr w14:paraId="0B12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noWrap w:val="0"/>
            <w:vAlign w:val="center"/>
          </w:tcPr>
          <w:p w14:paraId="7D3C08D0">
            <w:pPr>
              <w:pStyle w:val="8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7</w:t>
            </w:r>
          </w:p>
        </w:tc>
        <w:tc>
          <w:tcPr>
            <w:tcW w:w="1417" w:type="pct"/>
            <w:noWrap w:val="0"/>
            <w:vAlign w:val="center"/>
          </w:tcPr>
          <w:p w14:paraId="14E5D2D9">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生态</w:t>
            </w:r>
            <w:r>
              <w:rPr>
                <w:rFonts w:hint="default" w:ascii="Times New Roman" w:hAnsi="Times New Roman" w:eastAsia="宋体" w:cs="Times New Roman"/>
                <w:color w:val="auto"/>
                <w:lang w:val="en-US" w:eastAsia="zh-CN"/>
              </w:rPr>
              <w:t>环境</w:t>
            </w:r>
          </w:p>
        </w:tc>
        <w:tc>
          <w:tcPr>
            <w:tcW w:w="1294" w:type="pct"/>
            <w:noWrap w:val="0"/>
            <w:vAlign w:val="center"/>
          </w:tcPr>
          <w:p w14:paraId="6922B23C">
            <w:pPr>
              <w:pStyle w:val="87"/>
              <w:keepNext w:val="0"/>
              <w:keepLines w:val="0"/>
              <w:pageBreakBefore w:val="0"/>
              <w:widowControl/>
              <w:kinsoku/>
              <w:wordWrap w:val="0"/>
              <w:overflowPunct/>
              <w:topLinePunct w:val="0"/>
              <w:autoSpaceDE/>
              <w:autoSpaceDN/>
              <w:bidi w:val="0"/>
              <w:adjustRightInd w:val="0"/>
              <w:snapToGrid w:val="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部分管线经过</w:t>
            </w:r>
            <w:r>
              <w:rPr>
                <w:rFonts w:hint="default" w:ascii="Times New Roman" w:hAnsi="Times New Roman" w:eastAsia="宋体" w:cs="Times New Roman"/>
                <w:color w:val="auto"/>
              </w:rPr>
              <w:t>永久基本农田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约614.76m</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天然林（约622.35m）</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不</w:t>
            </w:r>
            <w:r>
              <w:rPr>
                <w:rFonts w:hint="default" w:ascii="Times New Roman" w:hAnsi="Times New Roman" w:eastAsia="宋体" w:cs="Times New Roman"/>
                <w:color w:val="auto"/>
              </w:rPr>
              <w:t>穿越生态保护红线</w:t>
            </w:r>
            <w:r>
              <w:rPr>
                <w:rFonts w:hint="default" w:ascii="Times New Roman" w:hAnsi="Times New Roman" w:eastAsia="宋体" w:cs="Times New Roman"/>
                <w:color w:val="auto"/>
                <w:lang w:val="en-US" w:eastAsia="zh-CN"/>
              </w:rPr>
              <w:t>和公益林</w:t>
            </w:r>
          </w:p>
        </w:tc>
        <w:tc>
          <w:tcPr>
            <w:tcW w:w="1390" w:type="pct"/>
            <w:gridSpan w:val="2"/>
            <w:noWrap w:val="0"/>
            <w:vAlign w:val="center"/>
          </w:tcPr>
          <w:p w14:paraId="58ACF7EF">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部分管线经过</w:t>
            </w:r>
            <w:r>
              <w:rPr>
                <w:rFonts w:hint="default" w:ascii="Times New Roman" w:hAnsi="Times New Roman" w:eastAsia="宋体" w:cs="Times New Roman"/>
                <w:color w:val="auto"/>
              </w:rPr>
              <w:t>永久基本农田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约1022.80m</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天然林（约1002.32m）</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不</w:t>
            </w:r>
            <w:r>
              <w:rPr>
                <w:rFonts w:hint="default" w:ascii="Times New Roman" w:hAnsi="Times New Roman" w:eastAsia="宋体" w:cs="Times New Roman"/>
                <w:color w:val="auto"/>
              </w:rPr>
              <w:t>穿越生态保护红线</w:t>
            </w:r>
            <w:r>
              <w:rPr>
                <w:rFonts w:hint="default" w:ascii="Times New Roman" w:hAnsi="Times New Roman" w:eastAsia="宋体" w:cs="Times New Roman"/>
                <w:color w:val="auto"/>
                <w:lang w:val="en-US" w:eastAsia="zh-CN"/>
              </w:rPr>
              <w:t>和公益林</w:t>
            </w:r>
          </w:p>
        </w:tc>
        <w:tc>
          <w:tcPr>
            <w:tcW w:w="630" w:type="pct"/>
            <w:noWrap w:val="0"/>
            <w:vAlign w:val="center"/>
          </w:tcPr>
          <w:p w14:paraId="551E7455">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方案</w:t>
            </w: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rPr>
              <w:t>优</w:t>
            </w:r>
          </w:p>
        </w:tc>
      </w:tr>
      <w:tr w14:paraId="3028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noWrap w:val="0"/>
            <w:vAlign w:val="center"/>
          </w:tcPr>
          <w:p w14:paraId="78C650B0">
            <w:pPr>
              <w:pStyle w:val="87"/>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8</w:t>
            </w:r>
          </w:p>
        </w:tc>
        <w:tc>
          <w:tcPr>
            <w:tcW w:w="1417" w:type="pct"/>
            <w:noWrap w:val="0"/>
            <w:vAlign w:val="center"/>
          </w:tcPr>
          <w:p w14:paraId="3186BADC">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环境风险</w:t>
            </w:r>
          </w:p>
        </w:tc>
        <w:tc>
          <w:tcPr>
            <w:tcW w:w="1294" w:type="pct"/>
            <w:noWrap w:val="0"/>
            <w:vAlign w:val="center"/>
          </w:tcPr>
          <w:p w14:paraId="6F977C09">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线路短，风险较小</w:t>
            </w:r>
          </w:p>
        </w:tc>
        <w:tc>
          <w:tcPr>
            <w:tcW w:w="1390" w:type="pct"/>
            <w:gridSpan w:val="2"/>
            <w:noWrap w:val="0"/>
            <w:vAlign w:val="center"/>
          </w:tcPr>
          <w:p w14:paraId="59F75E15">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线路长，风险较大</w:t>
            </w:r>
          </w:p>
        </w:tc>
        <w:tc>
          <w:tcPr>
            <w:tcW w:w="630" w:type="pct"/>
            <w:noWrap w:val="0"/>
            <w:vAlign w:val="center"/>
          </w:tcPr>
          <w:p w14:paraId="254E1A8F">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方案</w:t>
            </w: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rPr>
              <w:t>优</w:t>
            </w:r>
          </w:p>
        </w:tc>
      </w:tr>
      <w:tr w14:paraId="1C3E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69" w:type="pct"/>
            <w:gridSpan w:val="5"/>
            <w:noWrap w:val="0"/>
            <w:vAlign w:val="center"/>
          </w:tcPr>
          <w:p w14:paraId="5C3A3CC4">
            <w:pPr>
              <w:pStyle w:val="87"/>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val="en-US" w:eastAsia="zh-CN" w:bidi="ar"/>
              </w:rPr>
              <w:t>环保比选结果</w:t>
            </w:r>
          </w:p>
        </w:tc>
        <w:tc>
          <w:tcPr>
            <w:tcW w:w="630" w:type="pct"/>
            <w:noWrap w:val="0"/>
            <w:vAlign w:val="center"/>
          </w:tcPr>
          <w:p w14:paraId="3E050A2E">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方案一优</w:t>
            </w:r>
          </w:p>
        </w:tc>
      </w:tr>
      <w:tr w14:paraId="4391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6"/>
            <w:noWrap w:val="0"/>
            <w:vAlign w:val="center"/>
          </w:tcPr>
          <w:p w14:paraId="17D3F566">
            <w:pPr>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综合比选</w:t>
            </w:r>
          </w:p>
        </w:tc>
      </w:tr>
      <w:tr w14:paraId="3D9B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noWrap w:val="0"/>
            <w:vAlign w:val="center"/>
          </w:tcPr>
          <w:p w14:paraId="5D54C914">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417" w:type="pct"/>
            <w:noWrap w:val="0"/>
            <w:vAlign w:val="center"/>
          </w:tcPr>
          <w:p w14:paraId="2C7D655E">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bCs/>
                <w:color w:val="auto"/>
                <w:sz w:val="22"/>
                <w:szCs w:val="22"/>
                <w:lang w:val="en-US" w:eastAsia="zh-CN"/>
              </w:rPr>
              <w:t>综合工程和环保要素</w:t>
            </w:r>
          </w:p>
        </w:tc>
        <w:tc>
          <w:tcPr>
            <w:tcW w:w="1463" w:type="pct"/>
            <w:gridSpan w:val="2"/>
            <w:noWrap w:val="0"/>
            <w:vAlign w:val="center"/>
          </w:tcPr>
          <w:p w14:paraId="080C5E03">
            <w:pPr>
              <w:adjustRightInd w:val="0"/>
              <w:snapToGrid w:val="0"/>
              <w:jc w:val="both"/>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kern w:val="0"/>
                <w:sz w:val="22"/>
                <w:szCs w:val="22"/>
                <w:lang w:val="en-US" w:eastAsia="zh-CN"/>
              </w:rPr>
              <w:t>路线较短，临时占地、环境空气和声环境保护目标、涉及的永久基本农田和天然林穿越长度都较方案二少，水土</w:t>
            </w:r>
            <w:r>
              <w:rPr>
                <w:rFonts w:hint="default" w:ascii="Times New Roman" w:hAnsi="Times New Roman" w:eastAsia="宋体" w:cs="Times New Roman"/>
                <w:bCs/>
                <w:color w:val="auto"/>
                <w:sz w:val="22"/>
                <w:szCs w:val="22"/>
                <w:lang w:val="en-US" w:eastAsia="zh-CN"/>
              </w:rPr>
              <w:t>经过区域地形整体较平缓，施工难度和运营期风险、后期维护管理难度较小，</w:t>
            </w:r>
            <w:r>
              <w:rPr>
                <w:rFonts w:hint="default" w:ascii="Times New Roman" w:hAnsi="Times New Roman" w:eastAsia="宋体" w:cs="Times New Roman"/>
                <w:color w:val="auto"/>
                <w:kern w:val="0"/>
                <w:sz w:val="22"/>
                <w:szCs w:val="22"/>
                <w:lang w:val="en-US" w:eastAsia="zh-CN"/>
              </w:rPr>
              <w:t>水土保持措施工程量也更小，投资更低</w:t>
            </w:r>
          </w:p>
        </w:tc>
        <w:tc>
          <w:tcPr>
            <w:tcW w:w="1851" w:type="pct"/>
            <w:gridSpan w:val="2"/>
            <w:noWrap w:val="0"/>
            <w:vAlign w:val="center"/>
          </w:tcPr>
          <w:p w14:paraId="244AC800">
            <w:pPr>
              <w:adjustRightInd w:val="0"/>
              <w:snapToGrid w:val="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kern w:val="0"/>
                <w:sz w:val="22"/>
                <w:szCs w:val="22"/>
                <w:lang w:val="en-US" w:eastAsia="zh-CN"/>
              </w:rPr>
              <w:t>路线较长，临时占地、环境空气和声环境保护目标、涉及的永久基本农田和天然林穿越长度都较方案一多，</w:t>
            </w:r>
            <w:r>
              <w:rPr>
                <w:rFonts w:hint="default" w:ascii="Times New Roman" w:hAnsi="Times New Roman" w:eastAsia="宋体" w:cs="Times New Roman"/>
                <w:bCs/>
                <w:color w:val="auto"/>
                <w:sz w:val="22"/>
                <w:szCs w:val="22"/>
                <w:lang w:val="en-US" w:eastAsia="zh-CN"/>
              </w:rPr>
              <w:t>经过区域地形整体起伏较大，施工难度和运营期风险、后期维护管理难度较大，</w:t>
            </w:r>
            <w:r>
              <w:rPr>
                <w:rFonts w:hint="default" w:ascii="Times New Roman" w:hAnsi="Times New Roman" w:eastAsia="宋体" w:cs="Times New Roman"/>
                <w:color w:val="auto"/>
                <w:kern w:val="0"/>
                <w:sz w:val="22"/>
                <w:szCs w:val="22"/>
                <w:lang w:val="en-US" w:eastAsia="zh-CN"/>
              </w:rPr>
              <w:t>水土保持措施工程量也更大，投资更高</w:t>
            </w:r>
          </w:p>
        </w:tc>
      </w:tr>
      <w:tr w14:paraId="3DA0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8" w:type="pct"/>
            <w:noWrap w:val="0"/>
            <w:vAlign w:val="center"/>
          </w:tcPr>
          <w:p w14:paraId="1207C868">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1417" w:type="pct"/>
            <w:noWrap w:val="0"/>
            <w:vAlign w:val="center"/>
          </w:tcPr>
          <w:p w14:paraId="2D6A5F51">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sz w:val="22"/>
                <w:szCs w:val="22"/>
                <w:lang w:val="en-US" w:eastAsia="zh-CN"/>
              </w:rPr>
              <w:t>综合比选结果</w:t>
            </w:r>
          </w:p>
        </w:tc>
        <w:tc>
          <w:tcPr>
            <w:tcW w:w="3314" w:type="pct"/>
            <w:gridSpan w:val="4"/>
            <w:noWrap w:val="0"/>
            <w:vAlign w:val="center"/>
          </w:tcPr>
          <w:p w14:paraId="22AB77F4">
            <w:pPr>
              <w:jc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方案一优</w:t>
            </w:r>
          </w:p>
        </w:tc>
      </w:tr>
    </w:tbl>
    <w:p w14:paraId="67D3D7E6">
      <w:pPr>
        <w:pStyle w:val="58"/>
        <w:rPr>
          <w:rFonts w:hint="default" w:ascii="Times New Roman" w:hAnsi="Times New Roman" w:eastAsia="宋体" w:cs="Times New Roman"/>
          <w:color w:val="auto"/>
        </w:rPr>
      </w:pPr>
    </w:p>
    <w:p w14:paraId="2012F688">
      <w:pPr>
        <w:spacing w:line="480" w:lineRule="exact"/>
        <w:ind w:firstLine="480" w:firstLineChars="200"/>
        <w:rPr>
          <w:rFonts w:hint="default" w:ascii="Times New Roman" w:hAnsi="Times New Roman" w:eastAsia="宋体" w:cs="Times New Roman"/>
          <w:color w:val="auto"/>
          <w:szCs w:val="26"/>
        </w:rPr>
      </w:pPr>
      <w:r>
        <w:rPr>
          <w:rFonts w:hint="default" w:ascii="Times New Roman" w:hAnsi="Times New Roman" w:eastAsia="宋体" w:cs="Times New Roman"/>
          <w:color w:val="auto"/>
        </w:rPr>
        <w:t>两个方案</w:t>
      </w:r>
      <w:r>
        <w:rPr>
          <w:rFonts w:hint="default" w:ascii="Times New Roman" w:hAnsi="Times New Roman" w:eastAsia="宋体" w:cs="Times New Roman"/>
          <w:color w:val="auto"/>
          <w:sz w:val="26"/>
          <w:szCs w:val="26"/>
        </w:rPr>
        <w:t>综合比较</w:t>
      </w:r>
      <w:r>
        <w:rPr>
          <w:rFonts w:hint="default" w:ascii="Times New Roman" w:hAnsi="Times New Roman" w:eastAsia="宋体" w:cs="Times New Roman"/>
          <w:color w:val="auto"/>
          <w:sz w:val="26"/>
          <w:szCs w:val="26"/>
          <w:lang w:val="en-US" w:eastAsia="zh-CN"/>
        </w:rPr>
        <w:t>来看，</w:t>
      </w:r>
      <w:r>
        <w:rPr>
          <w:rFonts w:hint="default" w:ascii="Times New Roman" w:hAnsi="Times New Roman" w:eastAsia="宋体" w:cs="Times New Roman"/>
          <w:color w:val="auto"/>
          <w:sz w:val="26"/>
          <w:szCs w:val="26"/>
        </w:rPr>
        <w:t>两</w:t>
      </w:r>
      <w:r>
        <w:rPr>
          <w:rFonts w:hint="default" w:ascii="Times New Roman" w:hAnsi="Times New Roman" w:eastAsia="宋体" w:cs="Times New Roman"/>
          <w:color w:val="auto"/>
          <w:sz w:val="26"/>
          <w:szCs w:val="26"/>
          <w:lang w:val="en-US" w:eastAsia="zh-CN"/>
        </w:rPr>
        <w:t>个</w:t>
      </w:r>
      <w:r>
        <w:rPr>
          <w:rFonts w:hint="default" w:ascii="Times New Roman" w:hAnsi="Times New Roman" w:eastAsia="宋体" w:cs="Times New Roman"/>
          <w:color w:val="auto"/>
          <w:sz w:val="26"/>
          <w:szCs w:val="26"/>
        </w:rPr>
        <w:t>方案</w:t>
      </w:r>
      <w:r>
        <w:rPr>
          <w:rFonts w:hint="default" w:ascii="Times New Roman" w:hAnsi="Times New Roman" w:eastAsia="宋体" w:cs="Times New Roman"/>
          <w:color w:val="auto"/>
          <w:sz w:val="26"/>
          <w:szCs w:val="26"/>
          <w:lang w:val="en-US" w:eastAsia="zh-CN"/>
        </w:rPr>
        <w:t>都不涉及自然保护区、风景名胜区等自然保护地，不穿越生态保护红线和水源保护区</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方案一</w:t>
      </w:r>
      <w:r>
        <w:rPr>
          <w:rFonts w:hint="default" w:ascii="Times New Roman" w:hAnsi="Times New Roman" w:eastAsia="宋体" w:cs="Times New Roman"/>
          <w:color w:val="auto"/>
          <w:sz w:val="26"/>
          <w:szCs w:val="26"/>
        </w:rPr>
        <w:t>比方案</w:t>
      </w:r>
      <w:r>
        <w:rPr>
          <w:rFonts w:hint="default" w:ascii="Times New Roman" w:hAnsi="Times New Roman" w:eastAsia="宋体" w:cs="Times New Roman"/>
          <w:color w:val="auto"/>
          <w:sz w:val="26"/>
          <w:szCs w:val="26"/>
          <w:lang w:val="en-US" w:eastAsia="zh-CN"/>
        </w:rPr>
        <w:t>二敷设长度</w:t>
      </w:r>
      <w:r>
        <w:rPr>
          <w:rFonts w:hint="default" w:ascii="Times New Roman" w:hAnsi="Times New Roman" w:eastAsia="宋体" w:cs="Times New Roman"/>
          <w:color w:val="auto"/>
          <w:sz w:val="26"/>
          <w:szCs w:val="26"/>
        </w:rPr>
        <w:t>短</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临时占地、环境空气和声环境保护目标、涉及的永久基本农田和天然林穿越长度都较方案二少，经过区域的地形也整体更平缓，施工难度和运营期风险、后期维护管理难度较小，水土保持措施工程量也更小，投资更低。</w:t>
      </w:r>
      <w:r>
        <w:rPr>
          <w:rFonts w:hint="default" w:ascii="Times New Roman" w:hAnsi="Times New Roman" w:eastAsia="宋体" w:cs="Times New Roman"/>
          <w:color w:val="auto"/>
          <w:sz w:val="26"/>
          <w:szCs w:val="26"/>
        </w:rPr>
        <w:t>综上所述，从环保角度</w:t>
      </w:r>
      <w:r>
        <w:rPr>
          <w:rFonts w:hint="default" w:ascii="Times New Roman" w:hAnsi="Times New Roman" w:eastAsia="宋体" w:cs="Times New Roman"/>
          <w:color w:val="auto"/>
          <w:sz w:val="26"/>
          <w:szCs w:val="26"/>
          <w:lang w:val="en-US" w:eastAsia="zh-CN"/>
        </w:rPr>
        <w:t>和综合比选的角度</w:t>
      </w:r>
      <w:r>
        <w:rPr>
          <w:rFonts w:hint="default" w:ascii="Times New Roman" w:hAnsi="Times New Roman" w:eastAsia="宋体" w:cs="Times New Roman"/>
          <w:color w:val="auto"/>
          <w:sz w:val="26"/>
          <w:szCs w:val="26"/>
        </w:rPr>
        <w:t>推荐方案</w:t>
      </w:r>
      <w:r>
        <w:rPr>
          <w:rFonts w:hint="default" w:ascii="Times New Roman" w:hAnsi="Times New Roman" w:eastAsia="宋体" w:cs="Times New Roman"/>
          <w:color w:val="auto"/>
          <w:sz w:val="26"/>
          <w:szCs w:val="26"/>
          <w:lang w:val="en-US" w:eastAsia="zh-CN"/>
        </w:rPr>
        <w:t>一</w:t>
      </w:r>
      <w:r>
        <w:rPr>
          <w:rFonts w:hint="default" w:ascii="Times New Roman" w:hAnsi="Times New Roman" w:eastAsia="宋体" w:cs="Times New Roman"/>
          <w:color w:val="auto"/>
          <w:sz w:val="26"/>
          <w:szCs w:val="26"/>
        </w:rPr>
        <w:t>。</w:t>
      </w:r>
    </w:p>
    <w:p w14:paraId="537BB64C">
      <w:pPr>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.3穿越工程</w:t>
      </w:r>
    </w:p>
    <w:p w14:paraId="4B44D6CC">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本项目穿越道路</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次，</w:t>
      </w:r>
      <w:r>
        <w:rPr>
          <w:rFonts w:hint="default" w:ascii="Times New Roman" w:hAnsi="Times New Roman" w:eastAsia="宋体" w:cs="Times New Roman"/>
          <w:color w:val="auto"/>
          <w:lang w:val="en-US" w:eastAsia="zh-CN"/>
        </w:rPr>
        <w:t>沟渠1次，不</w:t>
      </w:r>
      <w:r>
        <w:rPr>
          <w:rFonts w:hint="default" w:ascii="Times New Roman" w:hAnsi="Times New Roman" w:eastAsia="宋体" w:cs="Times New Roman"/>
          <w:color w:val="auto"/>
        </w:rPr>
        <w:t>穿越大中</w:t>
      </w:r>
      <w:r>
        <w:rPr>
          <w:rFonts w:hint="default" w:ascii="Times New Roman" w:hAnsi="Times New Roman" w:eastAsia="宋体" w:cs="Times New Roman"/>
          <w:color w:val="auto"/>
          <w:lang w:val="en-US" w:eastAsia="zh-CN"/>
        </w:rPr>
        <w:t>小</w:t>
      </w:r>
      <w:r>
        <w:rPr>
          <w:rFonts w:hint="default" w:ascii="Times New Roman" w:hAnsi="Times New Roman" w:eastAsia="宋体" w:cs="Times New Roman"/>
          <w:color w:val="auto"/>
        </w:rPr>
        <w:t>型河流</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详见表2.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p>
    <w:p w14:paraId="02B17E40">
      <w:pPr>
        <w:pStyle w:val="85"/>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 xml:space="preserve">  项目穿越道路情况</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485"/>
        <w:gridCol w:w="1153"/>
        <w:gridCol w:w="1516"/>
        <w:gridCol w:w="2221"/>
        <w:gridCol w:w="1446"/>
      </w:tblGrid>
      <w:tr w14:paraId="2157B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05" w:type="pct"/>
            <w:tcBorders>
              <w:top w:val="single" w:color="auto" w:sz="2" w:space="0"/>
              <w:left w:val="single" w:color="auto" w:sz="2" w:space="0"/>
              <w:bottom w:val="single" w:color="auto" w:sz="2" w:space="0"/>
              <w:right w:val="single" w:color="auto" w:sz="2" w:space="0"/>
            </w:tcBorders>
            <w:noWrap w:val="0"/>
            <w:vAlign w:val="center"/>
          </w:tcPr>
          <w:p w14:paraId="5A6D8BCE">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872" w:type="pct"/>
            <w:tcBorders>
              <w:top w:val="single" w:color="auto" w:sz="2" w:space="0"/>
              <w:left w:val="single" w:color="auto" w:sz="2" w:space="0"/>
              <w:bottom w:val="single" w:color="auto" w:sz="2" w:space="0"/>
              <w:right w:val="single" w:color="auto" w:sz="2" w:space="0"/>
            </w:tcBorders>
            <w:noWrap w:val="0"/>
            <w:vAlign w:val="center"/>
          </w:tcPr>
          <w:p w14:paraId="13A788C2">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穿越位置</w:t>
            </w:r>
          </w:p>
        </w:tc>
        <w:tc>
          <w:tcPr>
            <w:tcW w:w="677" w:type="pct"/>
            <w:tcBorders>
              <w:top w:val="single" w:color="auto" w:sz="2" w:space="0"/>
              <w:left w:val="single" w:color="auto" w:sz="2" w:space="0"/>
              <w:bottom w:val="single" w:color="auto" w:sz="2" w:space="0"/>
              <w:right w:val="single" w:color="auto" w:sz="2" w:space="0"/>
            </w:tcBorders>
            <w:noWrap w:val="0"/>
            <w:vAlign w:val="center"/>
          </w:tcPr>
          <w:p w14:paraId="5F8A62C1">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道路类型</w:t>
            </w:r>
          </w:p>
        </w:tc>
        <w:tc>
          <w:tcPr>
            <w:tcW w:w="890" w:type="pct"/>
            <w:tcBorders>
              <w:top w:val="single" w:color="auto" w:sz="2" w:space="0"/>
              <w:left w:val="single" w:color="auto" w:sz="2" w:space="0"/>
              <w:bottom w:val="single" w:color="auto" w:sz="2" w:space="0"/>
              <w:right w:val="single" w:color="auto" w:sz="2" w:space="0"/>
            </w:tcBorders>
            <w:noWrap w:val="0"/>
            <w:vAlign w:val="center"/>
          </w:tcPr>
          <w:p w14:paraId="23F02E61">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路面概况</w:t>
            </w:r>
          </w:p>
        </w:tc>
        <w:tc>
          <w:tcPr>
            <w:tcW w:w="1304" w:type="pct"/>
            <w:tcBorders>
              <w:top w:val="single" w:color="auto" w:sz="2" w:space="0"/>
              <w:left w:val="single" w:color="auto" w:sz="2" w:space="0"/>
              <w:bottom w:val="single" w:color="auto" w:sz="2" w:space="0"/>
              <w:right w:val="single" w:color="auto" w:sz="2" w:space="0"/>
            </w:tcBorders>
            <w:noWrap w:val="0"/>
            <w:vAlign w:val="center"/>
          </w:tcPr>
          <w:p w14:paraId="76F24B51">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穿越方式</w:t>
            </w:r>
          </w:p>
        </w:tc>
        <w:tc>
          <w:tcPr>
            <w:tcW w:w="849" w:type="pct"/>
            <w:tcBorders>
              <w:top w:val="single" w:color="auto" w:sz="2" w:space="0"/>
              <w:left w:val="single" w:color="auto" w:sz="2" w:space="0"/>
              <w:bottom w:val="single" w:color="auto" w:sz="2" w:space="0"/>
              <w:right w:val="single" w:color="auto" w:sz="2" w:space="0"/>
            </w:tcBorders>
            <w:noWrap w:val="0"/>
            <w:vAlign w:val="center"/>
          </w:tcPr>
          <w:p w14:paraId="33CB9881">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穿越长度</w:t>
            </w:r>
            <w:r>
              <w:rPr>
                <w:rFonts w:hint="default" w:ascii="Times New Roman" w:hAnsi="Times New Roman" w:eastAsia="宋体" w:cs="Times New Roman"/>
                <w:color w:val="auto"/>
                <w:lang w:val="en-US" w:eastAsia="zh-CN"/>
              </w:rPr>
              <w:t>/m</w:t>
            </w:r>
          </w:p>
        </w:tc>
      </w:tr>
      <w:tr w14:paraId="44838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5" w:type="pct"/>
            <w:tcBorders>
              <w:top w:val="single" w:color="auto" w:sz="2" w:space="0"/>
              <w:left w:val="single" w:color="auto" w:sz="2" w:space="0"/>
              <w:bottom w:val="single" w:color="auto" w:sz="2" w:space="0"/>
              <w:right w:val="single" w:color="auto" w:sz="2" w:space="0"/>
            </w:tcBorders>
            <w:noWrap w:val="0"/>
            <w:vAlign w:val="center"/>
          </w:tcPr>
          <w:p w14:paraId="462FF5A4">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872" w:type="pct"/>
            <w:tcBorders>
              <w:top w:val="single" w:color="auto" w:sz="2" w:space="0"/>
              <w:left w:val="single" w:color="auto" w:sz="2" w:space="0"/>
              <w:bottom w:val="single" w:color="auto" w:sz="2" w:space="0"/>
              <w:right w:val="single" w:color="auto" w:sz="2" w:space="0"/>
            </w:tcBorders>
            <w:noWrap w:val="0"/>
            <w:vAlign w:val="center"/>
          </w:tcPr>
          <w:p w14:paraId="4267AF6C">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A006~A007</w:t>
            </w:r>
          </w:p>
        </w:tc>
        <w:tc>
          <w:tcPr>
            <w:tcW w:w="677" w:type="pct"/>
            <w:tcBorders>
              <w:top w:val="single" w:color="auto" w:sz="2" w:space="0"/>
              <w:left w:val="single" w:color="auto" w:sz="2" w:space="0"/>
              <w:bottom w:val="single" w:color="auto" w:sz="2" w:space="0"/>
              <w:right w:val="single" w:color="auto" w:sz="2" w:space="0"/>
            </w:tcBorders>
            <w:noWrap w:val="0"/>
            <w:vAlign w:val="center"/>
          </w:tcPr>
          <w:p w14:paraId="2E8E70A9">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乡村道路</w:t>
            </w:r>
          </w:p>
        </w:tc>
        <w:tc>
          <w:tcPr>
            <w:tcW w:w="890" w:type="pct"/>
            <w:tcBorders>
              <w:top w:val="single" w:color="auto" w:sz="2" w:space="0"/>
              <w:left w:val="single" w:color="auto" w:sz="2" w:space="0"/>
              <w:bottom w:val="single" w:color="auto" w:sz="2" w:space="0"/>
              <w:right w:val="single" w:color="auto" w:sz="2" w:space="0"/>
            </w:tcBorders>
            <w:noWrap w:val="0"/>
            <w:vAlign w:val="center"/>
          </w:tcPr>
          <w:p w14:paraId="3F0B05EF">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碎石路面</w:t>
            </w:r>
          </w:p>
        </w:tc>
        <w:tc>
          <w:tcPr>
            <w:tcW w:w="1304" w:type="pct"/>
            <w:tcBorders>
              <w:top w:val="single" w:color="auto" w:sz="2" w:space="0"/>
              <w:left w:val="single" w:color="auto" w:sz="2" w:space="0"/>
              <w:bottom w:val="single" w:color="auto" w:sz="2" w:space="0"/>
              <w:right w:val="single" w:color="auto" w:sz="2" w:space="0"/>
            </w:tcBorders>
            <w:noWrap w:val="0"/>
            <w:vAlign w:val="center"/>
          </w:tcPr>
          <w:p w14:paraId="1D7B978A">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开挖加钢筋混凝土套管ⅢDN400保护</w:t>
            </w:r>
          </w:p>
        </w:tc>
        <w:tc>
          <w:tcPr>
            <w:tcW w:w="849" w:type="pct"/>
            <w:tcBorders>
              <w:top w:val="single" w:color="auto" w:sz="2" w:space="0"/>
              <w:left w:val="single" w:color="auto" w:sz="2" w:space="0"/>
              <w:bottom w:val="single" w:color="auto" w:sz="2" w:space="0"/>
              <w:right w:val="single" w:color="auto" w:sz="2" w:space="0"/>
            </w:tcBorders>
            <w:noWrap w:val="0"/>
            <w:vAlign w:val="center"/>
          </w:tcPr>
          <w:p w14:paraId="7D880A79">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r>
      <w:tr w14:paraId="6B0F1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5" w:type="pct"/>
            <w:tcBorders>
              <w:top w:val="single" w:color="auto" w:sz="2" w:space="0"/>
              <w:left w:val="single" w:color="auto" w:sz="2" w:space="0"/>
              <w:bottom w:val="single" w:color="auto" w:sz="2" w:space="0"/>
              <w:right w:val="single" w:color="auto" w:sz="2" w:space="0"/>
            </w:tcBorders>
            <w:noWrap w:val="0"/>
            <w:vAlign w:val="center"/>
          </w:tcPr>
          <w:p w14:paraId="6AC9E5AF">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872" w:type="pct"/>
            <w:tcBorders>
              <w:top w:val="single" w:color="auto" w:sz="2" w:space="0"/>
              <w:left w:val="single" w:color="auto" w:sz="2" w:space="0"/>
              <w:bottom w:val="single" w:color="auto" w:sz="2" w:space="0"/>
              <w:right w:val="single" w:color="auto" w:sz="2" w:space="0"/>
            </w:tcBorders>
            <w:noWrap w:val="0"/>
            <w:vAlign w:val="center"/>
          </w:tcPr>
          <w:p w14:paraId="104823BB">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A00</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~A0</w:t>
            </w:r>
            <w:r>
              <w:rPr>
                <w:rFonts w:hint="default" w:ascii="Times New Roman" w:hAnsi="Times New Roman" w:eastAsia="宋体" w:cs="Times New Roman"/>
                <w:color w:val="auto"/>
                <w:lang w:val="en-US" w:eastAsia="zh-CN"/>
              </w:rPr>
              <w:t>09</w:t>
            </w:r>
          </w:p>
        </w:tc>
        <w:tc>
          <w:tcPr>
            <w:tcW w:w="677" w:type="pct"/>
            <w:tcBorders>
              <w:top w:val="single" w:color="auto" w:sz="2" w:space="0"/>
              <w:left w:val="single" w:color="auto" w:sz="2" w:space="0"/>
              <w:bottom w:val="single" w:color="auto" w:sz="2" w:space="0"/>
              <w:right w:val="single" w:color="auto" w:sz="2" w:space="0"/>
            </w:tcBorders>
            <w:noWrap w:val="0"/>
            <w:vAlign w:val="center"/>
          </w:tcPr>
          <w:p w14:paraId="604BA80A">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沟渠</w:t>
            </w:r>
          </w:p>
        </w:tc>
        <w:tc>
          <w:tcPr>
            <w:tcW w:w="890" w:type="pct"/>
            <w:tcBorders>
              <w:top w:val="single" w:color="auto" w:sz="2" w:space="0"/>
              <w:left w:val="single" w:color="auto" w:sz="2" w:space="0"/>
              <w:bottom w:val="single" w:color="auto" w:sz="2" w:space="0"/>
              <w:right w:val="single" w:color="auto" w:sz="2" w:space="0"/>
            </w:tcBorders>
            <w:noWrap w:val="0"/>
            <w:vAlign w:val="center"/>
          </w:tcPr>
          <w:p w14:paraId="68EB86DA">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季节性沟渠，常年干涸</w:t>
            </w:r>
          </w:p>
        </w:tc>
        <w:tc>
          <w:tcPr>
            <w:tcW w:w="1304" w:type="pct"/>
            <w:tcBorders>
              <w:top w:val="single" w:color="auto" w:sz="2" w:space="0"/>
              <w:left w:val="single" w:color="auto" w:sz="2" w:space="0"/>
              <w:bottom w:val="single" w:color="auto" w:sz="2" w:space="0"/>
              <w:right w:val="single" w:color="auto" w:sz="2" w:space="0"/>
            </w:tcBorders>
            <w:noWrap w:val="0"/>
            <w:vAlign w:val="center"/>
          </w:tcPr>
          <w:p w14:paraId="42EBF946">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开挖加钢筋混凝土套管ⅢDN400保护和C25混凝土现浇稳管</w:t>
            </w:r>
          </w:p>
        </w:tc>
        <w:tc>
          <w:tcPr>
            <w:tcW w:w="849" w:type="pct"/>
            <w:tcBorders>
              <w:top w:val="single" w:color="auto" w:sz="2" w:space="0"/>
              <w:left w:val="single" w:color="auto" w:sz="2" w:space="0"/>
              <w:bottom w:val="single" w:color="auto" w:sz="2" w:space="0"/>
              <w:right w:val="single" w:color="auto" w:sz="2" w:space="0"/>
            </w:tcBorders>
            <w:noWrap w:val="0"/>
            <w:vAlign w:val="center"/>
          </w:tcPr>
          <w:p w14:paraId="4143EB61">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w:t>
            </w:r>
          </w:p>
        </w:tc>
      </w:tr>
      <w:tr w14:paraId="37FBF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5" w:type="pct"/>
            <w:tcBorders>
              <w:top w:val="single" w:color="auto" w:sz="2" w:space="0"/>
              <w:left w:val="single" w:color="auto" w:sz="2" w:space="0"/>
              <w:bottom w:val="single" w:color="auto" w:sz="2" w:space="0"/>
              <w:right w:val="single" w:color="auto" w:sz="2" w:space="0"/>
            </w:tcBorders>
            <w:noWrap w:val="0"/>
            <w:vAlign w:val="center"/>
          </w:tcPr>
          <w:p w14:paraId="643F5E47">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872" w:type="pct"/>
            <w:tcBorders>
              <w:top w:val="single" w:color="auto" w:sz="2" w:space="0"/>
              <w:left w:val="single" w:color="auto" w:sz="2" w:space="0"/>
              <w:bottom w:val="single" w:color="auto" w:sz="2" w:space="0"/>
              <w:right w:val="single" w:color="auto" w:sz="2" w:space="0"/>
            </w:tcBorders>
            <w:noWrap w:val="0"/>
            <w:vAlign w:val="center"/>
          </w:tcPr>
          <w:p w14:paraId="6FAE9AE2">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A010~A011</w:t>
            </w:r>
          </w:p>
        </w:tc>
        <w:tc>
          <w:tcPr>
            <w:tcW w:w="677" w:type="pct"/>
            <w:tcBorders>
              <w:top w:val="single" w:color="auto" w:sz="2" w:space="0"/>
              <w:left w:val="single" w:color="auto" w:sz="2" w:space="0"/>
              <w:bottom w:val="single" w:color="auto" w:sz="2" w:space="0"/>
              <w:right w:val="single" w:color="auto" w:sz="2" w:space="0"/>
            </w:tcBorders>
            <w:noWrap w:val="0"/>
            <w:vAlign w:val="center"/>
          </w:tcPr>
          <w:p w14:paraId="2B71FB3A">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乡村道路</w:t>
            </w:r>
          </w:p>
        </w:tc>
        <w:tc>
          <w:tcPr>
            <w:tcW w:w="890" w:type="pct"/>
            <w:tcBorders>
              <w:top w:val="single" w:color="auto" w:sz="2" w:space="0"/>
              <w:left w:val="single" w:color="auto" w:sz="2" w:space="0"/>
              <w:bottom w:val="single" w:color="auto" w:sz="2" w:space="0"/>
              <w:right w:val="single" w:color="auto" w:sz="2" w:space="0"/>
            </w:tcBorders>
            <w:noWrap w:val="0"/>
            <w:vAlign w:val="center"/>
          </w:tcPr>
          <w:p w14:paraId="444FCCD0">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水泥路面</w:t>
            </w:r>
          </w:p>
        </w:tc>
        <w:tc>
          <w:tcPr>
            <w:tcW w:w="1304" w:type="pct"/>
            <w:tcBorders>
              <w:top w:val="single" w:color="auto" w:sz="2" w:space="0"/>
              <w:left w:val="single" w:color="auto" w:sz="2" w:space="0"/>
              <w:bottom w:val="single" w:color="auto" w:sz="2" w:space="0"/>
              <w:right w:val="single" w:color="auto" w:sz="2" w:space="0"/>
            </w:tcBorders>
            <w:noWrap w:val="0"/>
            <w:vAlign w:val="center"/>
          </w:tcPr>
          <w:p w14:paraId="0ED3319D">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开挖加钢筋混凝土套管ⅢDN400保护</w:t>
            </w:r>
          </w:p>
        </w:tc>
        <w:tc>
          <w:tcPr>
            <w:tcW w:w="849" w:type="pct"/>
            <w:tcBorders>
              <w:top w:val="single" w:color="auto" w:sz="2" w:space="0"/>
              <w:left w:val="single" w:color="auto" w:sz="2" w:space="0"/>
              <w:bottom w:val="single" w:color="auto" w:sz="2" w:space="0"/>
              <w:right w:val="single" w:color="auto" w:sz="2" w:space="0"/>
            </w:tcBorders>
            <w:noWrap w:val="0"/>
            <w:vAlign w:val="center"/>
          </w:tcPr>
          <w:p w14:paraId="5189FA7F">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lang w:val="en-US" w:eastAsia="zh-CN"/>
              </w:rPr>
              <w:t>5</w:t>
            </w:r>
          </w:p>
        </w:tc>
      </w:tr>
      <w:tr w14:paraId="7CA00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5" w:type="pct"/>
            <w:tcBorders>
              <w:top w:val="single" w:color="auto" w:sz="2" w:space="0"/>
              <w:left w:val="single" w:color="auto" w:sz="2" w:space="0"/>
              <w:bottom w:val="single" w:color="auto" w:sz="2" w:space="0"/>
              <w:right w:val="single" w:color="auto" w:sz="2" w:space="0"/>
            </w:tcBorders>
            <w:noWrap w:val="0"/>
            <w:vAlign w:val="center"/>
          </w:tcPr>
          <w:p w14:paraId="3CFB150C">
            <w:pPr>
              <w:pStyle w:val="87"/>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872" w:type="pct"/>
            <w:tcBorders>
              <w:top w:val="single" w:color="auto" w:sz="2" w:space="0"/>
              <w:left w:val="single" w:color="auto" w:sz="2" w:space="0"/>
              <w:bottom w:val="single" w:color="auto" w:sz="2" w:space="0"/>
              <w:right w:val="single" w:color="auto" w:sz="2" w:space="0"/>
            </w:tcBorders>
            <w:noWrap w:val="0"/>
            <w:vAlign w:val="center"/>
          </w:tcPr>
          <w:p w14:paraId="58A66CAA">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A012~A013</w:t>
            </w:r>
          </w:p>
        </w:tc>
        <w:tc>
          <w:tcPr>
            <w:tcW w:w="677" w:type="pct"/>
            <w:tcBorders>
              <w:top w:val="single" w:color="auto" w:sz="2" w:space="0"/>
              <w:left w:val="single" w:color="auto" w:sz="2" w:space="0"/>
              <w:bottom w:val="single" w:color="auto" w:sz="2" w:space="0"/>
              <w:right w:val="single" w:color="auto" w:sz="2" w:space="0"/>
            </w:tcBorders>
            <w:noWrap w:val="0"/>
            <w:vAlign w:val="center"/>
          </w:tcPr>
          <w:p w14:paraId="4C702D67">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乡村道路</w:t>
            </w:r>
          </w:p>
        </w:tc>
        <w:tc>
          <w:tcPr>
            <w:tcW w:w="890" w:type="pct"/>
            <w:tcBorders>
              <w:top w:val="single" w:color="auto" w:sz="2" w:space="0"/>
              <w:left w:val="single" w:color="auto" w:sz="2" w:space="0"/>
              <w:bottom w:val="single" w:color="auto" w:sz="2" w:space="0"/>
              <w:right w:val="single" w:color="auto" w:sz="2" w:space="0"/>
            </w:tcBorders>
            <w:noWrap w:val="0"/>
            <w:vAlign w:val="center"/>
          </w:tcPr>
          <w:p w14:paraId="477DDD96">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水泥路面</w:t>
            </w:r>
          </w:p>
        </w:tc>
        <w:tc>
          <w:tcPr>
            <w:tcW w:w="1304" w:type="pct"/>
            <w:tcBorders>
              <w:top w:val="single" w:color="auto" w:sz="2" w:space="0"/>
              <w:left w:val="single" w:color="auto" w:sz="2" w:space="0"/>
              <w:bottom w:val="single" w:color="auto" w:sz="2" w:space="0"/>
              <w:right w:val="single" w:color="auto" w:sz="2" w:space="0"/>
            </w:tcBorders>
            <w:noWrap w:val="0"/>
            <w:vAlign w:val="center"/>
          </w:tcPr>
          <w:p w14:paraId="3CF4FE63">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开挖加钢筋混凝土套管ⅢDN400保护</w:t>
            </w:r>
          </w:p>
        </w:tc>
        <w:tc>
          <w:tcPr>
            <w:tcW w:w="849" w:type="pct"/>
            <w:tcBorders>
              <w:top w:val="single" w:color="auto" w:sz="2" w:space="0"/>
              <w:left w:val="single" w:color="auto" w:sz="2" w:space="0"/>
              <w:bottom w:val="single" w:color="auto" w:sz="2" w:space="0"/>
              <w:right w:val="single" w:color="auto" w:sz="2" w:space="0"/>
            </w:tcBorders>
            <w:noWrap w:val="0"/>
            <w:vAlign w:val="center"/>
          </w:tcPr>
          <w:p w14:paraId="3C602391">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lang w:val="en-US" w:eastAsia="zh-CN"/>
              </w:rPr>
              <w:t>5</w:t>
            </w:r>
          </w:p>
        </w:tc>
      </w:tr>
      <w:tr w14:paraId="54431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5" w:type="pct"/>
            <w:tcBorders>
              <w:top w:val="single" w:color="auto" w:sz="2" w:space="0"/>
              <w:left w:val="single" w:color="auto" w:sz="2" w:space="0"/>
              <w:bottom w:val="single" w:color="auto" w:sz="2" w:space="0"/>
              <w:right w:val="single" w:color="auto" w:sz="2" w:space="0"/>
            </w:tcBorders>
            <w:noWrap w:val="0"/>
            <w:vAlign w:val="center"/>
          </w:tcPr>
          <w:p w14:paraId="510D47C1">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872" w:type="pct"/>
            <w:tcBorders>
              <w:top w:val="single" w:color="auto" w:sz="2" w:space="0"/>
              <w:left w:val="single" w:color="auto" w:sz="2" w:space="0"/>
              <w:bottom w:val="single" w:color="auto" w:sz="2" w:space="0"/>
              <w:right w:val="single" w:color="auto" w:sz="2" w:space="0"/>
            </w:tcBorders>
            <w:noWrap w:val="0"/>
            <w:vAlign w:val="center"/>
          </w:tcPr>
          <w:p w14:paraId="6E6526A6">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A018~A019</w:t>
            </w:r>
          </w:p>
        </w:tc>
        <w:tc>
          <w:tcPr>
            <w:tcW w:w="677" w:type="pct"/>
            <w:tcBorders>
              <w:top w:val="single" w:color="auto" w:sz="2" w:space="0"/>
              <w:left w:val="single" w:color="auto" w:sz="2" w:space="0"/>
              <w:bottom w:val="single" w:color="auto" w:sz="2" w:space="0"/>
              <w:right w:val="single" w:color="auto" w:sz="2" w:space="0"/>
            </w:tcBorders>
            <w:noWrap w:val="0"/>
            <w:vAlign w:val="center"/>
          </w:tcPr>
          <w:p w14:paraId="7DB6489A">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乡村道路</w:t>
            </w:r>
          </w:p>
        </w:tc>
        <w:tc>
          <w:tcPr>
            <w:tcW w:w="890" w:type="pct"/>
            <w:tcBorders>
              <w:top w:val="single" w:color="auto" w:sz="2" w:space="0"/>
              <w:left w:val="single" w:color="auto" w:sz="2" w:space="0"/>
              <w:bottom w:val="single" w:color="auto" w:sz="2" w:space="0"/>
              <w:right w:val="single" w:color="auto" w:sz="2" w:space="0"/>
            </w:tcBorders>
            <w:noWrap w:val="0"/>
            <w:vAlign w:val="center"/>
          </w:tcPr>
          <w:p w14:paraId="2B0786A2">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水泥路面</w:t>
            </w:r>
          </w:p>
        </w:tc>
        <w:tc>
          <w:tcPr>
            <w:tcW w:w="1304" w:type="pct"/>
            <w:tcBorders>
              <w:top w:val="single" w:color="auto" w:sz="2" w:space="0"/>
              <w:left w:val="single" w:color="auto" w:sz="2" w:space="0"/>
              <w:bottom w:val="single" w:color="auto" w:sz="2" w:space="0"/>
              <w:right w:val="single" w:color="auto" w:sz="2" w:space="0"/>
            </w:tcBorders>
            <w:noWrap w:val="0"/>
            <w:vAlign w:val="center"/>
          </w:tcPr>
          <w:p w14:paraId="3B133908">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开挖加钢筋混凝土套管ⅢDN400保护</w:t>
            </w:r>
          </w:p>
        </w:tc>
        <w:tc>
          <w:tcPr>
            <w:tcW w:w="849" w:type="pct"/>
            <w:tcBorders>
              <w:top w:val="single" w:color="auto" w:sz="2" w:space="0"/>
              <w:left w:val="single" w:color="auto" w:sz="2" w:space="0"/>
              <w:bottom w:val="single" w:color="auto" w:sz="2" w:space="0"/>
              <w:right w:val="single" w:color="auto" w:sz="2" w:space="0"/>
            </w:tcBorders>
            <w:noWrap w:val="0"/>
            <w:vAlign w:val="center"/>
          </w:tcPr>
          <w:p w14:paraId="0C7F7633">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lang w:val="en-US" w:eastAsia="zh-CN"/>
              </w:rPr>
              <w:t>5</w:t>
            </w:r>
          </w:p>
        </w:tc>
      </w:tr>
      <w:tr w14:paraId="47922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5" w:type="pct"/>
            <w:tcBorders>
              <w:top w:val="single" w:color="auto" w:sz="2" w:space="0"/>
              <w:left w:val="single" w:color="auto" w:sz="2" w:space="0"/>
              <w:bottom w:val="single" w:color="auto" w:sz="2" w:space="0"/>
              <w:right w:val="single" w:color="auto" w:sz="2" w:space="0"/>
            </w:tcBorders>
            <w:noWrap w:val="0"/>
            <w:vAlign w:val="center"/>
          </w:tcPr>
          <w:p w14:paraId="78364666">
            <w:pPr>
              <w:pStyle w:val="8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872" w:type="pct"/>
            <w:tcBorders>
              <w:top w:val="single" w:color="auto" w:sz="2" w:space="0"/>
              <w:left w:val="single" w:color="auto" w:sz="2" w:space="0"/>
              <w:bottom w:val="single" w:color="auto" w:sz="2" w:space="0"/>
              <w:right w:val="single" w:color="auto" w:sz="2" w:space="0"/>
            </w:tcBorders>
            <w:noWrap w:val="0"/>
            <w:vAlign w:val="center"/>
          </w:tcPr>
          <w:p w14:paraId="3B723611">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A020~A021</w:t>
            </w:r>
          </w:p>
        </w:tc>
        <w:tc>
          <w:tcPr>
            <w:tcW w:w="677" w:type="pct"/>
            <w:tcBorders>
              <w:top w:val="single" w:color="auto" w:sz="2" w:space="0"/>
              <w:left w:val="single" w:color="auto" w:sz="2" w:space="0"/>
              <w:bottom w:val="single" w:color="auto" w:sz="2" w:space="0"/>
              <w:right w:val="single" w:color="auto" w:sz="2" w:space="0"/>
            </w:tcBorders>
            <w:noWrap w:val="0"/>
            <w:vAlign w:val="center"/>
          </w:tcPr>
          <w:p w14:paraId="65927828">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乡村道路</w:t>
            </w:r>
          </w:p>
        </w:tc>
        <w:tc>
          <w:tcPr>
            <w:tcW w:w="890" w:type="pct"/>
            <w:tcBorders>
              <w:top w:val="single" w:color="auto" w:sz="2" w:space="0"/>
              <w:left w:val="single" w:color="auto" w:sz="2" w:space="0"/>
              <w:bottom w:val="single" w:color="auto" w:sz="2" w:space="0"/>
              <w:right w:val="single" w:color="auto" w:sz="2" w:space="0"/>
            </w:tcBorders>
            <w:noWrap w:val="0"/>
            <w:vAlign w:val="center"/>
          </w:tcPr>
          <w:p w14:paraId="1B701E3C">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水泥路面</w:t>
            </w:r>
          </w:p>
        </w:tc>
        <w:tc>
          <w:tcPr>
            <w:tcW w:w="1304" w:type="pct"/>
            <w:tcBorders>
              <w:top w:val="single" w:color="auto" w:sz="2" w:space="0"/>
              <w:left w:val="single" w:color="auto" w:sz="2" w:space="0"/>
              <w:bottom w:val="single" w:color="auto" w:sz="2" w:space="0"/>
              <w:right w:val="single" w:color="auto" w:sz="2" w:space="0"/>
            </w:tcBorders>
            <w:noWrap w:val="0"/>
            <w:vAlign w:val="center"/>
          </w:tcPr>
          <w:p w14:paraId="06F532B9">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rPr>
              <w:t>开挖加钢筋混凝土套管ⅢDN400保护</w:t>
            </w:r>
          </w:p>
        </w:tc>
        <w:tc>
          <w:tcPr>
            <w:tcW w:w="849" w:type="pct"/>
            <w:tcBorders>
              <w:top w:val="single" w:color="auto" w:sz="2" w:space="0"/>
              <w:left w:val="single" w:color="auto" w:sz="2" w:space="0"/>
              <w:bottom w:val="single" w:color="auto" w:sz="2" w:space="0"/>
              <w:right w:val="single" w:color="auto" w:sz="2" w:space="0"/>
            </w:tcBorders>
            <w:noWrap w:val="0"/>
            <w:vAlign w:val="center"/>
          </w:tcPr>
          <w:p w14:paraId="6C4A9026">
            <w:pPr>
              <w:pStyle w:val="87"/>
              <w:rPr>
                <w:rFonts w:hint="default" w:ascii="Times New Roman" w:hAnsi="Times New Roman" w:eastAsia="宋体" w:cs="Times New Roman"/>
                <w:color w:val="auto"/>
                <w:sz w:val="22"/>
                <w:lang w:val="en-US" w:eastAsia="zh-CN" w:bidi="ar-SA"/>
              </w:rPr>
            </w:pPr>
            <w:r>
              <w:rPr>
                <w:rFonts w:hint="default" w:ascii="Times New Roman" w:hAnsi="Times New Roman" w:eastAsia="宋体" w:cs="Times New Roman"/>
                <w:color w:val="auto"/>
                <w:lang w:val="en-US" w:eastAsia="zh-CN"/>
              </w:rPr>
              <w:t>5</w:t>
            </w:r>
          </w:p>
        </w:tc>
      </w:tr>
    </w:tbl>
    <w:p w14:paraId="22C49194">
      <w:pPr>
        <w:pStyle w:val="58"/>
        <w:rPr>
          <w:rFonts w:hint="default" w:ascii="Times New Roman" w:hAnsi="Times New Roman" w:eastAsia="宋体" w:cs="Times New Roman"/>
          <w:color w:val="auto"/>
        </w:r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7"/>
        <w:gridCol w:w="4329"/>
      </w:tblGrid>
      <w:tr w14:paraId="79BF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pct"/>
            <w:noWrap w:val="0"/>
            <w:vAlign w:val="center"/>
          </w:tcPr>
          <w:p w14:paraId="22C5076B">
            <w:pPr>
              <w:pStyle w:val="58"/>
              <w:jc w:val="center"/>
              <w:rPr>
                <w:rFonts w:hint="default" w:ascii="Times New Roman" w:hAnsi="Times New Roman" w:eastAsia="宋体" w:cs="Times New Roman"/>
                <w:color w:val="auto"/>
                <w:vertAlign w:val="baseline"/>
                <w:lang w:val="en-US" w:eastAsia="zh-CN"/>
              </w:rPr>
            </w:pPr>
            <w:r>
              <w:rPr>
                <w:rFonts w:hint="eastAsia" w:ascii="Times New Roman" w:hAnsi="Times New Roman" w:cs="Times New Roman"/>
                <w:color w:val="auto"/>
                <w:vertAlign w:val="baseline"/>
                <w:lang w:val="en-US" w:eastAsia="zh-CN"/>
              </w:rPr>
              <w:t>***</w:t>
            </w:r>
          </w:p>
        </w:tc>
        <w:tc>
          <w:tcPr>
            <w:tcW w:w="2541" w:type="pct"/>
            <w:noWrap w:val="0"/>
            <w:vAlign w:val="center"/>
          </w:tcPr>
          <w:p w14:paraId="0A13A301">
            <w:pPr>
              <w:pStyle w:val="58"/>
              <w:jc w:val="center"/>
              <w:rPr>
                <w:rFonts w:hint="default" w:ascii="Times New Roman" w:hAnsi="Times New Roman" w:eastAsia="宋体" w:cs="Times New Roman"/>
                <w:color w:val="auto"/>
                <w:vertAlign w:val="baseline"/>
                <w:lang w:eastAsia="zh-CN"/>
              </w:rPr>
            </w:pPr>
            <w:r>
              <w:rPr>
                <w:rFonts w:hint="eastAsia" w:ascii="Times New Roman" w:hAnsi="Times New Roman" w:cs="Times New Roman"/>
                <w:color w:val="auto"/>
                <w:vertAlign w:val="baseline"/>
                <w:lang w:val="en-US" w:eastAsia="zh-CN"/>
              </w:rPr>
              <w:t>***</w:t>
            </w:r>
          </w:p>
        </w:tc>
      </w:tr>
      <w:tr w14:paraId="0CD8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pct"/>
            <w:noWrap w:val="0"/>
            <w:vAlign w:val="center"/>
          </w:tcPr>
          <w:p w14:paraId="5CC5B919">
            <w:pPr>
              <w:pStyle w:val="58"/>
              <w:jc w:val="center"/>
              <w:rPr>
                <w:rFonts w:hint="default" w:ascii="Times New Roman" w:hAnsi="Times New Roman" w:eastAsia="宋体" w:cs="Times New Roman"/>
                <w:b w:val="0"/>
                <w:bCs/>
                <w:color w:val="auto"/>
                <w:sz w:val="22"/>
                <w:szCs w:val="22"/>
                <w:vertAlign w:val="baseline"/>
              </w:rPr>
            </w:pPr>
            <w:r>
              <w:rPr>
                <w:rFonts w:hint="default" w:ascii="Times New Roman" w:hAnsi="Times New Roman" w:eastAsia="宋体" w:cs="Times New Roman"/>
                <w:b w:val="0"/>
                <w:bCs/>
                <w:color w:val="auto"/>
                <w:sz w:val="22"/>
                <w:szCs w:val="22"/>
              </w:rPr>
              <w:t>A006~A007</w:t>
            </w:r>
          </w:p>
        </w:tc>
        <w:tc>
          <w:tcPr>
            <w:tcW w:w="2541" w:type="pct"/>
            <w:noWrap w:val="0"/>
            <w:vAlign w:val="center"/>
          </w:tcPr>
          <w:p w14:paraId="5A5D5228">
            <w:pPr>
              <w:pStyle w:val="58"/>
              <w:jc w:val="center"/>
              <w:rPr>
                <w:rFonts w:hint="default" w:ascii="Times New Roman" w:hAnsi="Times New Roman" w:eastAsia="宋体" w:cs="Times New Roman"/>
                <w:b w:val="0"/>
                <w:bCs/>
                <w:color w:val="auto"/>
                <w:sz w:val="22"/>
                <w:szCs w:val="22"/>
                <w:vertAlign w:val="baseline"/>
              </w:rPr>
            </w:pPr>
            <w:r>
              <w:rPr>
                <w:rFonts w:hint="default" w:ascii="Times New Roman" w:hAnsi="Times New Roman" w:eastAsia="宋体" w:cs="Times New Roman"/>
                <w:b w:val="0"/>
                <w:bCs/>
                <w:color w:val="auto"/>
                <w:sz w:val="22"/>
                <w:szCs w:val="22"/>
              </w:rPr>
              <w:t>A010~A011</w:t>
            </w:r>
          </w:p>
        </w:tc>
      </w:tr>
      <w:tr w14:paraId="1A98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pct"/>
            <w:noWrap w:val="0"/>
            <w:vAlign w:val="center"/>
          </w:tcPr>
          <w:p w14:paraId="39CE5950">
            <w:pPr>
              <w:pStyle w:val="58"/>
              <w:jc w:val="center"/>
              <w:rPr>
                <w:rFonts w:hint="default" w:ascii="Times New Roman" w:hAnsi="Times New Roman" w:eastAsia="宋体" w:cs="Times New Roman"/>
                <w:color w:val="auto"/>
                <w:sz w:val="22"/>
                <w:szCs w:val="22"/>
                <w:vertAlign w:val="baseline"/>
                <w:lang w:eastAsia="zh-CN"/>
              </w:rPr>
            </w:pPr>
            <w:r>
              <w:rPr>
                <w:rFonts w:hint="eastAsia" w:ascii="Times New Roman" w:hAnsi="Times New Roman" w:cs="Times New Roman"/>
                <w:color w:val="auto"/>
                <w:vertAlign w:val="baseline"/>
                <w:lang w:val="en-US" w:eastAsia="zh-CN"/>
              </w:rPr>
              <w:t>***</w:t>
            </w:r>
          </w:p>
        </w:tc>
        <w:tc>
          <w:tcPr>
            <w:tcW w:w="2541" w:type="pct"/>
            <w:noWrap w:val="0"/>
            <w:vAlign w:val="center"/>
          </w:tcPr>
          <w:p w14:paraId="306ADD3A">
            <w:pPr>
              <w:pStyle w:val="58"/>
              <w:jc w:val="center"/>
              <w:rPr>
                <w:rFonts w:hint="default" w:ascii="Times New Roman" w:hAnsi="Times New Roman" w:eastAsia="宋体" w:cs="Times New Roman"/>
                <w:b w:val="0"/>
                <w:bCs/>
                <w:color w:val="auto"/>
                <w:sz w:val="22"/>
                <w:szCs w:val="22"/>
                <w:vertAlign w:val="baseline"/>
                <w:lang w:eastAsia="zh-CN"/>
              </w:rPr>
            </w:pPr>
            <w:r>
              <w:rPr>
                <w:rFonts w:hint="eastAsia" w:ascii="Times New Roman" w:hAnsi="Times New Roman" w:cs="Times New Roman"/>
                <w:color w:val="auto"/>
                <w:vertAlign w:val="baseline"/>
                <w:lang w:val="en-US" w:eastAsia="zh-CN"/>
              </w:rPr>
              <w:t>***</w:t>
            </w:r>
          </w:p>
        </w:tc>
      </w:tr>
      <w:tr w14:paraId="2B34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pct"/>
            <w:noWrap w:val="0"/>
            <w:vAlign w:val="center"/>
          </w:tcPr>
          <w:p w14:paraId="6F6C8BB4">
            <w:pPr>
              <w:pStyle w:val="58"/>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A012~A013</w:t>
            </w:r>
          </w:p>
        </w:tc>
        <w:tc>
          <w:tcPr>
            <w:tcW w:w="2541" w:type="pct"/>
            <w:noWrap w:val="0"/>
            <w:vAlign w:val="center"/>
          </w:tcPr>
          <w:p w14:paraId="5BE2580B">
            <w:pPr>
              <w:pStyle w:val="58"/>
              <w:jc w:val="center"/>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A018~A019</w:t>
            </w:r>
          </w:p>
        </w:tc>
      </w:tr>
      <w:tr w14:paraId="714A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pct"/>
            <w:noWrap w:val="0"/>
            <w:vAlign w:val="center"/>
          </w:tcPr>
          <w:p w14:paraId="04DE1D67">
            <w:pPr>
              <w:pStyle w:val="58"/>
              <w:jc w:val="center"/>
              <w:rPr>
                <w:rFonts w:hint="default" w:ascii="Times New Roman" w:hAnsi="Times New Roman" w:eastAsia="宋体" w:cs="Times New Roman"/>
                <w:color w:val="auto"/>
                <w:sz w:val="22"/>
                <w:szCs w:val="22"/>
                <w:vertAlign w:val="baseline"/>
                <w:lang w:eastAsia="zh-CN"/>
              </w:rPr>
            </w:pPr>
            <w:r>
              <w:rPr>
                <w:rFonts w:hint="eastAsia" w:ascii="Times New Roman" w:hAnsi="Times New Roman" w:cs="Times New Roman"/>
                <w:color w:val="auto"/>
                <w:vertAlign w:val="baseline"/>
                <w:lang w:val="en-US" w:eastAsia="zh-CN"/>
              </w:rPr>
              <w:t>***</w:t>
            </w:r>
          </w:p>
        </w:tc>
        <w:tc>
          <w:tcPr>
            <w:tcW w:w="2541" w:type="pct"/>
            <w:noWrap w:val="0"/>
            <w:vAlign w:val="center"/>
          </w:tcPr>
          <w:p w14:paraId="73612157">
            <w:pPr>
              <w:pStyle w:val="58"/>
              <w:jc w:val="center"/>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w:t>
            </w:r>
          </w:p>
        </w:tc>
      </w:tr>
      <w:tr w14:paraId="031D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pct"/>
            <w:noWrap w:val="0"/>
            <w:vAlign w:val="center"/>
          </w:tcPr>
          <w:p w14:paraId="7225D417">
            <w:pPr>
              <w:pStyle w:val="58"/>
              <w:jc w:val="center"/>
              <w:rPr>
                <w:rFonts w:hint="default" w:ascii="Times New Roman" w:hAnsi="Times New Roman" w:eastAsia="宋体" w:cs="Times New Roman"/>
                <w:b w:val="0"/>
                <w:bCs/>
                <w:color w:val="auto"/>
                <w:sz w:val="22"/>
                <w:szCs w:val="22"/>
                <w:lang w:eastAsia="zh-CN"/>
              </w:rPr>
            </w:pPr>
            <w:r>
              <w:rPr>
                <w:rFonts w:hint="default" w:ascii="Times New Roman" w:hAnsi="Times New Roman" w:eastAsia="宋体" w:cs="Times New Roman"/>
                <w:b w:val="0"/>
                <w:bCs/>
                <w:color w:val="auto"/>
                <w:sz w:val="22"/>
                <w:szCs w:val="22"/>
              </w:rPr>
              <w:t>A020~A021</w:t>
            </w:r>
          </w:p>
        </w:tc>
        <w:tc>
          <w:tcPr>
            <w:tcW w:w="2541" w:type="pct"/>
            <w:noWrap w:val="0"/>
            <w:vAlign w:val="center"/>
          </w:tcPr>
          <w:p w14:paraId="7FD7CA31">
            <w:pPr>
              <w:pStyle w:val="58"/>
              <w:jc w:val="center"/>
              <w:rPr>
                <w:rFonts w:hint="default" w:ascii="Times New Roman" w:hAnsi="Times New Roman" w:eastAsia="宋体" w:cs="Times New Roman"/>
                <w:b w:val="0"/>
                <w:bCs/>
                <w:color w:val="auto"/>
                <w:sz w:val="22"/>
                <w:szCs w:val="22"/>
                <w:lang w:val="en-US" w:eastAsia="zh-CN"/>
              </w:rPr>
            </w:pPr>
            <w:r>
              <w:rPr>
                <w:rFonts w:hint="default" w:ascii="Times New Roman" w:hAnsi="Times New Roman" w:eastAsia="宋体" w:cs="Times New Roman"/>
                <w:b w:val="0"/>
                <w:bCs/>
                <w:color w:val="auto"/>
                <w:sz w:val="22"/>
                <w:szCs w:val="22"/>
                <w:lang w:val="en-US" w:eastAsia="zh-CN"/>
              </w:rPr>
              <w:t>/</w:t>
            </w:r>
          </w:p>
        </w:tc>
      </w:tr>
    </w:tbl>
    <w:p w14:paraId="50AA5108">
      <w:pPr>
        <w:pStyle w:val="58"/>
        <w:rPr>
          <w:rFonts w:hint="default" w:ascii="Times New Roman" w:hAnsi="Times New Roman" w:eastAsia="宋体" w:cs="Times New Roman"/>
          <w:color w:val="auto"/>
        </w:rPr>
      </w:pPr>
    </w:p>
    <w:p w14:paraId="0115B468">
      <w:pPr>
        <w:spacing w:line="500" w:lineRule="exact"/>
        <w:ind w:firstLine="522"/>
        <w:outlineLvl w:val="2"/>
        <w:rPr>
          <w:rFonts w:hint="default" w:ascii="Times New Roman" w:hAnsi="Times New Roman" w:eastAsia="宋体" w:cs="Times New Roman"/>
          <w:b/>
          <w:color w:val="auto"/>
          <w:sz w:val="26"/>
          <w:szCs w:val="26"/>
        </w:rPr>
      </w:pPr>
      <w:bookmarkStart w:id="239" w:name="_Hlk131433661"/>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.4 线路用管</w:t>
      </w:r>
    </w:p>
    <w:p w14:paraId="642FA997">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根据设计资料，本项目迁改管道设计压力、设计输量、管径与现役管线一致，采用</w:t>
      </w:r>
      <w:r>
        <w:rPr>
          <w:rFonts w:hint="default" w:ascii="Times New Roman" w:hAnsi="Times New Roman" w:eastAsia="宋体" w:cs="Times New Roman"/>
          <w:color w:val="auto"/>
          <w:lang w:eastAsia="zh-CN"/>
        </w:rPr>
        <w:t>D89×5 L245N PSL2无缝钢管</w:t>
      </w:r>
      <w:r>
        <w:rPr>
          <w:rFonts w:hint="default" w:ascii="Times New Roman" w:hAnsi="Times New Roman" w:eastAsia="宋体" w:cs="Times New Roman"/>
          <w:color w:val="auto"/>
        </w:rPr>
        <w:t>，设计输气量为</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w:t>
      </w:r>
      <w:r>
        <w:rPr>
          <w:rFonts w:hint="default" w:ascii="Times New Roman" w:hAnsi="Times New Roman" w:eastAsia="宋体" w:cs="Times New Roman"/>
          <w:color w:val="auto"/>
        </w:rPr>
        <w:t>，设计压力为</w:t>
      </w:r>
      <w:r>
        <w:rPr>
          <w:rFonts w:hint="default" w:ascii="Times New Roman" w:hAnsi="Times New Roman" w:eastAsia="宋体" w:cs="Times New Roman"/>
          <w:color w:val="auto"/>
          <w:lang w:val="en-US" w:eastAsia="zh-CN"/>
        </w:rPr>
        <w:t>4.0</w:t>
      </w:r>
      <w:r>
        <w:rPr>
          <w:rFonts w:hint="default" w:ascii="Times New Roman" w:hAnsi="Times New Roman" w:eastAsia="宋体" w:cs="Times New Roman"/>
          <w:color w:val="auto"/>
        </w:rPr>
        <w:t>Mpa。</w:t>
      </w:r>
    </w:p>
    <w:bookmarkEnd w:id="239"/>
    <w:p w14:paraId="655CC6D3">
      <w:pPr>
        <w:spacing w:line="50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5 管道敷设</w:t>
      </w:r>
    </w:p>
    <w:p w14:paraId="51D8657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工程线路地区等级为二级。为确保管道安全，减少人为和外力因素造成破坏的可能性，管道应有足够的埋设深度，一般地段管道管顶距地面埋深不低于1.0m，岩石地段埋深不低于0.5m，穿越车行道套管顶距地面埋深不低于1.2m。设置碰口及后期运行视频监控并上传至重庆气矿江北采输气作业区调控中心</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rPr>
        <w:t>为还建的迁改方式，竣工后移交重庆气矿江北采输气作业区进行管理。</w:t>
      </w:r>
    </w:p>
    <w:p w14:paraId="724CEEE2">
      <w:pPr>
        <w:pStyle w:val="56"/>
        <w:ind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（1）管沟开挖</w:t>
      </w:r>
    </w:p>
    <w:p w14:paraId="04881CD7">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管沟开挖应编制计划，向施工人员做好技术交底，并做好安全教育工作。在管沟开挖前，应进行移桩。转角桩按转角的角平分线方向移动，其余轴线桩应平移至管道组装焊接一侧，施工作业带边界线内1m处。对于移桩困难的地段可采用增加引导桩、参照物标记等方法来确定原位置。</w:t>
      </w:r>
    </w:p>
    <w:p w14:paraId="619E6273">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管沟开挖前，要认真核对图纸，加强施工前的调查，确定各段开挖深度和地下构筑物情况，尤其是埋地物体的位置，以便及时采取保护措施，并对所有有地下构筑物处都用红旗作出明显</w:t>
      </w:r>
      <w:r>
        <w:rPr>
          <w:rFonts w:hint="default" w:ascii="Times New Roman" w:hAnsi="Times New Roman" w:eastAsia="宋体" w:cs="Times New Roman"/>
          <w:color w:val="auto"/>
          <w:shd w:val="clear" w:fill="FFFFFF"/>
          <w:lang w:eastAsia="zh-CN"/>
        </w:rPr>
        <w:t>标识</w:t>
      </w:r>
      <w:r>
        <w:rPr>
          <w:rFonts w:hint="default" w:ascii="Times New Roman" w:hAnsi="Times New Roman" w:eastAsia="宋体" w:cs="Times New Roman"/>
          <w:color w:val="auto"/>
        </w:rPr>
        <w:t>。有其他地下障碍物时，障碍物两侧5m范围内，应采用人工开挖。对于重要设施，开挖前应征得其管理方的同意，并应在其监督下开挖管沟。深度在5m以内（不加支撑）的一般地段，管沟最陡边坡的坡度和管沟沟底加宽裕量应分别符合表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和表2.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的规定。</w:t>
      </w:r>
    </w:p>
    <w:p w14:paraId="0BFDB6A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管沟开挖时，应将挖出的土石方堆放在作业带一侧，距沟边不小于1m。在耕作区开挖管沟时，表层耕作土应靠作业带边界线堆放，下层土应靠近管沟堆放</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对于地势平坦、土质松软且能连续施工的地段，应尽量采用机械开挖</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管沟开挖应与管道组对、焊接、下沟、回填紧密结合，开挖回填后应及时进行水工保护施工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岩石、</w:t>
      </w:r>
      <w:r>
        <w:rPr>
          <w:rFonts w:hint="default" w:ascii="Times New Roman" w:hAnsi="Times New Roman" w:eastAsia="宋体" w:cs="Times New Roman"/>
          <w:color w:val="auto"/>
          <w:shd w:val="clear" w:fill="FFFFFF"/>
        </w:rPr>
        <w:t>砾石区</w:t>
      </w:r>
      <w:r>
        <w:rPr>
          <w:rFonts w:hint="default" w:ascii="Times New Roman" w:hAnsi="Times New Roman" w:eastAsia="宋体" w:cs="Times New Roman"/>
          <w:color w:val="auto"/>
        </w:rPr>
        <w:t>的管沟深度应管底超挖0.2m，并用细土或砂浆深挖部分垫平后方可下管，以保护管道防腐层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管</w:t>
      </w:r>
      <w:r>
        <w:rPr>
          <w:rFonts w:hint="default" w:ascii="Times New Roman" w:hAnsi="Times New Roman" w:eastAsia="宋体" w:cs="Times New Roman"/>
          <w:color w:val="auto"/>
          <w:shd w:val="clear" w:fill="FFFFFF"/>
        </w:rPr>
        <w:t>沟沟</w:t>
      </w:r>
      <w:r>
        <w:rPr>
          <w:rFonts w:hint="default" w:ascii="Times New Roman" w:hAnsi="Times New Roman" w:eastAsia="宋体" w:cs="Times New Roman"/>
          <w:color w:val="auto"/>
        </w:rPr>
        <w:t>壁不得有欲坠的石头，沟底不应有石块。</w:t>
      </w:r>
    </w:p>
    <w:p w14:paraId="759EF8C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拟建管道穿越乡村道路，拟采用大开挖方式进行穿越。穿越时管沟宜加大管道埋深，宜使管</w:t>
      </w:r>
      <w:r>
        <w:rPr>
          <w:rFonts w:hint="default" w:ascii="Times New Roman" w:hAnsi="Times New Roman" w:eastAsia="宋体" w:cs="Times New Roman"/>
          <w:color w:val="auto"/>
          <w:shd w:val="clear" w:fill="FFFFFF"/>
        </w:rPr>
        <w:t>沟成</w:t>
      </w:r>
      <w:r>
        <w:rPr>
          <w:rFonts w:hint="default" w:ascii="Times New Roman" w:hAnsi="Times New Roman" w:eastAsia="宋体" w:cs="Times New Roman"/>
          <w:color w:val="auto"/>
        </w:rPr>
        <w:t>稳定的沟槽，回填管沟前，应清除沟内杂质和积水，回填土不得含有杂物，并分层夯实，防止公路路面凹陷；在穿越现有道路施工时，应注意进行交通管制，保证施工安全。</w:t>
      </w:r>
    </w:p>
    <w:p w14:paraId="6281DE44">
      <w:pPr>
        <w:pStyle w:val="58"/>
        <w:rPr>
          <w:rFonts w:hint="default" w:ascii="Times New Roman" w:hAnsi="Times New Roman" w:eastAsia="宋体" w:cs="Times New Roman"/>
          <w:color w:val="auto"/>
        </w:rPr>
      </w:pPr>
    </w:p>
    <w:p w14:paraId="6BBA5914">
      <w:pPr>
        <w:pStyle w:val="72"/>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 xml:space="preserve">  深度在5m内的管沟最陡边坡坡度（不加支撑）</w:t>
      </w:r>
    </w:p>
    <w:tbl>
      <w:tblPr>
        <w:tblStyle w:val="29"/>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730"/>
        <w:gridCol w:w="1410"/>
        <w:gridCol w:w="1569"/>
        <w:gridCol w:w="1807"/>
      </w:tblGrid>
      <w:tr w14:paraId="4471EB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190" w:type="pct"/>
            <w:vMerge w:val="restart"/>
            <w:noWrap w:val="0"/>
            <w:vAlign w:val="center"/>
          </w:tcPr>
          <w:p w14:paraId="4995395F">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土壤类别</w:t>
            </w:r>
          </w:p>
        </w:tc>
        <w:tc>
          <w:tcPr>
            <w:tcW w:w="2809" w:type="pct"/>
            <w:gridSpan w:val="3"/>
            <w:noWrap w:val="0"/>
            <w:vAlign w:val="center"/>
          </w:tcPr>
          <w:p w14:paraId="16B26251">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最陡边坡坡度</w:t>
            </w:r>
          </w:p>
        </w:tc>
      </w:tr>
      <w:tr w14:paraId="28746A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190" w:type="pct"/>
            <w:vMerge w:val="continue"/>
            <w:noWrap w:val="0"/>
            <w:vAlign w:val="center"/>
          </w:tcPr>
          <w:p w14:paraId="44DDCF83">
            <w:pPr>
              <w:pStyle w:val="60"/>
              <w:rPr>
                <w:rFonts w:hint="default" w:ascii="Times New Roman" w:hAnsi="Times New Roman" w:eastAsia="宋体" w:cs="Times New Roman"/>
                <w:color w:val="auto"/>
              </w:rPr>
            </w:pPr>
          </w:p>
        </w:tc>
        <w:tc>
          <w:tcPr>
            <w:tcW w:w="828" w:type="pct"/>
            <w:noWrap w:val="0"/>
            <w:vAlign w:val="center"/>
          </w:tcPr>
          <w:p w14:paraId="6633666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坡顶无载荷</w:t>
            </w:r>
          </w:p>
        </w:tc>
        <w:tc>
          <w:tcPr>
            <w:tcW w:w="921" w:type="pct"/>
            <w:noWrap w:val="0"/>
            <w:vAlign w:val="center"/>
          </w:tcPr>
          <w:p w14:paraId="698F552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坡顶有静载荷</w:t>
            </w:r>
          </w:p>
        </w:tc>
        <w:tc>
          <w:tcPr>
            <w:tcW w:w="1059" w:type="pct"/>
            <w:noWrap w:val="0"/>
            <w:vAlign w:val="center"/>
          </w:tcPr>
          <w:p w14:paraId="477051BF">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坡顶有动载荷</w:t>
            </w:r>
          </w:p>
        </w:tc>
      </w:tr>
      <w:tr w14:paraId="26A36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190" w:type="pct"/>
            <w:noWrap w:val="0"/>
            <w:vAlign w:val="center"/>
          </w:tcPr>
          <w:p w14:paraId="6534DAE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中密的砂土</w:t>
            </w:r>
          </w:p>
        </w:tc>
        <w:tc>
          <w:tcPr>
            <w:tcW w:w="828" w:type="pct"/>
            <w:noWrap w:val="0"/>
            <w:vAlign w:val="center"/>
          </w:tcPr>
          <w:p w14:paraId="6C787EB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1:1.00</w:t>
            </w:r>
          </w:p>
        </w:tc>
        <w:tc>
          <w:tcPr>
            <w:tcW w:w="921" w:type="pct"/>
            <w:noWrap w:val="0"/>
            <w:vAlign w:val="center"/>
          </w:tcPr>
          <w:p w14:paraId="78555F97">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1:1.25</w:t>
            </w:r>
          </w:p>
        </w:tc>
        <w:tc>
          <w:tcPr>
            <w:tcW w:w="1059" w:type="pct"/>
            <w:noWrap w:val="0"/>
            <w:vAlign w:val="center"/>
          </w:tcPr>
          <w:p w14:paraId="2E05BDC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1:1.50</w:t>
            </w:r>
          </w:p>
        </w:tc>
      </w:tr>
      <w:tr w14:paraId="5C1FE2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190" w:type="pct"/>
            <w:noWrap w:val="0"/>
            <w:vAlign w:val="center"/>
          </w:tcPr>
          <w:p w14:paraId="5FCBEAFC">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中密的碎石类土（填充物为砂土）</w:t>
            </w:r>
          </w:p>
        </w:tc>
        <w:tc>
          <w:tcPr>
            <w:tcW w:w="828" w:type="pct"/>
            <w:noWrap w:val="0"/>
            <w:vAlign w:val="center"/>
          </w:tcPr>
          <w:p w14:paraId="0322C2B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1:0.75</w:t>
            </w:r>
          </w:p>
        </w:tc>
        <w:tc>
          <w:tcPr>
            <w:tcW w:w="921" w:type="pct"/>
            <w:noWrap w:val="0"/>
            <w:vAlign w:val="center"/>
          </w:tcPr>
          <w:p w14:paraId="7717271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1:1.00</w:t>
            </w:r>
          </w:p>
        </w:tc>
        <w:tc>
          <w:tcPr>
            <w:tcW w:w="1059" w:type="pct"/>
            <w:noWrap w:val="0"/>
            <w:vAlign w:val="center"/>
          </w:tcPr>
          <w:p w14:paraId="3C46534D">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1:1.25</w:t>
            </w:r>
          </w:p>
        </w:tc>
      </w:tr>
      <w:tr w14:paraId="1688D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190" w:type="pct"/>
            <w:noWrap w:val="0"/>
            <w:vAlign w:val="center"/>
          </w:tcPr>
          <w:p w14:paraId="3767E3B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硬塑的轻亚</w:t>
            </w:r>
            <w:r>
              <w:rPr>
                <w:rFonts w:hint="default" w:ascii="Times New Roman" w:hAnsi="Times New Roman" w:eastAsia="宋体" w:cs="Times New Roman"/>
                <w:color w:val="auto"/>
                <w:shd w:val="clear" w:fill="FFFFFF"/>
              </w:rPr>
              <w:t>粘土</w:t>
            </w:r>
          </w:p>
        </w:tc>
        <w:tc>
          <w:tcPr>
            <w:tcW w:w="828" w:type="pct"/>
            <w:noWrap w:val="0"/>
            <w:vAlign w:val="center"/>
          </w:tcPr>
          <w:p w14:paraId="773D2AFF">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1:0.67</w:t>
            </w:r>
          </w:p>
        </w:tc>
        <w:tc>
          <w:tcPr>
            <w:tcW w:w="921" w:type="pct"/>
            <w:noWrap w:val="0"/>
            <w:vAlign w:val="center"/>
          </w:tcPr>
          <w:p w14:paraId="7351961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1:0.75</w:t>
            </w:r>
          </w:p>
        </w:tc>
        <w:tc>
          <w:tcPr>
            <w:tcW w:w="1059" w:type="pct"/>
            <w:noWrap w:val="0"/>
            <w:vAlign w:val="center"/>
          </w:tcPr>
          <w:p w14:paraId="6A2631FC">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1:1.00</w:t>
            </w:r>
          </w:p>
        </w:tc>
      </w:tr>
      <w:tr w14:paraId="1CA35D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190" w:type="pct"/>
            <w:noWrap w:val="0"/>
            <w:vAlign w:val="center"/>
          </w:tcPr>
          <w:p w14:paraId="106D41E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中密的碎石类土（填充物为</w:t>
            </w:r>
            <w:r>
              <w:rPr>
                <w:rFonts w:hint="default" w:ascii="Times New Roman" w:hAnsi="Times New Roman" w:eastAsia="宋体" w:cs="Times New Roman"/>
                <w:color w:val="auto"/>
                <w:shd w:val="clear" w:fill="FFFFFF"/>
              </w:rPr>
              <w:t>粘性</w:t>
            </w:r>
            <w:r>
              <w:rPr>
                <w:rFonts w:hint="default" w:ascii="Times New Roman" w:hAnsi="Times New Roman" w:eastAsia="宋体" w:cs="Times New Roman"/>
                <w:color w:val="auto"/>
              </w:rPr>
              <w:t>土）</w:t>
            </w:r>
          </w:p>
        </w:tc>
        <w:tc>
          <w:tcPr>
            <w:tcW w:w="828" w:type="pct"/>
            <w:noWrap w:val="0"/>
            <w:vAlign w:val="center"/>
          </w:tcPr>
          <w:p w14:paraId="38A9144F">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1:0.50</w:t>
            </w:r>
          </w:p>
        </w:tc>
        <w:tc>
          <w:tcPr>
            <w:tcW w:w="921" w:type="pct"/>
            <w:noWrap w:val="0"/>
            <w:vAlign w:val="center"/>
          </w:tcPr>
          <w:p w14:paraId="65CC53CA">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1:0.67</w:t>
            </w:r>
          </w:p>
        </w:tc>
        <w:tc>
          <w:tcPr>
            <w:tcW w:w="1059" w:type="pct"/>
            <w:noWrap w:val="0"/>
            <w:vAlign w:val="center"/>
          </w:tcPr>
          <w:p w14:paraId="30E8D9CD">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1:0.75</w:t>
            </w:r>
          </w:p>
        </w:tc>
      </w:tr>
      <w:tr w14:paraId="3E1F39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190" w:type="pct"/>
            <w:noWrap w:val="0"/>
            <w:vAlign w:val="center"/>
          </w:tcPr>
          <w:p w14:paraId="4FB0C10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硬塑的亚</w:t>
            </w:r>
            <w:r>
              <w:rPr>
                <w:rFonts w:hint="default" w:ascii="Times New Roman" w:hAnsi="Times New Roman" w:eastAsia="宋体" w:cs="Times New Roman"/>
                <w:color w:val="auto"/>
                <w:shd w:val="clear" w:fill="FFFFFF"/>
              </w:rPr>
              <w:t>粘土</w:t>
            </w:r>
            <w:r>
              <w:rPr>
                <w:rFonts w:hint="default" w:ascii="Times New Roman" w:hAnsi="Times New Roman" w:eastAsia="宋体" w:cs="Times New Roman"/>
                <w:color w:val="auto"/>
              </w:rPr>
              <w:t>、</w:t>
            </w:r>
            <w:r>
              <w:rPr>
                <w:rFonts w:hint="default" w:ascii="Times New Roman" w:hAnsi="Times New Roman" w:eastAsia="宋体" w:cs="Times New Roman"/>
                <w:color w:val="auto"/>
                <w:shd w:val="clear" w:fill="FFFFFF"/>
              </w:rPr>
              <w:t>粘土</w:t>
            </w:r>
          </w:p>
        </w:tc>
        <w:tc>
          <w:tcPr>
            <w:tcW w:w="828" w:type="pct"/>
            <w:noWrap w:val="0"/>
            <w:vAlign w:val="center"/>
          </w:tcPr>
          <w:p w14:paraId="4FA37BB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1:0.33</w:t>
            </w:r>
          </w:p>
        </w:tc>
        <w:tc>
          <w:tcPr>
            <w:tcW w:w="921" w:type="pct"/>
            <w:noWrap w:val="0"/>
            <w:vAlign w:val="center"/>
          </w:tcPr>
          <w:p w14:paraId="496E1D6D">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1:0.50</w:t>
            </w:r>
          </w:p>
        </w:tc>
        <w:tc>
          <w:tcPr>
            <w:tcW w:w="1059" w:type="pct"/>
            <w:noWrap w:val="0"/>
            <w:vAlign w:val="center"/>
          </w:tcPr>
          <w:p w14:paraId="58FA609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1:0.67</w:t>
            </w:r>
          </w:p>
        </w:tc>
      </w:tr>
      <w:tr w14:paraId="5FC0C9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190" w:type="pct"/>
            <w:noWrap w:val="0"/>
            <w:vAlign w:val="center"/>
          </w:tcPr>
          <w:p w14:paraId="1D536555">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老黄土</w:t>
            </w:r>
          </w:p>
        </w:tc>
        <w:tc>
          <w:tcPr>
            <w:tcW w:w="828" w:type="pct"/>
            <w:noWrap w:val="0"/>
            <w:vAlign w:val="center"/>
          </w:tcPr>
          <w:p w14:paraId="1C2EF55B">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1:0.10</w:t>
            </w:r>
          </w:p>
        </w:tc>
        <w:tc>
          <w:tcPr>
            <w:tcW w:w="921" w:type="pct"/>
            <w:noWrap w:val="0"/>
            <w:vAlign w:val="center"/>
          </w:tcPr>
          <w:p w14:paraId="1DF564F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1:0.25</w:t>
            </w:r>
          </w:p>
        </w:tc>
        <w:tc>
          <w:tcPr>
            <w:tcW w:w="1059" w:type="pct"/>
            <w:noWrap w:val="0"/>
            <w:vAlign w:val="center"/>
          </w:tcPr>
          <w:p w14:paraId="425D15F2">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1:0.33</w:t>
            </w:r>
          </w:p>
        </w:tc>
      </w:tr>
      <w:tr w14:paraId="5D81D2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190" w:type="pct"/>
            <w:noWrap w:val="0"/>
            <w:vAlign w:val="center"/>
          </w:tcPr>
          <w:p w14:paraId="79499F6C">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软土（经井点降水）</w:t>
            </w:r>
          </w:p>
        </w:tc>
        <w:tc>
          <w:tcPr>
            <w:tcW w:w="828" w:type="pct"/>
            <w:noWrap w:val="0"/>
            <w:vAlign w:val="center"/>
          </w:tcPr>
          <w:p w14:paraId="0AD7BB1B">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1:1.00</w:t>
            </w:r>
          </w:p>
        </w:tc>
        <w:tc>
          <w:tcPr>
            <w:tcW w:w="921" w:type="pct"/>
            <w:noWrap w:val="0"/>
            <w:vAlign w:val="center"/>
          </w:tcPr>
          <w:p w14:paraId="14FF1542">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059" w:type="pct"/>
            <w:noWrap w:val="0"/>
            <w:vAlign w:val="center"/>
          </w:tcPr>
          <w:p w14:paraId="6F17CAC2">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r w14:paraId="660710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190" w:type="pct"/>
            <w:noWrap w:val="0"/>
            <w:vAlign w:val="center"/>
          </w:tcPr>
          <w:p w14:paraId="31DF8FFA">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硬质岩</w:t>
            </w:r>
          </w:p>
        </w:tc>
        <w:tc>
          <w:tcPr>
            <w:tcW w:w="828" w:type="pct"/>
            <w:noWrap w:val="0"/>
            <w:vAlign w:val="center"/>
          </w:tcPr>
          <w:p w14:paraId="2CA0484C">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921" w:type="pct"/>
            <w:noWrap w:val="0"/>
            <w:vAlign w:val="center"/>
          </w:tcPr>
          <w:p w14:paraId="0A6D5DFB">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059" w:type="pct"/>
            <w:noWrap w:val="0"/>
            <w:vAlign w:val="center"/>
          </w:tcPr>
          <w:p w14:paraId="6B926A7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r w14:paraId="78D00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5000" w:type="pct"/>
            <w:gridSpan w:val="4"/>
            <w:noWrap w:val="0"/>
            <w:vAlign w:val="center"/>
          </w:tcPr>
          <w:p w14:paraId="03BE2677">
            <w:pPr>
              <w:pStyle w:val="60"/>
              <w:jc w:val="left"/>
              <w:rPr>
                <w:rFonts w:hint="default" w:ascii="Times New Roman" w:hAnsi="Times New Roman" w:eastAsia="宋体" w:cs="Times New Roman"/>
                <w:color w:val="auto"/>
              </w:rPr>
            </w:pPr>
            <w:r>
              <w:rPr>
                <w:rFonts w:hint="default" w:ascii="Times New Roman" w:hAnsi="Times New Roman" w:eastAsia="宋体" w:cs="Times New Roman"/>
                <w:color w:val="auto"/>
                <w:sz w:val="18"/>
                <w:szCs w:val="18"/>
              </w:rPr>
              <w:t>注1：静载指堆土和材料等，动载指机械挖土或汽车运输作业等。静载或动载应距挖方边缘0.8m以外，堆土或材料高度不宜超过1.5m。</w:t>
            </w:r>
          </w:p>
        </w:tc>
      </w:tr>
    </w:tbl>
    <w:p w14:paraId="7FE96AAA">
      <w:pPr>
        <w:pStyle w:val="58"/>
        <w:rPr>
          <w:rFonts w:hint="default" w:ascii="Times New Roman" w:hAnsi="Times New Roman" w:eastAsia="宋体" w:cs="Times New Roman"/>
          <w:color w:val="auto"/>
        </w:rPr>
      </w:pPr>
    </w:p>
    <w:p w14:paraId="2F51960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沟底加宽裕量(m)</w:t>
      </w:r>
    </w:p>
    <w:tbl>
      <w:tblPr>
        <w:tblStyle w:val="29"/>
        <w:tblW w:w="504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1"/>
        <w:gridCol w:w="828"/>
        <w:gridCol w:w="525"/>
        <w:gridCol w:w="615"/>
        <w:gridCol w:w="766"/>
        <w:gridCol w:w="1023"/>
        <w:gridCol w:w="553"/>
        <w:gridCol w:w="605"/>
        <w:gridCol w:w="932"/>
        <w:gridCol w:w="905"/>
        <w:gridCol w:w="1229"/>
      </w:tblGrid>
      <w:tr w14:paraId="370BB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33" w:type="pct"/>
            <w:gridSpan w:val="2"/>
            <w:vMerge w:val="restart"/>
            <w:noWrap w:val="0"/>
            <w:vAlign w:val="center"/>
          </w:tcPr>
          <w:p w14:paraId="39EAD928">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2"/>
              </w:rPr>
              <w:t>条件因</w:t>
            </w:r>
            <w:r>
              <w:rPr>
                <w:rFonts w:hint="default" w:ascii="Times New Roman" w:hAnsi="Times New Roman" w:eastAsia="宋体" w:cs="Times New Roman"/>
                <w:color w:val="auto"/>
                <w:spacing w:val="-1"/>
              </w:rPr>
              <w:t>素</w:t>
            </w:r>
          </w:p>
        </w:tc>
        <w:tc>
          <w:tcPr>
            <w:tcW w:w="1747" w:type="pct"/>
            <w:gridSpan w:val="4"/>
            <w:noWrap w:val="0"/>
            <w:vAlign w:val="center"/>
          </w:tcPr>
          <w:p w14:paraId="1708D29A">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2"/>
              </w:rPr>
              <w:t>沟</w:t>
            </w:r>
            <w:r>
              <w:rPr>
                <w:rFonts w:hint="default" w:ascii="Times New Roman" w:hAnsi="Times New Roman" w:eastAsia="宋体" w:cs="Times New Roman"/>
                <w:color w:val="auto"/>
                <w:spacing w:val="-1"/>
              </w:rPr>
              <w:t>上焊接</w:t>
            </w:r>
          </w:p>
        </w:tc>
        <w:tc>
          <w:tcPr>
            <w:tcW w:w="1247" w:type="pct"/>
            <w:gridSpan w:val="3"/>
            <w:noWrap w:val="0"/>
            <w:vAlign w:val="center"/>
          </w:tcPr>
          <w:p w14:paraId="777B56FE">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1"/>
              </w:rPr>
              <w:t>沟下手工</w:t>
            </w:r>
            <w:r>
              <w:rPr>
                <w:rFonts w:hint="default" w:ascii="Times New Roman" w:hAnsi="Times New Roman" w:eastAsia="宋体" w:cs="Times New Roman"/>
                <w:color w:val="auto"/>
              </w:rPr>
              <w:t>电弧焊接</w:t>
            </w:r>
          </w:p>
        </w:tc>
        <w:tc>
          <w:tcPr>
            <w:tcW w:w="540" w:type="pct"/>
            <w:vMerge w:val="restart"/>
            <w:noWrap w:val="0"/>
            <w:vAlign w:val="center"/>
          </w:tcPr>
          <w:p w14:paraId="1D6CAFFE">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2"/>
              </w:rPr>
              <w:t>沟下半自动焊接处管沟</w:t>
            </w:r>
          </w:p>
        </w:tc>
        <w:tc>
          <w:tcPr>
            <w:tcW w:w="730" w:type="pct"/>
            <w:vMerge w:val="restart"/>
            <w:noWrap w:val="0"/>
            <w:vAlign w:val="center"/>
          </w:tcPr>
          <w:p w14:paraId="569B13F7">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2"/>
              </w:rPr>
              <w:t>沟下</w:t>
            </w:r>
            <w:r>
              <w:rPr>
                <w:rFonts w:hint="default" w:ascii="Times New Roman" w:hAnsi="Times New Roman" w:eastAsia="宋体" w:cs="Times New Roman"/>
                <w:color w:val="auto"/>
                <w:spacing w:val="-1"/>
              </w:rPr>
              <w:t>焊</w:t>
            </w:r>
            <w:r>
              <w:rPr>
                <w:rFonts w:hint="default" w:ascii="Times New Roman" w:hAnsi="Times New Roman" w:eastAsia="宋体" w:cs="Times New Roman"/>
                <w:color w:val="auto"/>
                <w:spacing w:val="-9"/>
              </w:rPr>
              <w:t>接弯头、</w:t>
            </w:r>
            <w:r>
              <w:rPr>
                <w:rFonts w:hint="default" w:ascii="Times New Roman" w:hAnsi="Times New Roman" w:eastAsia="宋体" w:cs="Times New Roman"/>
                <w:color w:val="auto"/>
                <w:spacing w:val="33"/>
              </w:rPr>
              <w:t>弯管及</w:t>
            </w:r>
            <w:r>
              <w:rPr>
                <w:rFonts w:hint="default" w:ascii="Times New Roman" w:hAnsi="Times New Roman" w:eastAsia="宋体" w:cs="Times New Roman"/>
                <w:color w:val="auto"/>
                <w:spacing w:val="-1"/>
              </w:rPr>
              <w:t>碰口处</w:t>
            </w:r>
            <w:r>
              <w:rPr>
                <w:rFonts w:hint="default" w:ascii="Times New Roman" w:hAnsi="Times New Roman" w:eastAsia="宋体" w:cs="Times New Roman"/>
                <w:color w:val="auto"/>
                <w:spacing w:val="-6"/>
              </w:rPr>
              <w:t>管</w:t>
            </w:r>
            <w:r>
              <w:rPr>
                <w:rFonts w:hint="default" w:ascii="Times New Roman" w:hAnsi="Times New Roman" w:eastAsia="宋体" w:cs="Times New Roman"/>
                <w:color w:val="auto"/>
                <w:spacing w:val="-5"/>
              </w:rPr>
              <w:t>沟</w:t>
            </w:r>
          </w:p>
        </w:tc>
      </w:tr>
      <w:tr w14:paraId="22C0A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33" w:type="pct"/>
            <w:gridSpan w:val="2"/>
            <w:vMerge w:val="continue"/>
            <w:noWrap w:val="0"/>
            <w:vAlign w:val="center"/>
          </w:tcPr>
          <w:p w14:paraId="4672FA46">
            <w:pPr>
              <w:pStyle w:val="60"/>
              <w:jc w:val="center"/>
              <w:rPr>
                <w:rFonts w:hint="default" w:ascii="Times New Roman" w:hAnsi="Times New Roman" w:eastAsia="宋体" w:cs="Times New Roman"/>
                <w:color w:val="auto"/>
              </w:rPr>
            </w:pPr>
          </w:p>
        </w:tc>
        <w:tc>
          <w:tcPr>
            <w:tcW w:w="680" w:type="pct"/>
            <w:gridSpan w:val="2"/>
            <w:noWrap w:val="0"/>
            <w:vAlign w:val="center"/>
          </w:tcPr>
          <w:p w14:paraId="218642D2">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2"/>
              </w:rPr>
              <w:t>土质</w:t>
            </w:r>
            <w:r>
              <w:rPr>
                <w:rFonts w:hint="default" w:ascii="Times New Roman" w:hAnsi="Times New Roman" w:eastAsia="宋体" w:cs="Times New Roman"/>
                <w:color w:val="auto"/>
                <w:spacing w:val="-1"/>
              </w:rPr>
              <w:t>管沟</w:t>
            </w:r>
          </w:p>
        </w:tc>
        <w:tc>
          <w:tcPr>
            <w:tcW w:w="457" w:type="pct"/>
            <w:vMerge w:val="restart"/>
            <w:noWrap w:val="0"/>
            <w:vAlign w:val="center"/>
          </w:tcPr>
          <w:p w14:paraId="2FAE94B8">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3"/>
              </w:rPr>
              <w:t>岩石爆破管沟</w:t>
            </w:r>
          </w:p>
        </w:tc>
        <w:tc>
          <w:tcPr>
            <w:tcW w:w="608" w:type="pct"/>
            <w:vMerge w:val="restart"/>
            <w:noWrap w:val="0"/>
            <w:vAlign w:val="center"/>
          </w:tcPr>
          <w:p w14:paraId="2B1083D4">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15"/>
              </w:rPr>
              <w:t>弯</w:t>
            </w:r>
            <w:r>
              <w:rPr>
                <w:rFonts w:hint="default" w:ascii="Times New Roman" w:hAnsi="Times New Roman" w:eastAsia="宋体" w:cs="Times New Roman"/>
                <w:color w:val="auto"/>
                <w:spacing w:val="-13"/>
              </w:rPr>
              <w:t>头、</w:t>
            </w:r>
            <w:r>
              <w:rPr>
                <w:rFonts w:hint="default" w:ascii="Times New Roman" w:hAnsi="Times New Roman" w:eastAsia="宋体" w:cs="Times New Roman"/>
                <w:color w:val="auto"/>
                <w:spacing w:val="-3"/>
              </w:rPr>
              <w:t>冷</w:t>
            </w:r>
            <w:r>
              <w:rPr>
                <w:rFonts w:hint="default" w:ascii="Times New Roman" w:hAnsi="Times New Roman" w:eastAsia="宋体" w:cs="Times New Roman"/>
                <w:color w:val="auto"/>
                <w:spacing w:val="-2"/>
              </w:rPr>
              <w:t>弯管</w:t>
            </w:r>
            <w:r>
              <w:rPr>
                <w:rFonts w:hint="default" w:ascii="Times New Roman" w:hAnsi="Times New Roman" w:eastAsia="宋体" w:cs="Times New Roman"/>
                <w:color w:val="auto"/>
                <w:spacing w:val="-3"/>
              </w:rPr>
              <w:t>处</w:t>
            </w:r>
            <w:r>
              <w:rPr>
                <w:rFonts w:hint="default" w:ascii="Times New Roman" w:hAnsi="Times New Roman" w:eastAsia="宋体" w:cs="Times New Roman"/>
                <w:color w:val="auto"/>
                <w:spacing w:val="-2"/>
              </w:rPr>
              <w:t>管沟</w:t>
            </w:r>
          </w:p>
        </w:tc>
        <w:tc>
          <w:tcPr>
            <w:tcW w:w="691" w:type="pct"/>
            <w:gridSpan w:val="2"/>
            <w:noWrap w:val="0"/>
            <w:vAlign w:val="center"/>
          </w:tcPr>
          <w:p w14:paraId="365455B4">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2"/>
              </w:rPr>
              <w:t>土质</w:t>
            </w:r>
            <w:r>
              <w:rPr>
                <w:rFonts w:hint="default" w:ascii="Times New Roman" w:hAnsi="Times New Roman" w:eastAsia="宋体" w:cs="Times New Roman"/>
                <w:color w:val="auto"/>
                <w:spacing w:val="-1"/>
              </w:rPr>
              <w:t>管沟</w:t>
            </w:r>
          </w:p>
        </w:tc>
        <w:tc>
          <w:tcPr>
            <w:tcW w:w="556" w:type="pct"/>
            <w:vMerge w:val="restart"/>
            <w:noWrap w:val="0"/>
            <w:vAlign w:val="center"/>
          </w:tcPr>
          <w:p w14:paraId="24E8FE60">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岩石爆破管沟</w:t>
            </w:r>
          </w:p>
        </w:tc>
        <w:tc>
          <w:tcPr>
            <w:tcW w:w="540" w:type="pct"/>
            <w:vMerge w:val="continue"/>
            <w:noWrap w:val="0"/>
            <w:vAlign w:val="center"/>
          </w:tcPr>
          <w:p w14:paraId="6EF9C69D">
            <w:pPr>
              <w:pStyle w:val="60"/>
              <w:jc w:val="center"/>
              <w:rPr>
                <w:rFonts w:hint="default" w:ascii="Times New Roman" w:hAnsi="Times New Roman" w:eastAsia="宋体" w:cs="Times New Roman"/>
                <w:color w:val="auto"/>
              </w:rPr>
            </w:pPr>
          </w:p>
        </w:tc>
        <w:tc>
          <w:tcPr>
            <w:tcW w:w="730" w:type="pct"/>
            <w:vMerge w:val="continue"/>
            <w:noWrap w:val="0"/>
            <w:vAlign w:val="center"/>
          </w:tcPr>
          <w:p w14:paraId="37683826">
            <w:pPr>
              <w:pStyle w:val="60"/>
              <w:jc w:val="center"/>
              <w:rPr>
                <w:rFonts w:hint="default" w:ascii="Times New Roman" w:hAnsi="Times New Roman" w:eastAsia="宋体" w:cs="Times New Roman"/>
                <w:color w:val="auto"/>
              </w:rPr>
            </w:pPr>
          </w:p>
        </w:tc>
      </w:tr>
      <w:tr w14:paraId="14928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33" w:type="pct"/>
            <w:gridSpan w:val="2"/>
            <w:vMerge w:val="continue"/>
            <w:noWrap w:val="0"/>
            <w:vAlign w:val="center"/>
          </w:tcPr>
          <w:p w14:paraId="0E304E03">
            <w:pPr>
              <w:pStyle w:val="60"/>
              <w:jc w:val="center"/>
              <w:rPr>
                <w:rFonts w:hint="default" w:ascii="Times New Roman" w:hAnsi="Times New Roman" w:eastAsia="宋体" w:cs="Times New Roman"/>
                <w:color w:val="auto"/>
              </w:rPr>
            </w:pPr>
          </w:p>
        </w:tc>
        <w:tc>
          <w:tcPr>
            <w:tcW w:w="313" w:type="pct"/>
            <w:noWrap w:val="0"/>
            <w:vAlign w:val="center"/>
          </w:tcPr>
          <w:p w14:paraId="4FB8D533">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3"/>
              </w:rPr>
              <w:t>沟中</w:t>
            </w:r>
          </w:p>
          <w:p w14:paraId="3D74E930">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4"/>
              </w:rPr>
              <w:t>有</w:t>
            </w:r>
            <w:r>
              <w:rPr>
                <w:rFonts w:hint="default" w:ascii="Times New Roman" w:hAnsi="Times New Roman" w:eastAsia="宋体" w:cs="Times New Roman"/>
                <w:color w:val="auto"/>
                <w:spacing w:val="-3"/>
              </w:rPr>
              <w:t>水</w:t>
            </w:r>
          </w:p>
        </w:tc>
        <w:tc>
          <w:tcPr>
            <w:tcW w:w="367" w:type="pct"/>
            <w:noWrap w:val="0"/>
            <w:vAlign w:val="center"/>
          </w:tcPr>
          <w:p w14:paraId="7CA9B079">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3"/>
              </w:rPr>
              <w:t>沟中</w:t>
            </w:r>
            <w:r>
              <w:rPr>
                <w:rFonts w:hint="default" w:ascii="Times New Roman" w:hAnsi="Times New Roman" w:eastAsia="宋体" w:cs="Times New Roman"/>
                <w:color w:val="auto"/>
                <w:spacing w:val="-5"/>
              </w:rPr>
              <w:t>无</w:t>
            </w:r>
            <w:r>
              <w:rPr>
                <w:rFonts w:hint="default" w:ascii="Times New Roman" w:hAnsi="Times New Roman" w:eastAsia="宋体" w:cs="Times New Roman"/>
                <w:color w:val="auto"/>
                <w:spacing w:val="-3"/>
              </w:rPr>
              <w:t>水</w:t>
            </w:r>
          </w:p>
        </w:tc>
        <w:tc>
          <w:tcPr>
            <w:tcW w:w="457" w:type="pct"/>
            <w:vMerge w:val="continue"/>
            <w:noWrap w:val="0"/>
            <w:vAlign w:val="center"/>
          </w:tcPr>
          <w:p w14:paraId="62C02A6A">
            <w:pPr>
              <w:pStyle w:val="60"/>
              <w:jc w:val="center"/>
              <w:rPr>
                <w:rFonts w:hint="default" w:ascii="Times New Roman" w:hAnsi="Times New Roman" w:eastAsia="宋体" w:cs="Times New Roman"/>
                <w:color w:val="auto"/>
              </w:rPr>
            </w:pPr>
          </w:p>
        </w:tc>
        <w:tc>
          <w:tcPr>
            <w:tcW w:w="608" w:type="pct"/>
            <w:vMerge w:val="continue"/>
            <w:noWrap w:val="0"/>
            <w:vAlign w:val="center"/>
          </w:tcPr>
          <w:p w14:paraId="2B00503C">
            <w:pPr>
              <w:pStyle w:val="60"/>
              <w:jc w:val="center"/>
              <w:rPr>
                <w:rFonts w:hint="default" w:ascii="Times New Roman" w:hAnsi="Times New Roman" w:eastAsia="宋体" w:cs="Times New Roman"/>
                <w:color w:val="auto"/>
              </w:rPr>
            </w:pPr>
          </w:p>
        </w:tc>
        <w:tc>
          <w:tcPr>
            <w:tcW w:w="330" w:type="pct"/>
            <w:noWrap w:val="0"/>
            <w:vAlign w:val="center"/>
          </w:tcPr>
          <w:p w14:paraId="3C774493">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3"/>
              </w:rPr>
              <w:t>沟中</w:t>
            </w:r>
            <w:r>
              <w:rPr>
                <w:rFonts w:hint="default" w:ascii="Times New Roman" w:hAnsi="Times New Roman" w:eastAsia="宋体" w:cs="Times New Roman"/>
                <w:color w:val="auto"/>
                <w:spacing w:val="-4"/>
              </w:rPr>
              <w:t>有</w:t>
            </w:r>
            <w:r>
              <w:rPr>
                <w:rFonts w:hint="default" w:ascii="Times New Roman" w:hAnsi="Times New Roman" w:eastAsia="宋体" w:cs="Times New Roman"/>
                <w:color w:val="auto"/>
                <w:spacing w:val="-3"/>
              </w:rPr>
              <w:t>水</w:t>
            </w:r>
          </w:p>
        </w:tc>
        <w:tc>
          <w:tcPr>
            <w:tcW w:w="360" w:type="pct"/>
            <w:noWrap w:val="0"/>
            <w:vAlign w:val="center"/>
          </w:tcPr>
          <w:p w14:paraId="473E7559">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3"/>
              </w:rPr>
              <w:t>沟中</w:t>
            </w:r>
            <w:r>
              <w:rPr>
                <w:rFonts w:hint="default" w:ascii="Times New Roman" w:hAnsi="Times New Roman" w:eastAsia="宋体" w:cs="Times New Roman"/>
                <w:color w:val="auto"/>
                <w:spacing w:val="-5"/>
              </w:rPr>
              <w:t>无</w:t>
            </w:r>
            <w:r>
              <w:rPr>
                <w:rFonts w:hint="default" w:ascii="Times New Roman" w:hAnsi="Times New Roman" w:eastAsia="宋体" w:cs="Times New Roman"/>
                <w:color w:val="auto"/>
                <w:spacing w:val="-3"/>
              </w:rPr>
              <w:t>水</w:t>
            </w:r>
          </w:p>
        </w:tc>
        <w:tc>
          <w:tcPr>
            <w:tcW w:w="556" w:type="pct"/>
            <w:vMerge w:val="continue"/>
            <w:noWrap w:val="0"/>
            <w:vAlign w:val="center"/>
          </w:tcPr>
          <w:p w14:paraId="561AB961">
            <w:pPr>
              <w:pStyle w:val="60"/>
              <w:jc w:val="center"/>
              <w:rPr>
                <w:rFonts w:hint="default" w:ascii="Times New Roman" w:hAnsi="Times New Roman" w:eastAsia="宋体" w:cs="Times New Roman"/>
                <w:color w:val="auto"/>
              </w:rPr>
            </w:pPr>
          </w:p>
        </w:tc>
        <w:tc>
          <w:tcPr>
            <w:tcW w:w="540" w:type="pct"/>
            <w:vMerge w:val="continue"/>
            <w:noWrap w:val="0"/>
            <w:vAlign w:val="center"/>
          </w:tcPr>
          <w:p w14:paraId="3181E032">
            <w:pPr>
              <w:pStyle w:val="60"/>
              <w:jc w:val="center"/>
              <w:rPr>
                <w:rFonts w:hint="default" w:ascii="Times New Roman" w:hAnsi="Times New Roman" w:eastAsia="宋体" w:cs="Times New Roman"/>
                <w:color w:val="auto"/>
              </w:rPr>
            </w:pPr>
          </w:p>
        </w:tc>
        <w:tc>
          <w:tcPr>
            <w:tcW w:w="730" w:type="pct"/>
            <w:vMerge w:val="continue"/>
            <w:noWrap w:val="0"/>
            <w:vAlign w:val="center"/>
          </w:tcPr>
          <w:p w14:paraId="2F1A3F27">
            <w:pPr>
              <w:pStyle w:val="60"/>
              <w:jc w:val="center"/>
              <w:rPr>
                <w:rFonts w:hint="default" w:ascii="Times New Roman" w:hAnsi="Times New Roman" w:eastAsia="宋体" w:cs="Times New Roman"/>
                <w:color w:val="auto"/>
              </w:rPr>
            </w:pPr>
          </w:p>
        </w:tc>
      </w:tr>
      <w:tr w14:paraId="78CDB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39" w:type="pct"/>
            <w:vMerge w:val="restart"/>
            <w:noWrap w:val="0"/>
            <w:vAlign w:val="center"/>
          </w:tcPr>
          <w:p w14:paraId="0D67440D">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K</w:t>
            </w:r>
          </w:p>
          <w:p w14:paraId="1C48B7BF">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值</w:t>
            </w:r>
          </w:p>
        </w:tc>
        <w:tc>
          <w:tcPr>
            <w:tcW w:w="493" w:type="pct"/>
            <w:noWrap w:val="0"/>
            <w:vAlign w:val="center"/>
          </w:tcPr>
          <w:p w14:paraId="62A9DEDB">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8"/>
              </w:rPr>
              <w:t>沟深3m以内</w:t>
            </w:r>
          </w:p>
        </w:tc>
        <w:tc>
          <w:tcPr>
            <w:tcW w:w="313" w:type="pct"/>
            <w:noWrap w:val="0"/>
            <w:vAlign w:val="center"/>
          </w:tcPr>
          <w:p w14:paraId="3A9CD575">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4"/>
              </w:rPr>
              <w:t>0</w:t>
            </w:r>
            <w:r>
              <w:rPr>
                <w:rFonts w:hint="default" w:ascii="Times New Roman" w:hAnsi="Times New Roman" w:eastAsia="宋体" w:cs="Times New Roman"/>
                <w:color w:val="auto"/>
                <w:spacing w:val="-3"/>
              </w:rPr>
              <w:t>.</w:t>
            </w:r>
            <w:r>
              <w:rPr>
                <w:rFonts w:hint="default" w:ascii="Times New Roman" w:hAnsi="Times New Roman" w:eastAsia="宋体" w:cs="Times New Roman"/>
                <w:color w:val="auto"/>
                <w:spacing w:val="-2"/>
              </w:rPr>
              <w:t>7</w:t>
            </w:r>
          </w:p>
        </w:tc>
        <w:tc>
          <w:tcPr>
            <w:tcW w:w="367" w:type="pct"/>
            <w:noWrap w:val="0"/>
            <w:vAlign w:val="center"/>
          </w:tcPr>
          <w:p w14:paraId="1FD3063F">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3"/>
              </w:rPr>
              <w:t>0.5</w:t>
            </w:r>
          </w:p>
        </w:tc>
        <w:tc>
          <w:tcPr>
            <w:tcW w:w="457" w:type="pct"/>
            <w:noWrap w:val="0"/>
            <w:vAlign w:val="center"/>
          </w:tcPr>
          <w:p w14:paraId="1FB8418C">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4"/>
              </w:rPr>
              <w:t>0</w:t>
            </w:r>
            <w:r>
              <w:rPr>
                <w:rFonts w:hint="default" w:ascii="Times New Roman" w:hAnsi="Times New Roman" w:eastAsia="宋体" w:cs="Times New Roman"/>
                <w:color w:val="auto"/>
                <w:spacing w:val="-3"/>
              </w:rPr>
              <w:t>.</w:t>
            </w:r>
            <w:r>
              <w:rPr>
                <w:rFonts w:hint="default" w:ascii="Times New Roman" w:hAnsi="Times New Roman" w:eastAsia="宋体" w:cs="Times New Roman"/>
                <w:color w:val="auto"/>
                <w:spacing w:val="-2"/>
              </w:rPr>
              <w:t>9</w:t>
            </w:r>
          </w:p>
        </w:tc>
        <w:tc>
          <w:tcPr>
            <w:tcW w:w="608" w:type="pct"/>
            <w:noWrap w:val="0"/>
            <w:vAlign w:val="center"/>
          </w:tcPr>
          <w:p w14:paraId="15A5FF64">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9"/>
              </w:rPr>
              <w:t>1</w:t>
            </w:r>
            <w:r>
              <w:rPr>
                <w:rFonts w:hint="default" w:ascii="Times New Roman" w:hAnsi="Times New Roman" w:eastAsia="宋体" w:cs="Times New Roman"/>
                <w:color w:val="auto"/>
                <w:spacing w:val="-7"/>
              </w:rPr>
              <w:t>.5</w:t>
            </w:r>
          </w:p>
        </w:tc>
        <w:tc>
          <w:tcPr>
            <w:tcW w:w="330" w:type="pct"/>
            <w:noWrap w:val="0"/>
            <w:vAlign w:val="center"/>
          </w:tcPr>
          <w:p w14:paraId="4AFDA5F0">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8"/>
              </w:rPr>
              <w:t>1</w:t>
            </w:r>
            <w:r>
              <w:rPr>
                <w:rFonts w:hint="default" w:ascii="Times New Roman" w:hAnsi="Times New Roman" w:eastAsia="宋体" w:cs="Times New Roman"/>
                <w:color w:val="auto"/>
                <w:spacing w:val="-7"/>
              </w:rPr>
              <w:t>.0</w:t>
            </w:r>
          </w:p>
        </w:tc>
        <w:tc>
          <w:tcPr>
            <w:tcW w:w="360" w:type="pct"/>
            <w:noWrap w:val="0"/>
            <w:vAlign w:val="center"/>
          </w:tcPr>
          <w:p w14:paraId="25F01C95">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4"/>
              </w:rPr>
              <w:t>0</w:t>
            </w:r>
            <w:r>
              <w:rPr>
                <w:rFonts w:hint="default" w:ascii="Times New Roman" w:hAnsi="Times New Roman" w:eastAsia="宋体" w:cs="Times New Roman"/>
                <w:color w:val="auto"/>
                <w:spacing w:val="-3"/>
              </w:rPr>
              <w:t>.8</w:t>
            </w:r>
          </w:p>
        </w:tc>
        <w:tc>
          <w:tcPr>
            <w:tcW w:w="556" w:type="pct"/>
            <w:noWrap w:val="0"/>
            <w:vAlign w:val="center"/>
          </w:tcPr>
          <w:p w14:paraId="0DBC8765">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3"/>
              </w:rPr>
              <w:t>0.9</w:t>
            </w:r>
          </w:p>
        </w:tc>
        <w:tc>
          <w:tcPr>
            <w:tcW w:w="540" w:type="pct"/>
            <w:noWrap w:val="0"/>
            <w:vAlign w:val="center"/>
          </w:tcPr>
          <w:p w14:paraId="03C2458E">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8"/>
              </w:rPr>
              <w:t>1.6</w:t>
            </w:r>
          </w:p>
        </w:tc>
        <w:tc>
          <w:tcPr>
            <w:tcW w:w="730" w:type="pct"/>
            <w:noWrap w:val="0"/>
            <w:vAlign w:val="center"/>
          </w:tcPr>
          <w:p w14:paraId="27EC4C60">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2"/>
              </w:rPr>
              <w:t>2.</w:t>
            </w:r>
            <w:r>
              <w:rPr>
                <w:rFonts w:hint="default" w:ascii="Times New Roman" w:hAnsi="Times New Roman" w:eastAsia="宋体" w:cs="Times New Roman"/>
                <w:color w:val="auto"/>
                <w:spacing w:val="-1"/>
              </w:rPr>
              <w:t>0</w:t>
            </w:r>
          </w:p>
        </w:tc>
      </w:tr>
      <w:tr w14:paraId="10A4E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39" w:type="pct"/>
            <w:vMerge w:val="continue"/>
            <w:noWrap w:val="0"/>
            <w:vAlign w:val="center"/>
          </w:tcPr>
          <w:p w14:paraId="52CD09B5">
            <w:pPr>
              <w:pStyle w:val="60"/>
              <w:jc w:val="center"/>
              <w:rPr>
                <w:rFonts w:hint="default" w:ascii="Times New Roman" w:hAnsi="Times New Roman" w:eastAsia="宋体" w:cs="Times New Roman"/>
                <w:color w:val="auto"/>
              </w:rPr>
            </w:pPr>
          </w:p>
        </w:tc>
        <w:tc>
          <w:tcPr>
            <w:tcW w:w="493" w:type="pct"/>
            <w:noWrap w:val="0"/>
            <w:vAlign w:val="center"/>
          </w:tcPr>
          <w:p w14:paraId="08237316">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8"/>
              </w:rPr>
              <w:t>沟深</w:t>
            </w:r>
            <w:r>
              <w:rPr>
                <w:rFonts w:hint="default" w:ascii="Times New Roman" w:hAnsi="Times New Roman" w:eastAsia="宋体" w:cs="Times New Roman"/>
                <w:color w:val="auto"/>
                <w:spacing w:val="8"/>
                <w:shd w:val="clear" w:fill="FFFFFF"/>
              </w:rPr>
              <w:t>3~</w:t>
            </w:r>
            <w:r>
              <w:rPr>
                <w:rFonts w:hint="default" w:ascii="Times New Roman" w:hAnsi="Times New Roman" w:eastAsia="宋体" w:cs="Times New Roman"/>
                <w:color w:val="auto"/>
                <w:spacing w:val="7"/>
                <w:shd w:val="clear" w:fill="FFFFFF"/>
              </w:rPr>
              <w:t>5</w:t>
            </w:r>
            <w:r>
              <w:rPr>
                <w:rFonts w:hint="default" w:ascii="Times New Roman" w:hAnsi="Times New Roman" w:eastAsia="宋体" w:cs="Times New Roman"/>
                <w:color w:val="auto"/>
              </w:rPr>
              <w:t>m</w:t>
            </w:r>
          </w:p>
        </w:tc>
        <w:tc>
          <w:tcPr>
            <w:tcW w:w="313" w:type="pct"/>
            <w:noWrap w:val="0"/>
            <w:vAlign w:val="center"/>
          </w:tcPr>
          <w:p w14:paraId="11855E9B">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4"/>
              </w:rPr>
              <w:t>0</w:t>
            </w:r>
            <w:r>
              <w:rPr>
                <w:rFonts w:hint="default" w:ascii="Times New Roman" w:hAnsi="Times New Roman" w:eastAsia="宋体" w:cs="Times New Roman"/>
                <w:color w:val="auto"/>
                <w:spacing w:val="-3"/>
              </w:rPr>
              <w:t>.</w:t>
            </w:r>
            <w:r>
              <w:rPr>
                <w:rFonts w:hint="default" w:ascii="Times New Roman" w:hAnsi="Times New Roman" w:eastAsia="宋体" w:cs="Times New Roman"/>
                <w:color w:val="auto"/>
                <w:spacing w:val="-2"/>
              </w:rPr>
              <w:t>9</w:t>
            </w:r>
          </w:p>
        </w:tc>
        <w:tc>
          <w:tcPr>
            <w:tcW w:w="367" w:type="pct"/>
            <w:noWrap w:val="0"/>
            <w:vAlign w:val="center"/>
          </w:tcPr>
          <w:p w14:paraId="79DE9E59">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3"/>
              </w:rPr>
              <w:t>0.7</w:t>
            </w:r>
          </w:p>
        </w:tc>
        <w:tc>
          <w:tcPr>
            <w:tcW w:w="457" w:type="pct"/>
            <w:noWrap w:val="0"/>
            <w:vAlign w:val="center"/>
          </w:tcPr>
          <w:p w14:paraId="1D59E6B0">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9"/>
              </w:rPr>
              <w:t>1</w:t>
            </w:r>
            <w:r>
              <w:rPr>
                <w:rFonts w:hint="default" w:ascii="Times New Roman" w:hAnsi="Times New Roman" w:eastAsia="宋体" w:cs="Times New Roman"/>
                <w:color w:val="auto"/>
                <w:spacing w:val="-7"/>
              </w:rPr>
              <w:t>.1</w:t>
            </w:r>
          </w:p>
        </w:tc>
        <w:tc>
          <w:tcPr>
            <w:tcW w:w="608" w:type="pct"/>
            <w:noWrap w:val="0"/>
            <w:vAlign w:val="center"/>
          </w:tcPr>
          <w:p w14:paraId="770B57E8">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9"/>
              </w:rPr>
              <w:t>1</w:t>
            </w:r>
            <w:r>
              <w:rPr>
                <w:rFonts w:hint="default" w:ascii="Times New Roman" w:hAnsi="Times New Roman" w:eastAsia="宋体" w:cs="Times New Roman"/>
                <w:color w:val="auto"/>
                <w:spacing w:val="-7"/>
              </w:rPr>
              <w:t>.5</w:t>
            </w:r>
          </w:p>
        </w:tc>
        <w:tc>
          <w:tcPr>
            <w:tcW w:w="330" w:type="pct"/>
            <w:noWrap w:val="0"/>
            <w:vAlign w:val="center"/>
          </w:tcPr>
          <w:p w14:paraId="7F9BE88C">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8"/>
              </w:rPr>
              <w:t>1</w:t>
            </w:r>
            <w:r>
              <w:rPr>
                <w:rFonts w:hint="default" w:ascii="Times New Roman" w:hAnsi="Times New Roman" w:eastAsia="宋体" w:cs="Times New Roman"/>
                <w:color w:val="auto"/>
                <w:spacing w:val="-7"/>
              </w:rPr>
              <w:t>.2</w:t>
            </w:r>
          </w:p>
        </w:tc>
        <w:tc>
          <w:tcPr>
            <w:tcW w:w="360" w:type="pct"/>
            <w:noWrap w:val="0"/>
            <w:vAlign w:val="center"/>
          </w:tcPr>
          <w:p w14:paraId="64041DFF">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8"/>
              </w:rPr>
              <w:t>1.0</w:t>
            </w:r>
          </w:p>
        </w:tc>
        <w:tc>
          <w:tcPr>
            <w:tcW w:w="556" w:type="pct"/>
            <w:noWrap w:val="0"/>
            <w:vAlign w:val="center"/>
          </w:tcPr>
          <w:p w14:paraId="4623F7CE">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9"/>
              </w:rPr>
              <w:t>1</w:t>
            </w:r>
            <w:r>
              <w:rPr>
                <w:rFonts w:hint="default" w:ascii="Times New Roman" w:hAnsi="Times New Roman" w:eastAsia="宋体" w:cs="Times New Roman"/>
                <w:color w:val="auto"/>
                <w:spacing w:val="-7"/>
              </w:rPr>
              <w:t>.1</w:t>
            </w:r>
          </w:p>
        </w:tc>
        <w:tc>
          <w:tcPr>
            <w:tcW w:w="540" w:type="pct"/>
            <w:noWrap w:val="0"/>
            <w:vAlign w:val="center"/>
          </w:tcPr>
          <w:p w14:paraId="4529B99E">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8"/>
              </w:rPr>
              <w:t>1.6</w:t>
            </w:r>
          </w:p>
        </w:tc>
        <w:tc>
          <w:tcPr>
            <w:tcW w:w="730" w:type="pct"/>
            <w:noWrap w:val="0"/>
            <w:vAlign w:val="center"/>
          </w:tcPr>
          <w:p w14:paraId="0F5CF4FE">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spacing w:val="-2"/>
              </w:rPr>
              <w:t>2.</w:t>
            </w:r>
            <w:r>
              <w:rPr>
                <w:rFonts w:hint="default" w:ascii="Times New Roman" w:hAnsi="Times New Roman" w:eastAsia="宋体" w:cs="Times New Roman"/>
                <w:color w:val="auto"/>
                <w:spacing w:val="-1"/>
              </w:rPr>
              <w:t>0</w:t>
            </w:r>
          </w:p>
        </w:tc>
      </w:tr>
      <w:tr w14:paraId="21507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11"/>
            <w:noWrap w:val="0"/>
            <w:vAlign w:val="center"/>
          </w:tcPr>
          <w:p w14:paraId="4D628D99">
            <w:pPr>
              <w:pStyle w:val="60"/>
              <w:jc w:val="both"/>
              <w:rPr>
                <w:rFonts w:hint="default" w:ascii="Times New Roman" w:hAnsi="Times New Roman" w:eastAsia="宋体" w:cs="Times New Roman"/>
                <w:color w:val="auto"/>
                <w:spacing w:val="-2"/>
                <w:sz w:val="18"/>
                <w:szCs w:val="18"/>
                <w:lang w:eastAsia="zh-CN"/>
              </w:rPr>
            </w:pPr>
            <w:r>
              <w:rPr>
                <w:rFonts w:hint="default" w:ascii="Times New Roman" w:hAnsi="Times New Roman" w:eastAsia="宋体" w:cs="Times New Roman"/>
                <w:color w:val="auto"/>
                <w:spacing w:val="-4"/>
                <w:sz w:val="18"/>
                <w:szCs w:val="18"/>
              </w:rPr>
              <w:t>注1：当采用机械开挖</w:t>
            </w:r>
            <w:r>
              <w:rPr>
                <w:rFonts w:hint="default" w:ascii="Times New Roman" w:hAnsi="Times New Roman" w:eastAsia="宋体" w:cs="Times New Roman"/>
                <w:color w:val="auto"/>
                <w:spacing w:val="-3"/>
                <w:sz w:val="18"/>
                <w:szCs w:val="18"/>
              </w:rPr>
              <w:t>管</w:t>
            </w:r>
            <w:r>
              <w:rPr>
                <w:rFonts w:hint="default" w:ascii="Times New Roman" w:hAnsi="Times New Roman" w:eastAsia="宋体" w:cs="Times New Roman"/>
                <w:color w:val="auto"/>
                <w:spacing w:val="-2"/>
                <w:sz w:val="18"/>
                <w:szCs w:val="18"/>
              </w:rPr>
              <w:t>沟时，计算的沟底宽度小于挖斗宽度，则沟底宽度按挖斗宽度计算</w:t>
            </w:r>
            <w:r>
              <w:rPr>
                <w:rFonts w:hint="default" w:ascii="Times New Roman" w:hAnsi="Times New Roman" w:eastAsia="宋体" w:cs="Times New Roman"/>
                <w:color w:val="auto"/>
                <w:spacing w:val="-2"/>
                <w:sz w:val="18"/>
                <w:szCs w:val="18"/>
                <w:lang w:eastAsia="zh-CN"/>
              </w:rPr>
              <w:t>；</w:t>
            </w:r>
          </w:p>
          <w:p w14:paraId="6D00DDBE">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spacing w:val="-4"/>
                <w:sz w:val="18"/>
                <w:szCs w:val="18"/>
              </w:rPr>
              <w:t>注2：沟下焊接弯头、</w:t>
            </w:r>
            <w:r>
              <w:rPr>
                <w:rFonts w:hint="default" w:ascii="Times New Roman" w:hAnsi="Times New Roman" w:eastAsia="宋体" w:cs="Times New Roman"/>
                <w:color w:val="auto"/>
                <w:spacing w:val="-2"/>
                <w:sz w:val="18"/>
                <w:szCs w:val="18"/>
              </w:rPr>
              <w:t>弯管、连头以及半自动焊焊接处的管沟加宽范围为工作点两边各1m。</w:t>
            </w:r>
          </w:p>
        </w:tc>
      </w:tr>
    </w:tbl>
    <w:p w14:paraId="230D8699">
      <w:pPr>
        <w:pStyle w:val="58"/>
        <w:rPr>
          <w:rFonts w:hint="default" w:ascii="Times New Roman" w:hAnsi="Times New Roman" w:eastAsia="宋体" w:cs="Times New Roman"/>
          <w:color w:val="auto"/>
        </w:rPr>
      </w:pPr>
    </w:p>
    <w:p w14:paraId="3067EF8D">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（2）施工作业带</w:t>
      </w:r>
    </w:p>
    <w:p w14:paraId="6BF1322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本项目采用D89×5 L245N PSL2无缝钢管，根据项目设计资料，</w:t>
      </w:r>
      <w:r>
        <w:rPr>
          <w:rFonts w:hint="default" w:ascii="Times New Roman" w:hAnsi="Times New Roman" w:eastAsia="宋体" w:cs="Times New Roman"/>
          <w:color w:val="auto"/>
          <w:lang w:val="en-US" w:eastAsia="zh-CN"/>
        </w:rPr>
        <w:t>一般地段</w:t>
      </w:r>
      <w:r>
        <w:rPr>
          <w:rFonts w:hint="default" w:ascii="Times New Roman" w:hAnsi="Times New Roman" w:eastAsia="宋体" w:cs="Times New Roman"/>
          <w:color w:val="auto"/>
        </w:rPr>
        <w:t>作业带宽度设置为</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m，对局部穿越永久基本农田、</w:t>
      </w:r>
      <w:r>
        <w:rPr>
          <w:rFonts w:hint="default" w:ascii="Times New Roman" w:hAnsi="Times New Roman" w:eastAsia="宋体" w:cs="Times New Roman"/>
          <w:color w:val="auto"/>
          <w:lang w:val="en-US" w:eastAsia="zh-CN"/>
        </w:rPr>
        <w:t>天然林</w:t>
      </w:r>
      <w:r>
        <w:rPr>
          <w:rFonts w:hint="default" w:ascii="Times New Roman" w:hAnsi="Times New Roman" w:eastAsia="宋体" w:cs="Times New Roman"/>
          <w:color w:val="auto"/>
        </w:rPr>
        <w:t>等地区进行优化调整，项目在施工过程中应采取措施加以重点保护，缩减作业带宽度，施工作业带设置为</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m。</w:t>
      </w:r>
    </w:p>
    <w:p w14:paraId="5BE665C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施工作业带范围内，尽量减少作业带宽度</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减少农田的占地</w:t>
      </w:r>
      <w:r>
        <w:rPr>
          <w:rFonts w:hint="default" w:ascii="Times New Roman" w:hAnsi="Times New Roman" w:eastAsia="宋体" w:cs="Times New Roman"/>
          <w:color w:val="auto"/>
          <w:lang w:val="en-US" w:eastAsia="zh-CN"/>
        </w:rPr>
        <w:t>及</w:t>
      </w:r>
      <w:r>
        <w:rPr>
          <w:rFonts w:hint="default" w:ascii="Times New Roman" w:hAnsi="Times New Roman" w:eastAsia="宋体" w:cs="Times New Roman"/>
          <w:color w:val="auto"/>
        </w:rPr>
        <w:t>破坏地表植被和原状土，应对农田、树木地段注意保护</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对于影响施工作业的石块、杂草、树木、构筑物等应适当清理，沟、坎应予平整，有积水的地势低洼地段应排水填平</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对施工作业带内及附近有可能危及施工作业安全的落石、崩岩、滑塌等应进行清除或采取有效防护措施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施工作业带清理、平整应遵循保护耕地、植被及配套设施，减少或防止产生水土流失的原则</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施工完毕之后，要注意施工作业带的复耕工作，使土地回到有用状态。</w:t>
      </w:r>
    </w:p>
    <w:p w14:paraId="338E0B9A">
      <w:pPr>
        <w:pStyle w:val="58"/>
        <w:rPr>
          <w:rFonts w:hint="default" w:ascii="Times New Roman" w:hAnsi="Times New Roman" w:eastAsia="宋体" w:cs="Times New Roman"/>
          <w:color w:val="auto"/>
        </w:rPr>
      </w:pPr>
    </w:p>
    <w:p w14:paraId="78B94294">
      <w:pPr>
        <w:adjustRightInd w:val="0"/>
        <w:snapToGrid w:val="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drawing>
          <wp:inline distT="0" distB="0" distL="114300" distR="114300">
            <wp:extent cx="5518785" cy="2470785"/>
            <wp:effectExtent l="0" t="0" r="5715" b="5715"/>
            <wp:docPr id="56" name="图片 16" descr="QQ截图2020060515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descr="QQ截图20200605154435"/>
                    <pic:cNvPicPr>
                      <a:picLocks noChangeAspect="1"/>
                    </pic:cNvPicPr>
                  </pic:nvPicPr>
                  <pic:blipFill>
                    <a:blip r:embed="rId7"/>
                    <a:stretch>
                      <a:fillRect/>
                    </a:stretch>
                  </pic:blipFill>
                  <pic:spPr>
                    <a:xfrm>
                      <a:off x="0" y="0"/>
                      <a:ext cx="5518785" cy="2470785"/>
                    </a:xfrm>
                    <a:prstGeom prst="rect">
                      <a:avLst/>
                    </a:prstGeom>
                    <a:noFill/>
                    <a:ln>
                      <a:noFill/>
                    </a:ln>
                  </pic:spPr>
                </pic:pic>
              </a:graphicData>
            </a:graphic>
          </wp:inline>
        </w:drawing>
      </w:r>
    </w:p>
    <w:p w14:paraId="7F56A1C4">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图2.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 xml:space="preserve">   管道施工作业带布置图</w:t>
      </w:r>
    </w:p>
    <w:p w14:paraId="3DB7BBBC">
      <w:pPr>
        <w:pStyle w:val="58"/>
        <w:rPr>
          <w:rFonts w:hint="default" w:ascii="Times New Roman" w:hAnsi="Times New Roman" w:eastAsia="宋体" w:cs="Times New Roman"/>
          <w:color w:val="auto"/>
        </w:rPr>
      </w:pPr>
    </w:p>
    <w:p w14:paraId="793EBF39">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（3）管道焊接及检验</w:t>
      </w:r>
    </w:p>
    <w:p w14:paraId="3FAF9BB9">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①管道焊接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本工程管道线路采用沟上焊。焊接方式建议</w:t>
      </w:r>
      <w:r>
        <w:rPr>
          <w:rFonts w:hint="default" w:ascii="Times New Roman" w:hAnsi="Times New Roman" w:eastAsia="宋体" w:cs="Times New Roman"/>
          <w:color w:val="auto"/>
          <w:shd w:val="clear" w:fill="FFFFFF"/>
        </w:rPr>
        <w:t>宜</w:t>
      </w:r>
      <w:r>
        <w:rPr>
          <w:rFonts w:hint="default" w:ascii="Times New Roman" w:hAnsi="Times New Roman" w:eastAsia="宋体" w:cs="Times New Roman"/>
          <w:color w:val="auto"/>
        </w:rPr>
        <w:t>半自动焊为主。</w:t>
      </w:r>
    </w:p>
    <w:p w14:paraId="7AED0D79">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②焊</w:t>
      </w:r>
      <w:r>
        <w:rPr>
          <w:rFonts w:hint="default" w:ascii="Times New Roman" w:hAnsi="Times New Roman" w:eastAsia="宋体" w:cs="Times New Roman"/>
          <w:color w:val="auto"/>
          <w:lang w:val="en-US" w:eastAsia="zh-CN"/>
        </w:rPr>
        <w:t>口</w:t>
      </w:r>
      <w:r>
        <w:rPr>
          <w:rFonts w:hint="default" w:ascii="Times New Roman" w:hAnsi="Times New Roman" w:eastAsia="宋体" w:cs="Times New Roman"/>
          <w:color w:val="auto"/>
        </w:rPr>
        <w:t>检查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管道焊缝在强度试验和严密试验前须</w:t>
      </w:r>
      <w:r>
        <w:rPr>
          <w:rFonts w:hint="default" w:ascii="Times New Roman" w:hAnsi="Times New Roman" w:eastAsia="宋体" w:cs="Times New Roman"/>
          <w:color w:val="auto"/>
          <w:shd w:val="clear" w:fill="FFFFFF"/>
        </w:rPr>
        <w:t>作</w:t>
      </w:r>
      <w:r>
        <w:rPr>
          <w:rFonts w:hint="default" w:ascii="Times New Roman" w:hAnsi="Times New Roman" w:eastAsia="宋体" w:cs="Times New Roman"/>
          <w:color w:val="auto"/>
        </w:rPr>
        <w:t>外观检查和无损探伤检查。无损检测应符合国家现行标准《石油天然气钢质管道无损检测》（SY/T4109-2020）的规定。本工程管道所有环向焊缝均采用100%射线检测和超声波检测即“双百检测”。不合格的焊缝应进行质量分析，确定处理措施，同一部位的返修不得超过2次，根焊仅允许返修1次，返修焊口应进行“双百检测”。</w:t>
      </w:r>
    </w:p>
    <w:p w14:paraId="1A8C8C5E">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（4）清管、试压、干燥、置换</w:t>
      </w:r>
    </w:p>
    <w:p w14:paraId="2724147B">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rPr>
        <w:t>①管道清管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zh-CN"/>
        </w:rPr>
        <w:t>管道在下沟回填后应进行清管、强度和严密性试验，新建管道安装完毕，焊接接头经外观质量检验及无损检验合格后，管道采用清管球临时清管。清管球清扫完成后，应用压缩空气对管道清扫情况进行检验，当目测排气无烟尘时，应在排气口设置白布或涂白漆木靶板检验，5min内靶上无铁锈、尘土等其他杂物为合格；如不合格可采用气体再吹扫至合格。</w:t>
      </w:r>
    </w:p>
    <w:p w14:paraId="701768F1">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②管道试压</w:t>
      </w:r>
      <w:r>
        <w:rPr>
          <w:rFonts w:hint="default" w:ascii="Times New Roman" w:hAnsi="Times New Roman" w:eastAsia="宋体" w:cs="Times New Roman"/>
          <w:color w:val="auto"/>
          <w:lang w:val="zh-CN" w:eastAsia="zh-CN"/>
        </w:rPr>
        <w:t>：</w:t>
      </w:r>
      <w:r>
        <w:rPr>
          <w:rFonts w:hint="default" w:ascii="Times New Roman" w:hAnsi="Times New Roman" w:eastAsia="宋体" w:cs="Times New Roman"/>
          <w:color w:val="auto"/>
          <w:lang w:val="zh-CN"/>
        </w:rPr>
        <w:t>管道清管完毕后，应先进行强度试验，强度试验合格后进行严密性试验，</w:t>
      </w: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lang w:val="zh-CN"/>
        </w:rPr>
        <w:t>迁改段按二级地区要求进行试压，强度试压和严密性试验采用压缩空气作为试压介质。强度试验时，升压应缓慢，每小时升压不得超过1MPa。当压力升至强度试验压力的30%和60%时，各稳压30min，检查系统无异常情况后，继续升压至强度试验压力，稳压不小于4h，管道无破裂，目测无变形、无渗漏，无压降为合格；进行严密性试验时，稳压24h，管道无渗漏，压降率不大于1%试验压力值，且不大于0.1MPa为合格。吹扫试压前，应对试压所用管件、仪表等进行检查校验，合格才能使用。压力表精度不应低于0.4级，温度计分度值小于1℃。管道在强度试验过程中，应设立</w:t>
      </w:r>
      <w:r>
        <w:rPr>
          <w:rFonts w:hint="default" w:ascii="Times New Roman" w:hAnsi="Times New Roman" w:eastAsia="宋体" w:cs="Times New Roman"/>
          <w:color w:val="auto"/>
          <w:shd w:val="clear" w:fill="FFFFFF"/>
          <w:lang w:val="zh-CN"/>
        </w:rPr>
        <w:t>警戒标志</w:t>
      </w:r>
      <w:r>
        <w:rPr>
          <w:rFonts w:hint="default" w:ascii="Times New Roman" w:hAnsi="Times New Roman" w:eastAsia="宋体" w:cs="Times New Roman"/>
          <w:color w:val="auto"/>
          <w:lang w:val="zh-CN"/>
        </w:rPr>
        <w:t>，保持通信畅通，不得沿管道巡线，对过往车辆及行人应加以限制。当管道试验压力降到设计压力、进行严密性检查时方可巡线。</w:t>
      </w:r>
    </w:p>
    <w:p w14:paraId="7DBB29D4">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rPr>
      </w:pPr>
    </w:p>
    <w:p w14:paraId="272BBC40">
      <w:pPr>
        <w:pStyle w:val="58"/>
        <w:rPr>
          <w:rFonts w:hint="default" w:ascii="Times New Roman" w:hAnsi="Times New Roman" w:eastAsia="宋体" w:cs="Times New Roman"/>
          <w:b/>
          <w:color w:val="auto"/>
        </w:rPr>
      </w:pPr>
      <w:bookmarkStart w:id="240" w:name="_Toc347132571"/>
      <w:bookmarkStart w:id="241" w:name="_Toc17225"/>
      <w:bookmarkStart w:id="242" w:name="_Toc335984606"/>
      <w:r>
        <w:rPr>
          <w:rFonts w:hint="default" w:ascii="Times New Roman" w:hAnsi="Times New Roman" w:eastAsia="宋体" w:cs="Times New Roman"/>
          <w:b/>
          <w:color w:val="auto"/>
        </w:rPr>
        <w:t>表</w:t>
      </w:r>
      <w:r>
        <w:rPr>
          <w:rFonts w:hint="default" w:ascii="Times New Roman" w:hAnsi="Times New Roman" w:eastAsia="宋体" w:cs="Times New Roman"/>
          <w:b/>
          <w:color w:val="auto"/>
          <w:lang w:val="en-US" w:eastAsia="zh-CN"/>
        </w:rPr>
        <w:t>2.3</w:t>
      </w:r>
      <w:r>
        <w:rPr>
          <w:rFonts w:hint="default" w:ascii="Times New Roman" w:hAnsi="Times New Roman" w:eastAsia="宋体" w:cs="Times New Roman"/>
          <w:b/>
          <w:color w:val="auto"/>
        </w:rPr>
        <w:t>-</w:t>
      </w:r>
      <w:r>
        <w:rPr>
          <w:rFonts w:hint="default" w:ascii="Times New Roman" w:hAnsi="Times New Roman" w:eastAsia="宋体" w:cs="Times New Roman"/>
          <w:b/>
          <w:color w:val="auto"/>
          <w:lang w:val="en-US" w:eastAsia="zh-CN"/>
        </w:rPr>
        <w:t>5</w:t>
      </w:r>
      <w:r>
        <w:rPr>
          <w:rFonts w:hint="default" w:ascii="Times New Roman" w:hAnsi="Times New Roman" w:eastAsia="宋体" w:cs="Times New Roman"/>
          <w:b/>
          <w:color w:val="auto"/>
        </w:rPr>
        <w:t xml:space="preserve"> 试验压力值、稳压时间及允许压降值</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593"/>
        <w:gridCol w:w="2027"/>
        <w:gridCol w:w="1429"/>
        <w:gridCol w:w="1320"/>
        <w:gridCol w:w="2223"/>
      </w:tblGrid>
      <w:tr w14:paraId="41E4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1" w:type="pct"/>
            <w:tcBorders>
              <w:top w:val="single" w:color="auto" w:sz="4" w:space="0"/>
              <w:left w:val="single" w:color="auto" w:sz="4" w:space="0"/>
              <w:bottom w:val="single" w:color="auto" w:sz="4" w:space="0"/>
              <w:right w:val="single" w:color="auto" w:sz="4" w:space="0"/>
            </w:tcBorders>
            <w:noWrap w:val="0"/>
            <w:vAlign w:val="center"/>
          </w:tcPr>
          <w:p w14:paraId="49B49F9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538" w:type="pct"/>
            <w:gridSpan w:val="2"/>
            <w:tcBorders>
              <w:top w:val="single" w:color="auto" w:sz="4" w:space="0"/>
              <w:left w:val="single" w:color="auto" w:sz="4" w:space="0"/>
              <w:bottom w:val="single" w:color="auto" w:sz="4" w:space="0"/>
              <w:right w:val="single" w:color="auto" w:sz="4" w:space="0"/>
            </w:tcBorders>
            <w:noWrap w:val="0"/>
            <w:vAlign w:val="center"/>
          </w:tcPr>
          <w:p w14:paraId="4B9BF2D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地区等级（试压时）</w:t>
            </w:r>
          </w:p>
        </w:tc>
        <w:tc>
          <w:tcPr>
            <w:tcW w:w="839" w:type="pct"/>
            <w:tcBorders>
              <w:top w:val="single" w:color="auto" w:sz="4" w:space="0"/>
              <w:left w:val="single" w:color="auto" w:sz="4" w:space="0"/>
              <w:bottom w:val="single" w:color="auto" w:sz="4" w:space="0"/>
              <w:right w:val="single" w:color="auto" w:sz="4" w:space="0"/>
            </w:tcBorders>
            <w:noWrap w:val="0"/>
            <w:vAlign w:val="center"/>
          </w:tcPr>
          <w:p w14:paraId="4751862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强度试验</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1DD571A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严密性试验</w:t>
            </w:r>
          </w:p>
        </w:tc>
        <w:tc>
          <w:tcPr>
            <w:tcW w:w="1305" w:type="pct"/>
            <w:tcBorders>
              <w:top w:val="single" w:color="auto" w:sz="4" w:space="0"/>
              <w:left w:val="single" w:color="auto" w:sz="4" w:space="0"/>
              <w:bottom w:val="single" w:color="auto" w:sz="4" w:space="0"/>
              <w:right w:val="single" w:color="auto" w:sz="4" w:space="0"/>
            </w:tcBorders>
            <w:noWrap w:val="0"/>
            <w:vAlign w:val="center"/>
          </w:tcPr>
          <w:p w14:paraId="5284E5B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合格标准</w:t>
            </w:r>
          </w:p>
        </w:tc>
      </w:tr>
      <w:tr w14:paraId="0846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1" w:type="pct"/>
            <w:vMerge w:val="restart"/>
            <w:tcBorders>
              <w:top w:val="single" w:color="auto" w:sz="4" w:space="0"/>
              <w:left w:val="single" w:color="auto" w:sz="4" w:space="0"/>
              <w:right w:val="single" w:color="auto" w:sz="4" w:space="0"/>
            </w:tcBorders>
            <w:noWrap w:val="0"/>
            <w:vAlign w:val="center"/>
          </w:tcPr>
          <w:p w14:paraId="2AA78CA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铁新线</w:t>
            </w:r>
          </w:p>
        </w:tc>
        <w:tc>
          <w:tcPr>
            <w:tcW w:w="348" w:type="pct"/>
            <w:vMerge w:val="restart"/>
            <w:tcBorders>
              <w:top w:val="single" w:color="auto" w:sz="4" w:space="0"/>
              <w:left w:val="single" w:color="auto" w:sz="4" w:space="0"/>
              <w:bottom w:val="single" w:color="auto" w:sz="4" w:space="0"/>
              <w:right w:val="single" w:color="auto" w:sz="4" w:space="0"/>
            </w:tcBorders>
            <w:noWrap w:val="0"/>
            <w:vAlign w:val="center"/>
          </w:tcPr>
          <w:p w14:paraId="0F9E08C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1190" w:type="pct"/>
            <w:tcBorders>
              <w:top w:val="single" w:color="auto" w:sz="4" w:space="0"/>
              <w:left w:val="single" w:color="auto" w:sz="4" w:space="0"/>
              <w:bottom w:val="single" w:color="auto" w:sz="4" w:space="0"/>
              <w:right w:val="single" w:color="auto" w:sz="4" w:space="0"/>
            </w:tcBorders>
            <w:noWrap w:val="0"/>
            <w:vAlign w:val="center"/>
          </w:tcPr>
          <w:p w14:paraId="79E8C4E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压力值（MPa）</w:t>
            </w:r>
          </w:p>
        </w:tc>
        <w:tc>
          <w:tcPr>
            <w:tcW w:w="839" w:type="pct"/>
            <w:tcBorders>
              <w:top w:val="single" w:color="auto" w:sz="4" w:space="0"/>
              <w:left w:val="single" w:color="auto" w:sz="4" w:space="0"/>
              <w:bottom w:val="single" w:color="auto" w:sz="4" w:space="0"/>
              <w:right w:val="single" w:color="auto" w:sz="4" w:space="0"/>
            </w:tcBorders>
            <w:noWrap w:val="0"/>
            <w:vAlign w:val="center"/>
          </w:tcPr>
          <w:p w14:paraId="1B17145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7704BC6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05" w:type="pct"/>
            <w:vMerge w:val="restart"/>
            <w:tcBorders>
              <w:top w:val="single" w:color="auto" w:sz="4" w:space="0"/>
              <w:left w:val="single" w:color="auto" w:sz="4" w:space="0"/>
              <w:right w:val="single" w:color="auto" w:sz="4" w:space="0"/>
            </w:tcBorders>
            <w:noWrap w:val="0"/>
            <w:vAlign w:val="center"/>
          </w:tcPr>
          <w:p w14:paraId="7C3F06EF">
            <w:pPr>
              <w:adjustRightInd w:val="0"/>
              <w:snapToGrid w:val="0"/>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强度试验以无变形、无泄漏为合格；严密性试验以压降不大于1%试验压力值，且不大于0.1MPa为合格。</w:t>
            </w:r>
          </w:p>
        </w:tc>
      </w:tr>
      <w:tr w14:paraId="7319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1" w:type="pct"/>
            <w:vMerge w:val="continue"/>
            <w:tcBorders>
              <w:left w:val="single" w:color="auto" w:sz="4" w:space="0"/>
              <w:right w:val="single" w:color="auto" w:sz="4" w:space="0"/>
            </w:tcBorders>
            <w:noWrap w:val="0"/>
            <w:vAlign w:val="center"/>
          </w:tcPr>
          <w:p w14:paraId="64E83283">
            <w:pPr>
              <w:widowControl/>
              <w:spacing w:line="240" w:lineRule="auto"/>
              <w:ind w:firstLine="0" w:firstLineChars="0"/>
              <w:jc w:val="center"/>
              <w:rPr>
                <w:rFonts w:hint="default" w:ascii="Times New Roman" w:hAnsi="Times New Roman" w:eastAsia="宋体" w:cs="Times New Roman"/>
                <w:color w:val="auto"/>
                <w:sz w:val="21"/>
                <w:szCs w:val="21"/>
              </w:rPr>
            </w:pPr>
          </w:p>
        </w:tc>
        <w:tc>
          <w:tcPr>
            <w:tcW w:w="348" w:type="pct"/>
            <w:vMerge w:val="continue"/>
            <w:tcBorders>
              <w:top w:val="single" w:color="auto" w:sz="4" w:space="0"/>
              <w:left w:val="single" w:color="auto" w:sz="4" w:space="0"/>
              <w:bottom w:val="single" w:color="auto" w:sz="4" w:space="0"/>
              <w:right w:val="single" w:color="auto" w:sz="4" w:space="0"/>
            </w:tcBorders>
            <w:noWrap w:val="0"/>
            <w:vAlign w:val="center"/>
          </w:tcPr>
          <w:p w14:paraId="784B2F0D">
            <w:pPr>
              <w:widowControl/>
              <w:spacing w:line="240" w:lineRule="auto"/>
              <w:ind w:firstLine="0" w:firstLineChars="0"/>
              <w:jc w:val="left"/>
              <w:rPr>
                <w:rFonts w:hint="default" w:ascii="Times New Roman" w:hAnsi="Times New Roman" w:eastAsia="宋体" w:cs="Times New Roman"/>
                <w:color w:val="auto"/>
                <w:sz w:val="21"/>
                <w:szCs w:val="21"/>
              </w:rPr>
            </w:pPr>
          </w:p>
        </w:tc>
        <w:tc>
          <w:tcPr>
            <w:tcW w:w="1190" w:type="pct"/>
            <w:tcBorders>
              <w:top w:val="single" w:color="auto" w:sz="4" w:space="0"/>
              <w:left w:val="single" w:color="auto" w:sz="4" w:space="0"/>
              <w:bottom w:val="single" w:color="auto" w:sz="4" w:space="0"/>
              <w:right w:val="single" w:color="auto" w:sz="4" w:space="0"/>
            </w:tcBorders>
            <w:noWrap w:val="0"/>
            <w:vAlign w:val="center"/>
          </w:tcPr>
          <w:p w14:paraId="5376D50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稳压时间（h）</w:t>
            </w:r>
          </w:p>
        </w:tc>
        <w:tc>
          <w:tcPr>
            <w:tcW w:w="839" w:type="pct"/>
            <w:tcBorders>
              <w:top w:val="single" w:color="auto" w:sz="4" w:space="0"/>
              <w:left w:val="single" w:color="auto" w:sz="4" w:space="0"/>
              <w:bottom w:val="single" w:color="auto" w:sz="4" w:space="0"/>
              <w:right w:val="single" w:color="auto" w:sz="4" w:space="0"/>
            </w:tcBorders>
            <w:noWrap w:val="0"/>
            <w:vAlign w:val="center"/>
          </w:tcPr>
          <w:p w14:paraId="498A35B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4790777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305" w:type="pct"/>
            <w:vMerge w:val="continue"/>
            <w:tcBorders>
              <w:left w:val="single" w:color="auto" w:sz="4" w:space="0"/>
              <w:right w:val="single" w:color="auto" w:sz="4" w:space="0"/>
            </w:tcBorders>
            <w:noWrap w:val="0"/>
            <w:vAlign w:val="center"/>
          </w:tcPr>
          <w:p w14:paraId="169896A9">
            <w:pPr>
              <w:widowControl/>
              <w:spacing w:line="240" w:lineRule="auto"/>
              <w:ind w:firstLine="0" w:firstLineChars="0"/>
              <w:jc w:val="center"/>
              <w:rPr>
                <w:rFonts w:hint="default" w:ascii="Times New Roman" w:hAnsi="Times New Roman" w:eastAsia="宋体" w:cs="Times New Roman"/>
                <w:color w:val="auto"/>
                <w:sz w:val="21"/>
                <w:szCs w:val="21"/>
              </w:rPr>
            </w:pPr>
          </w:p>
        </w:tc>
      </w:tr>
      <w:tr w14:paraId="4BFF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1" w:type="pct"/>
            <w:vMerge w:val="continue"/>
            <w:tcBorders>
              <w:left w:val="single" w:color="auto" w:sz="4" w:space="0"/>
              <w:bottom w:val="single" w:color="auto" w:sz="4" w:space="0"/>
              <w:right w:val="single" w:color="auto" w:sz="4" w:space="0"/>
            </w:tcBorders>
            <w:noWrap w:val="0"/>
            <w:vAlign w:val="center"/>
          </w:tcPr>
          <w:p w14:paraId="6352254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538" w:type="pct"/>
            <w:gridSpan w:val="2"/>
            <w:tcBorders>
              <w:top w:val="single" w:color="auto" w:sz="4" w:space="0"/>
              <w:left w:val="single" w:color="auto" w:sz="4" w:space="0"/>
              <w:bottom w:val="single" w:color="auto" w:sz="4" w:space="0"/>
              <w:right w:val="single" w:color="auto" w:sz="4" w:space="0"/>
            </w:tcBorders>
            <w:noWrap w:val="0"/>
            <w:vAlign w:val="center"/>
          </w:tcPr>
          <w:p w14:paraId="00A7689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试压介质</w:t>
            </w:r>
          </w:p>
        </w:tc>
        <w:tc>
          <w:tcPr>
            <w:tcW w:w="839" w:type="pct"/>
            <w:tcBorders>
              <w:top w:val="single" w:color="auto" w:sz="4" w:space="0"/>
              <w:left w:val="single" w:color="auto" w:sz="4" w:space="0"/>
              <w:bottom w:val="single" w:color="auto" w:sz="4" w:space="0"/>
              <w:right w:val="single" w:color="auto" w:sz="4" w:space="0"/>
            </w:tcBorders>
            <w:noWrap w:val="0"/>
            <w:vAlign w:val="center"/>
          </w:tcPr>
          <w:p w14:paraId="0A3CBE3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压缩空气</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65DE324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压缩空气</w:t>
            </w:r>
          </w:p>
        </w:tc>
        <w:tc>
          <w:tcPr>
            <w:tcW w:w="1305" w:type="pct"/>
            <w:vMerge w:val="continue"/>
            <w:tcBorders>
              <w:left w:val="single" w:color="auto" w:sz="4" w:space="0"/>
              <w:bottom w:val="single" w:color="auto" w:sz="4" w:space="0"/>
              <w:right w:val="single" w:color="auto" w:sz="4" w:space="0"/>
            </w:tcBorders>
            <w:noWrap w:val="0"/>
            <w:vAlign w:val="center"/>
          </w:tcPr>
          <w:p w14:paraId="0A9197D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bookmarkEnd w:id="240"/>
      <w:bookmarkEnd w:id="241"/>
      <w:bookmarkEnd w:id="242"/>
    </w:tbl>
    <w:p w14:paraId="5143F32E">
      <w:pPr>
        <w:keepNext w:val="0"/>
        <w:keepLines w:val="0"/>
        <w:pageBreakBefore w:val="0"/>
        <w:widowControl/>
        <w:kinsoku/>
        <w:wordWrap w:val="0"/>
        <w:overflowPunct/>
        <w:topLinePunct w:val="0"/>
        <w:autoSpaceDE/>
        <w:autoSpaceDN/>
        <w:bidi w:val="0"/>
        <w:adjustRightInd w:val="0"/>
        <w:snapToGrid w:val="0"/>
        <w:spacing w:line="480" w:lineRule="exact"/>
        <w:ind w:firstLine="520" w:firstLineChars="200"/>
        <w:textAlignment w:val="auto"/>
        <w:rPr>
          <w:rFonts w:hint="default" w:ascii="Times New Roman" w:hAnsi="Times New Roman" w:eastAsia="宋体" w:cs="Times New Roman"/>
          <w:color w:val="auto"/>
          <w:sz w:val="26"/>
          <w:szCs w:val="26"/>
        </w:rPr>
      </w:pPr>
    </w:p>
    <w:p w14:paraId="2AF6F980">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③管道干燥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干燥前，应先用清管球清扫管道内残余水，之后采用干燥压缩空气进行吹扫。干燥空气吹扫时，在管道末端使用水露点分析仪检测，干燥后排出气体水露点应连续4h比管道输送条件下最低环境温度至少低5℃，变化幅度不大于3℃为合格。</w:t>
      </w:r>
    </w:p>
    <w:p w14:paraId="11656DB9">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④氮气置换</w:t>
      </w:r>
      <w:r>
        <w:rPr>
          <w:rFonts w:hint="default" w:ascii="Times New Roman" w:hAnsi="Times New Roman" w:eastAsia="宋体" w:cs="Times New Roman"/>
          <w:color w:val="auto"/>
          <w:lang w:eastAsia="zh-CN"/>
        </w:rPr>
        <w:t>：本工程管道碰口前应采用氮气对管道内天然气进行置换，碰口后投运前应采用氮气对管道内空气进行置换。</w:t>
      </w:r>
      <w:r>
        <w:rPr>
          <w:rFonts w:hint="default" w:ascii="Times New Roman" w:hAnsi="Times New Roman" w:eastAsia="宋体" w:cs="Times New Roman"/>
          <w:color w:val="auto"/>
          <w:lang w:val="en-US" w:eastAsia="zh-CN"/>
        </w:rPr>
        <w:t>流程步骤为：</w:t>
      </w:r>
      <w:r>
        <w:rPr>
          <w:rFonts w:hint="default" w:ascii="Times New Roman" w:hAnsi="Times New Roman" w:eastAsia="宋体" w:cs="Times New Roman"/>
          <w:color w:val="auto"/>
          <w:lang w:eastAsia="zh-CN"/>
        </w:rPr>
        <w:t>先用氮气置换管道内的天然气；再用氮气置换管道内的空气（放空气体测定的含氧量小于2%</w:t>
      </w:r>
      <w:r>
        <w:rPr>
          <w:rFonts w:hint="default" w:ascii="Times New Roman" w:hAnsi="Times New Roman" w:eastAsia="宋体" w:cs="Times New Roman"/>
          <w:color w:val="auto"/>
          <w:lang w:val="en-US" w:eastAsia="zh-CN"/>
        </w:rPr>
        <w:t>为合格</w:t>
      </w:r>
      <w:r>
        <w:rPr>
          <w:rFonts w:hint="default" w:ascii="Times New Roman" w:hAnsi="Times New Roman" w:eastAsia="宋体" w:cs="Times New Roman"/>
          <w:color w:val="auto"/>
          <w:lang w:eastAsia="zh-CN"/>
        </w:rPr>
        <w:t>）；最后用天然气置换管道内的氮气（应连续3次</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eastAsia="zh-CN"/>
        </w:rPr>
        <w:t>每隔5min测定燃气浓度值均大于90%时</w:t>
      </w:r>
      <w:r>
        <w:rPr>
          <w:rFonts w:hint="default" w:ascii="Times New Roman" w:hAnsi="Times New Roman" w:eastAsia="宋体" w:cs="Times New Roman"/>
          <w:color w:val="auto"/>
          <w:lang w:val="en-US" w:eastAsia="zh-CN"/>
        </w:rPr>
        <w:t>为合格</w:t>
      </w:r>
      <w:r>
        <w:rPr>
          <w:rFonts w:hint="default" w:ascii="Times New Roman" w:hAnsi="Times New Roman" w:eastAsia="宋体" w:cs="Times New Roman"/>
          <w:color w:val="auto"/>
          <w:lang w:eastAsia="zh-CN"/>
        </w:rPr>
        <w:t>）；置换时管道内气体流速不大于5m/s。</w:t>
      </w:r>
    </w:p>
    <w:p w14:paraId="7D1B3BE5">
      <w:pPr>
        <w:keepNext w:val="0"/>
        <w:keepLines w:val="0"/>
        <w:pageBreakBefore w:val="0"/>
        <w:widowControl/>
        <w:kinsoku/>
        <w:wordWrap w:val="0"/>
        <w:overflowPunct/>
        <w:topLinePunct w:val="0"/>
        <w:autoSpaceDE/>
        <w:autoSpaceDN/>
        <w:bidi w:val="0"/>
        <w:adjustRightInd w:val="0"/>
        <w:snapToGrid w:val="0"/>
        <w:spacing w:line="480" w:lineRule="exact"/>
        <w:ind w:firstLine="520" w:firstLineChars="200"/>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（5）管道碰口</w:t>
      </w:r>
    </w:p>
    <w:p w14:paraId="03EDF28D">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连头处宜设置在地形、地质条件较好的地段。连头处应设人行安全通道</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作业面应平整、清洁、无积水，沟底比设计深度加深500mm～800mm</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现场切割防腐管时，宜采用机械方法，也可采用火焰或</w:t>
      </w:r>
      <w:r>
        <w:rPr>
          <w:rFonts w:hint="default" w:ascii="Times New Roman" w:hAnsi="Times New Roman" w:eastAsia="宋体" w:cs="Times New Roman"/>
          <w:color w:val="auto"/>
          <w:shd w:val="clear" w:fill="FFFFFF"/>
        </w:rPr>
        <w:t>等离子狐</w:t>
      </w:r>
      <w:r>
        <w:rPr>
          <w:rFonts w:hint="default" w:ascii="Times New Roman" w:hAnsi="Times New Roman" w:eastAsia="宋体" w:cs="Times New Roman"/>
          <w:color w:val="auto"/>
        </w:rPr>
        <w:t>方法</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吊装时，吊具应固定牢靠，设专人指挥、监护</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连头时应采用外对口器，不应强力组对</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连头处的管道焊接应严格执行连头焊接工艺规程，应在焊接完成后进行100%超声检测和100%射线检测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裂纹缺陷不应返修，其他缺陷只应返修1次。碰口时，焊接前对原管道进行消磁处理，并且坡口采用丙酮清洗干净，除硫、除污物和粉尘（FeS），保证焊缝根部焊透，不得有未熔合、裂纹等缺陷。</w:t>
      </w:r>
    </w:p>
    <w:p w14:paraId="0D14A52D">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管道PCM检测</w:t>
      </w:r>
    </w:p>
    <w:p w14:paraId="65BFEB3D">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管道施工完毕后，利用绝缘层检测仪器PCM对新建管道进行绝缘性能检查，检测仪器显示值小于40dB为合格；对管道的埋深进行检查，</w:t>
      </w:r>
      <w:r>
        <w:rPr>
          <w:rFonts w:hint="default" w:ascii="Times New Roman" w:hAnsi="Times New Roman" w:eastAsia="宋体" w:cs="Times New Roman"/>
          <w:color w:val="auto"/>
          <w:shd w:val="clear" w:fill="FFFFFF"/>
        </w:rPr>
        <w:t>达</w:t>
      </w:r>
      <w:r>
        <w:rPr>
          <w:rFonts w:hint="default" w:ascii="Times New Roman" w:hAnsi="Times New Roman" w:eastAsia="宋体" w:cs="Times New Roman"/>
          <w:color w:val="auto"/>
        </w:rPr>
        <w:t>设计要求深度为合格；对管道防腐层的完整性进行地面检漏测量，管段长度小于2km，无漏点为合格；管段长度大于等于2km，漏点小于等于0.5个/km为合格，检查中发现的漏点应全部修补。</w:t>
      </w:r>
    </w:p>
    <w:p w14:paraId="36EBB53D">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lang w:eastAsia="zh-CN"/>
        </w:rPr>
        <w:t>）废弃管道的处理</w:t>
      </w:r>
    </w:p>
    <w:p w14:paraId="302413ED">
      <w:pPr>
        <w:pStyle w:val="56"/>
        <w:keepNext w:val="0"/>
        <w:keepLines w:val="0"/>
        <w:pageBreakBefore w:val="0"/>
        <w:widowControl/>
        <w:kinsoku/>
        <w:wordWrap w:val="0"/>
        <w:overflowPunct/>
        <w:topLinePunct w:val="0"/>
        <w:autoSpaceDE/>
        <w:autoSpaceDN/>
        <w:bidi w:val="0"/>
        <w:adjustRightInd w:val="0"/>
        <w:snapToGrid w:val="0"/>
        <w:spacing w:line="48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管道迁改完成后，需要对原管道进行废除。天然气管道废除采用氮气对原管道内的天然气进行全线置换，之后保持 0.02MPa 氮气压力，采用管道两头分别注浆+封头进行封堵。原管道沿线的地面标识、测试桩等附属设施也应一并拆除回收</w:t>
      </w:r>
      <w:r>
        <w:rPr>
          <w:rFonts w:hint="default" w:ascii="Times New Roman" w:hAnsi="Times New Roman" w:eastAsia="宋体" w:cs="Times New Roman"/>
          <w:color w:val="auto"/>
          <w:lang w:eastAsia="zh-CN"/>
        </w:rPr>
        <w:t>，不涉及</w:t>
      </w:r>
      <w:r>
        <w:rPr>
          <w:rFonts w:hint="default" w:ascii="Times New Roman" w:hAnsi="Times New Roman" w:eastAsia="宋体" w:cs="Times New Roman"/>
          <w:color w:val="auto"/>
          <w:lang w:val="en-US" w:eastAsia="zh-CN"/>
        </w:rPr>
        <w:t>原</w:t>
      </w:r>
      <w:r>
        <w:rPr>
          <w:rFonts w:hint="default" w:ascii="Times New Roman" w:hAnsi="Times New Roman" w:eastAsia="宋体" w:cs="Times New Roman"/>
          <w:color w:val="auto"/>
          <w:lang w:eastAsia="zh-CN"/>
        </w:rPr>
        <w:t>管道的开挖。</w:t>
      </w:r>
    </w:p>
    <w:p w14:paraId="29F88A7D">
      <w:pPr>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w:t>
      </w:r>
      <w:r>
        <w:rPr>
          <w:rFonts w:hint="default" w:ascii="Times New Roman" w:hAnsi="Times New Roman" w:eastAsia="宋体" w:cs="Times New Roman"/>
          <w:b/>
          <w:color w:val="auto"/>
          <w:sz w:val="26"/>
          <w:szCs w:val="26"/>
          <w:lang w:val="en-US" w:eastAsia="zh-CN"/>
        </w:rPr>
        <w:t>6</w:t>
      </w:r>
      <w:r>
        <w:rPr>
          <w:rFonts w:hint="default" w:ascii="Times New Roman" w:hAnsi="Times New Roman" w:eastAsia="宋体" w:cs="Times New Roman"/>
          <w:b/>
          <w:color w:val="auto"/>
          <w:sz w:val="26"/>
          <w:szCs w:val="26"/>
        </w:rPr>
        <w:t>线路附属工程</w:t>
      </w:r>
    </w:p>
    <w:p w14:paraId="7702AE68">
      <w:pPr>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（1）水工保护</w:t>
      </w:r>
    </w:p>
    <w:p w14:paraId="438A57C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本工程水工保护措施</w:t>
      </w:r>
      <w:r>
        <w:rPr>
          <w:rFonts w:hint="default" w:ascii="Times New Roman" w:hAnsi="Times New Roman" w:eastAsia="宋体" w:cs="Times New Roman"/>
          <w:color w:val="auto"/>
          <w:lang w:val="en-US" w:eastAsia="zh-CN"/>
        </w:rPr>
        <w:t>主要针对</w:t>
      </w:r>
      <w:r>
        <w:rPr>
          <w:rFonts w:hint="default" w:ascii="Times New Roman" w:hAnsi="Times New Roman" w:eastAsia="宋体" w:cs="Times New Roman"/>
          <w:color w:val="auto"/>
        </w:rPr>
        <w:t>管沟回填土保持措施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有</w:t>
      </w:r>
      <w:r>
        <w:rPr>
          <w:rFonts w:hint="default" w:ascii="Times New Roman" w:hAnsi="Times New Roman" w:eastAsia="宋体" w:cs="Times New Roman"/>
          <w:color w:val="auto"/>
        </w:rPr>
        <w:t>浆砌石截水墙</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堡坎、挡土墙、条石防护、固定墩等</w:t>
      </w:r>
      <w:r>
        <w:rPr>
          <w:rFonts w:hint="default" w:ascii="Times New Roman" w:hAnsi="Times New Roman" w:eastAsia="宋体" w:cs="Times New Roman"/>
          <w:color w:val="auto"/>
        </w:rPr>
        <w:t>。</w:t>
      </w:r>
    </w:p>
    <w:p w14:paraId="74B032D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（2）线路标识</w:t>
      </w:r>
    </w:p>
    <w:p w14:paraId="559835B3">
      <w:pPr>
        <w:pStyle w:val="56"/>
        <w:rPr>
          <w:rFonts w:hint="default" w:ascii="Times New Roman" w:hAnsi="Times New Roman" w:eastAsia="宋体" w:cs="Times New Roman"/>
          <w:color w:val="auto"/>
        </w:rPr>
      </w:pPr>
      <w:bookmarkStart w:id="243" w:name="_Toc45551073"/>
      <w:r>
        <w:rPr>
          <w:rFonts w:hint="default" w:ascii="Times New Roman" w:hAnsi="Times New Roman" w:eastAsia="宋体" w:cs="Times New Roman"/>
          <w:color w:val="auto"/>
        </w:rPr>
        <w:t>项目线路标识设置情况详见表2.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w:t>
      </w:r>
    </w:p>
    <w:p w14:paraId="2CB39D18">
      <w:pPr>
        <w:pStyle w:val="58"/>
        <w:rPr>
          <w:rFonts w:hint="default" w:ascii="Times New Roman" w:hAnsi="Times New Roman" w:eastAsia="宋体" w:cs="Times New Roman"/>
          <w:color w:val="auto"/>
        </w:rPr>
      </w:pPr>
    </w:p>
    <w:p w14:paraId="531AC4D3">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 xml:space="preserve"> 项目线路标识设置情况一览表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1"/>
        <w:gridCol w:w="4663"/>
        <w:gridCol w:w="1962"/>
      </w:tblGrid>
      <w:tr w14:paraId="6266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0" w:type="pct"/>
            <w:noWrap w:val="0"/>
            <w:vAlign w:val="center"/>
          </w:tcPr>
          <w:p w14:paraId="289AF4EC">
            <w:pPr>
              <w:pStyle w:val="6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2737" w:type="pct"/>
            <w:noWrap w:val="0"/>
            <w:vAlign w:val="center"/>
          </w:tcPr>
          <w:p w14:paraId="63B355B6">
            <w:pPr>
              <w:pStyle w:val="6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1151" w:type="pct"/>
            <w:noWrap w:val="0"/>
            <w:vAlign w:val="center"/>
          </w:tcPr>
          <w:p w14:paraId="1D23DA47">
            <w:pPr>
              <w:pStyle w:val="6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数量</w:t>
            </w:r>
          </w:p>
        </w:tc>
      </w:tr>
      <w:tr w14:paraId="478A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0" w:type="pct"/>
            <w:noWrap w:val="0"/>
            <w:vAlign w:val="center"/>
          </w:tcPr>
          <w:p w14:paraId="65CE2CB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2737" w:type="pct"/>
            <w:noWrap w:val="0"/>
            <w:vAlign w:val="center"/>
          </w:tcPr>
          <w:p w14:paraId="24CC394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标志桩（个）</w:t>
            </w:r>
          </w:p>
        </w:tc>
        <w:tc>
          <w:tcPr>
            <w:tcW w:w="1151" w:type="pct"/>
            <w:noWrap w:val="0"/>
            <w:vAlign w:val="bottom"/>
          </w:tcPr>
          <w:p w14:paraId="10C64740">
            <w:pPr>
              <w:pStyle w:val="6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29</w:t>
            </w:r>
          </w:p>
        </w:tc>
      </w:tr>
      <w:tr w14:paraId="404D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0" w:type="pct"/>
            <w:noWrap w:val="0"/>
            <w:vAlign w:val="center"/>
          </w:tcPr>
          <w:p w14:paraId="740DCC0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2737" w:type="pct"/>
            <w:noWrap w:val="0"/>
            <w:vAlign w:val="center"/>
          </w:tcPr>
          <w:p w14:paraId="3CD9BA6E">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测试桩（套）</w:t>
            </w:r>
          </w:p>
        </w:tc>
        <w:tc>
          <w:tcPr>
            <w:tcW w:w="1151" w:type="pct"/>
            <w:noWrap w:val="0"/>
            <w:vAlign w:val="bottom"/>
          </w:tcPr>
          <w:p w14:paraId="664F55C4">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r>
      <w:tr w14:paraId="1893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0" w:type="pct"/>
            <w:noWrap w:val="0"/>
            <w:vAlign w:val="center"/>
          </w:tcPr>
          <w:p w14:paraId="4F1CBAA1">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2737" w:type="pct"/>
            <w:noWrap w:val="0"/>
            <w:vAlign w:val="center"/>
          </w:tcPr>
          <w:p w14:paraId="198D2725">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警示牌（个）</w:t>
            </w:r>
          </w:p>
        </w:tc>
        <w:tc>
          <w:tcPr>
            <w:tcW w:w="1151" w:type="pct"/>
            <w:noWrap w:val="0"/>
            <w:vAlign w:val="bottom"/>
          </w:tcPr>
          <w:p w14:paraId="5C2A1382">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2</w:t>
            </w:r>
          </w:p>
        </w:tc>
      </w:tr>
      <w:tr w14:paraId="3BD6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0" w:type="pct"/>
            <w:noWrap w:val="0"/>
            <w:vAlign w:val="center"/>
          </w:tcPr>
          <w:p w14:paraId="3770442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2737" w:type="pct"/>
            <w:noWrap w:val="0"/>
            <w:vAlign w:val="center"/>
          </w:tcPr>
          <w:p w14:paraId="490DF244">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警示带（m）</w:t>
            </w:r>
          </w:p>
        </w:tc>
        <w:tc>
          <w:tcPr>
            <w:tcW w:w="1151" w:type="pct"/>
            <w:noWrap w:val="0"/>
            <w:vAlign w:val="center"/>
          </w:tcPr>
          <w:p w14:paraId="37C9E684">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1451.9</w:t>
            </w:r>
          </w:p>
        </w:tc>
      </w:tr>
    </w:tbl>
    <w:p w14:paraId="7743041C">
      <w:pPr>
        <w:pStyle w:val="58"/>
        <w:rPr>
          <w:rFonts w:hint="default" w:ascii="Times New Roman" w:hAnsi="Times New Roman" w:eastAsia="宋体" w:cs="Times New Roman"/>
          <w:color w:val="auto"/>
        </w:rPr>
      </w:pPr>
    </w:p>
    <w:bookmarkEnd w:id="243"/>
    <w:p w14:paraId="00200E1F">
      <w:pPr>
        <w:spacing w:line="460" w:lineRule="exact"/>
        <w:ind w:firstLine="522"/>
        <w:outlineLvl w:val="1"/>
        <w:rPr>
          <w:rFonts w:hint="default" w:ascii="Times New Roman" w:hAnsi="Times New Roman" w:eastAsia="宋体" w:cs="Times New Roman"/>
          <w:b/>
          <w:color w:val="auto"/>
          <w:sz w:val="26"/>
          <w:szCs w:val="26"/>
        </w:rPr>
      </w:pPr>
      <w:bookmarkStart w:id="244" w:name="_Toc60144388"/>
      <w:bookmarkStart w:id="245" w:name="_Toc45551074"/>
      <w:bookmarkStart w:id="246" w:name="_Toc32288"/>
      <w:bookmarkStart w:id="247" w:name="_Toc2795"/>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4</w:t>
      </w:r>
      <w:r>
        <w:rPr>
          <w:rFonts w:hint="default" w:ascii="Times New Roman" w:hAnsi="Times New Roman" w:eastAsia="宋体" w:cs="Times New Roman"/>
          <w:b/>
          <w:color w:val="auto"/>
          <w:sz w:val="26"/>
          <w:szCs w:val="26"/>
        </w:rPr>
        <w:t xml:space="preserve"> 配套工程及公用工程</w:t>
      </w:r>
      <w:bookmarkEnd w:id="244"/>
      <w:bookmarkEnd w:id="245"/>
      <w:bookmarkEnd w:id="246"/>
      <w:bookmarkEnd w:id="247"/>
    </w:p>
    <w:p w14:paraId="36CF6166">
      <w:pPr>
        <w:spacing w:line="46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4</w:t>
      </w:r>
      <w:r>
        <w:rPr>
          <w:rFonts w:hint="default" w:ascii="Times New Roman" w:hAnsi="Times New Roman" w:eastAsia="宋体" w:cs="Times New Roman"/>
          <w:b/>
          <w:color w:val="auto"/>
          <w:sz w:val="26"/>
          <w:szCs w:val="26"/>
        </w:rPr>
        <w:t>.1防腐与阴极保护</w:t>
      </w:r>
    </w:p>
    <w:p w14:paraId="6C3F17E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本工程迁建管道采用外防腐层加阴极保护联合保护方式。管道外防腐采用三层PE加强级外防腐层，</w:t>
      </w:r>
      <w:r>
        <w:rPr>
          <w:rFonts w:hint="default" w:ascii="Times New Roman" w:hAnsi="Times New Roman" w:eastAsia="宋体" w:cs="Times New Roman"/>
          <w:color w:val="auto"/>
          <w:shd w:val="clear" w:fill="FFFFFF"/>
        </w:rPr>
        <w:t>管道补口采用</w:t>
      </w:r>
      <w:r>
        <w:rPr>
          <w:rFonts w:hint="default" w:ascii="Times New Roman" w:hAnsi="Times New Roman" w:eastAsia="宋体" w:cs="Times New Roman"/>
          <w:color w:val="auto"/>
        </w:rPr>
        <w:t>带配套底漆的热熔胶型聚乙烯热收缩套，管道补伤采用聚乙烯热收缩补伤片，热煨弯管外防腐采用带配套底漆的热熔胶型聚乙烯热收缩套虾米状搭接包覆防腐。迁建管道利用原管道阴极保护系统提供强制电流阴极保护。</w:t>
      </w:r>
    </w:p>
    <w:p w14:paraId="79B174C6">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）管道外防腐</w:t>
      </w:r>
    </w:p>
    <w:p w14:paraId="6A27DA7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工程迁改管道采用三层PE加强级外防腐。埋地钢质管道聚乙烯防腐管预制应符合《埋地钢质管道聚乙烯防腐层》GB/T23257-2017的要求。D89防腐层最小厚度2.5mm，管端预留长度（钢管裸露部分）应为：100~150mm，且聚乙烯层端面应形成小于或等于30°的倒角。</w:t>
      </w:r>
    </w:p>
    <w:p w14:paraId="3507AB66">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①</w:t>
      </w:r>
      <w:r>
        <w:rPr>
          <w:rFonts w:hint="default" w:ascii="Times New Roman" w:hAnsi="Times New Roman" w:eastAsia="宋体" w:cs="Times New Roman"/>
          <w:color w:val="auto"/>
        </w:rPr>
        <w:t>管道环向对接焊缝防腐层补口采用带配套底漆的三层结构辐射交联聚乙烯热收缩套防腐，热收缩套材料应符合《埋地钢质管道聚乙烯防腐层》GB/T23257-2017的相关规定。</w:t>
      </w:r>
    </w:p>
    <w:p w14:paraId="0E9A3681">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②</w:t>
      </w:r>
      <w:r>
        <w:rPr>
          <w:rFonts w:hint="default" w:ascii="Times New Roman" w:hAnsi="Times New Roman" w:eastAsia="宋体" w:cs="Times New Roman"/>
          <w:color w:val="auto"/>
        </w:rPr>
        <w:t>补伤采用聚乙烯热收缩补伤片补伤</w:t>
      </w:r>
      <w:r>
        <w:rPr>
          <w:rFonts w:hint="default" w:ascii="Times New Roman" w:hAnsi="Times New Roman" w:eastAsia="宋体" w:cs="Times New Roman"/>
          <w:color w:val="auto"/>
          <w:lang w:eastAsia="zh-CN"/>
        </w:rPr>
        <w:t>。补伤后，应进行外观、漏点及</w:t>
      </w:r>
      <w:r>
        <w:rPr>
          <w:rFonts w:hint="default" w:ascii="Times New Roman" w:hAnsi="Times New Roman" w:eastAsia="宋体" w:cs="Times New Roman"/>
          <w:color w:val="auto"/>
          <w:shd w:val="clear" w:fill="FFFFFF"/>
          <w:lang w:eastAsia="zh-CN"/>
        </w:rPr>
        <w:t>粘接力</w:t>
      </w:r>
      <w:r>
        <w:rPr>
          <w:rFonts w:hint="default" w:ascii="Times New Roman" w:hAnsi="Times New Roman" w:eastAsia="宋体" w:cs="Times New Roman"/>
          <w:color w:val="auto"/>
          <w:lang w:eastAsia="zh-CN"/>
        </w:rPr>
        <w:t>检验。检验要求按照《埋地钢质管道聚乙烯防腐层》GB/T23257-2017规范的规定执行。</w:t>
      </w:r>
    </w:p>
    <w:p w14:paraId="01C8B326">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③</w:t>
      </w:r>
      <w:r>
        <w:rPr>
          <w:rFonts w:hint="default" w:ascii="Times New Roman" w:hAnsi="Times New Roman" w:eastAsia="宋体" w:cs="Times New Roman"/>
          <w:color w:val="auto"/>
        </w:rPr>
        <w:t>弯头外防腐采用三层辐射交联聚乙烯热收缩套连续搭接包覆，热收缩套材料性能指标及施工应符合《埋地钢质管道聚乙烯防腐层》GB/T23257-2017的要求。</w:t>
      </w:r>
    </w:p>
    <w:p w14:paraId="6BE31D8D">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）管道阴极保护</w:t>
      </w:r>
    </w:p>
    <w:p w14:paraId="0118299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原管道采用强制电流进行阴极保护，本工程迁改段管道沿用原阴极保护，增加电位测试桩2组。</w:t>
      </w:r>
    </w:p>
    <w:p w14:paraId="4F101FCD">
      <w:pPr>
        <w:spacing w:line="46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4</w:t>
      </w:r>
      <w:r>
        <w:rPr>
          <w:rFonts w:hint="default" w:ascii="Times New Roman" w:hAnsi="Times New Roman" w:eastAsia="宋体" w:cs="Times New Roman"/>
          <w:b/>
          <w:color w:val="auto"/>
          <w:sz w:val="26"/>
          <w:szCs w:val="26"/>
        </w:rPr>
        <w:t>.2其他工程</w:t>
      </w:r>
    </w:p>
    <w:p w14:paraId="4FBEE458">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w:t>
      </w:r>
      <w:r>
        <w:rPr>
          <w:rFonts w:hint="default" w:ascii="Times New Roman" w:hAnsi="Times New Roman" w:eastAsia="宋体" w:cs="Times New Roman"/>
          <w:color w:val="auto"/>
          <w:shd w:val="clear" w:fill="FFFFFF"/>
          <w:lang w:eastAsia="zh-CN"/>
        </w:rPr>
        <w:t>为天然气管道</w:t>
      </w:r>
      <w:r>
        <w:rPr>
          <w:rFonts w:hint="default" w:ascii="Times New Roman" w:hAnsi="Times New Roman" w:eastAsia="宋体" w:cs="Times New Roman"/>
          <w:color w:val="auto"/>
          <w:lang w:eastAsia="zh-CN"/>
        </w:rPr>
        <w:t>改建项目，改线管道长度共计</w:t>
      </w:r>
      <w:r>
        <w:rPr>
          <w:rFonts w:hint="default" w:ascii="Times New Roman" w:hAnsi="Times New Roman" w:eastAsia="宋体" w:cs="Times New Roman"/>
          <w:color w:val="auto"/>
          <w:lang w:val="en-US" w:eastAsia="zh-CN"/>
        </w:rPr>
        <w:t>1451.9</w:t>
      </w:r>
      <w:r>
        <w:rPr>
          <w:rFonts w:hint="default" w:ascii="Times New Roman" w:hAnsi="Times New Roman" w:eastAsia="宋体" w:cs="Times New Roman"/>
          <w:color w:val="auto"/>
          <w:lang w:eastAsia="zh-CN"/>
        </w:rPr>
        <w:t>m，不涉及站场</w:t>
      </w:r>
      <w:r>
        <w:rPr>
          <w:rFonts w:hint="default" w:ascii="Times New Roman" w:hAnsi="Times New Roman" w:eastAsia="宋体" w:cs="Times New Roman"/>
          <w:color w:val="auto"/>
          <w:lang w:val="en-US" w:eastAsia="zh-CN"/>
        </w:rPr>
        <w:t>与</w:t>
      </w:r>
      <w:r>
        <w:rPr>
          <w:rFonts w:hint="default" w:ascii="Times New Roman" w:hAnsi="Times New Roman" w:eastAsia="宋体" w:cs="Times New Roman"/>
          <w:color w:val="auto"/>
          <w:lang w:eastAsia="zh-CN"/>
        </w:rPr>
        <w:t>阀室等，故本次评价不涉及自动控制、通信、暖通等工程。</w:t>
      </w:r>
    </w:p>
    <w:p w14:paraId="504A57FD">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本工程周边水、电等设施接入方便，能够满足施工要求，不新建施工供水供电线路。</w:t>
      </w:r>
    </w:p>
    <w:p w14:paraId="5C2E8F0A">
      <w:pPr>
        <w:adjustRightInd w:val="0"/>
        <w:snapToGrid w:val="0"/>
        <w:spacing w:line="460" w:lineRule="exact"/>
        <w:ind w:firstLine="522" w:firstLineChars="200"/>
        <w:outlineLvl w:val="1"/>
        <w:rPr>
          <w:rFonts w:hint="default" w:ascii="Times New Roman" w:hAnsi="Times New Roman" w:eastAsia="宋体" w:cs="Times New Roman"/>
          <w:b/>
          <w:color w:val="auto"/>
          <w:sz w:val="26"/>
          <w:szCs w:val="26"/>
        </w:rPr>
      </w:pPr>
      <w:bookmarkStart w:id="248" w:name="_Toc60144390"/>
      <w:bookmarkStart w:id="249" w:name="_Toc29438"/>
      <w:bookmarkStart w:id="250" w:name="_Toc7923"/>
      <w:bookmarkStart w:id="251" w:name="_Toc45551076"/>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5</w:t>
      </w:r>
      <w:r>
        <w:rPr>
          <w:rFonts w:hint="default" w:ascii="Times New Roman" w:hAnsi="Times New Roman" w:eastAsia="宋体" w:cs="Times New Roman"/>
          <w:b/>
          <w:color w:val="auto"/>
          <w:sz w:val="26"/>
          <w:szCs w:val="26"/>
        </w:rPr>
        <w:t xml:space="preserve"> 施工组织</w:t>
      </w:r>
      <w:bookmarkEnd w:id="248"/>
      <w:bookmarkEnd w:id="249"/>
      <w:bookmarkEnd w:id="250"/>
      <w:bookmarkEnd w:id="251"/>
    </w:p>
    <w:p w14:paraId="74C9CCB7">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5</w:t>
      </w:r>
      <w:r>
        <w:rPr>
          <w:rFonts w:hint="default" w:ascii="Times New Roman" w:hAnsi="Times New Roman" w:eastAsia="宋体" w:cs="Times New Roman"/>
          <w:b/>
          <w:color w:val="auto"/>
          <w:sz w:val="26"/>
          <w:szCs w:val="26"/>
        </w:rPr>
        <w:t>.1施工计划</w:t>
      </w:r>
    </w:p>
    <w:p w14:paraId="7B69A0D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项目预计202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月开工建设，202</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月工程完工投产，建设工期1个月，每日平均施工人数约10人。</w:t>
      </w:r>
    </w:p>
    <w:p w14:paraId="02A430CC">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5.</w:t>
      </w:r>
      <w:r>
        <w:rPr>
          <w:rFonts w:hint="default" w:ascii="Times New Roman" w:hAnsi="Times New Roman" w:eastAsia="宋体" w:cs="Times New Roman"/>
          <w:b/>
          <w:color w:val="auto"/>
          <w:sz w:val="26"/>
          <w:szCs w:val="26"/>
        </w:rPr>
        <w:t>2施工营地</w:t>
      </w:r>
    </w:p>
    <w:p w14:paraId="7CFC1CE0">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本项目不单独设置施工营地，施工队伍的吃住依托当地的旅馆和居民</w:t>
      </w:r>
      <w:r>
        <w:rPr>
          <w:rFonts w:hint="default" w:ascii="Times New Roman" w:hAnsi="Times New Roman" w:eastAsia="宋体" w:cs="Times New Roman"/>
          <w:color w:val="auto"/>
          <w:lang w:val="en-US" w:eastAsia="zh-CN"/>
        </w:rPr>
        <w:t>房</w:t>
      </w:r>
      <w:r>
        <w:rPr>
          <w:rFonts w:hint="default" w:ascii="Times New Roman" w:hAnsi="Times New Roman" w:eastAsia="宋体" w:cs="Times New Roman"/>
          <w:color w:val="auto"/>
        </w:rPr>
        <w:t>等</w:t>
      </w:r>
      <w:r>
        <w:rPr>
          <w:rFonts w:hint="default" w:ascii="Times New Roman" w:hAnsi="Times New Roman" w:eastAsia="宋体" w:cs="Times New Roman"/>
          <w:color w:val="auto"/>
          <w:lang w:eastAsia="zh-CN"/>
        </w:rPr>
        <w:t>。</w:t>
      </w:r>
    </w:p>
    <w:p w14:paraId="177D83ED">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bookmarkStart w:id="252" w:name="_Hlk131435664"/>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5</w:t>
      </w:r>
      <w:r>
        <w:rPr>
          <w:rFonts w:hint="default" w:ascii="Times New Roman" w:hAnsi="Times New Roman" w:eastAsia="宋体" w:cs="Times New Roman"/>
          <w:b/>
          <w:color w:val="auto"/>
          <w:sz w:val="26"/>
          <w:szCs w:val="26"/>
        </w:rPr>
        <w:t>.3临时道路</w:t>
      </w:r>
    </w:p>
    <w:bookmarkEnd w:id="252"/>
    <w:p w14:paraId="71A3DC9A">
      <w:pPr>
        <w:pStyle w:val="56"/>
        <w:rPr>
          <w:rFonts w:hint="default" w:ascii="Times New Roman" w:hAnsi="Times New Roman" w:eastAsia="宋体" w:cs="Times New Roman"/>
          <w:color w:val="auto"/>
          <w:sz w:val="26"/>
          <w:szCs w:val="26"/>
          <w:highlight w:val="none"/>
          <w:lang w:val="en-US" w:eastAsia="zh-CN"/>
        </w:rPr>
      </w:pPr>
      <w:bookmarkStart w:id="253" w:name="_Hlk131435643"/>
      <w:r>
        <w:rPr>
          <w:rFonts w:hint="default" w:ascii="Times New Roman" w:hAnsi="Times New Roman" w:eastAsia="宋体" w:cs="Times New Roman"/>
          <w:color w:val="auto"/>
          <w:sz w:val="26"/>
          <w:szCs w:val="26"/>
          <w:highlight w:val="none"/>
          <w:lang w:val="en-US" w:eastAsia="zh-CN"/>
        </w:rPr>
        <w:t>本项目所在地交通便利，可依托道路条件较好，不新建伴行路和施工便道。</w:t>
      </w:r>
    </w:p>
    <w:bookmarkEnd w:id="253"/>
    <w:p w14:paraId="00E089B8">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5.</w:t>
      </w:r>
      <w:r>
        <w:rPr>
          <w:rFonts w:hint="default" w:ascii="Times New Roman" w:hAnsi="Times New Roman" w:eastAsia="宋体" w:cs="Times New Roman"/>
          <w:b/>
          <w:color w:val="auto"/>
          <w:sz w:val="26"/>
          <w:szCs w:val="26"/>
        </w:rPr>
        <w:t>4堆管场</w:t>
      </w:r>
    </w:p>
    <w:p w14:paraId="6D62AF74">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为保证施工能正常运行，做到不间断施工，运管和布管同时进行，管材到现场后开始布管，并在施工作业带附近设置临时堆管场。临时堆管场布置在旱地或空地上，不占用永久基本农田和</w:t>
      </w:r>
      <w:r>
        <w:rPr>
          <w:rFonts w:hint="default" w:ascii="Times New Roman" w:hAnsi="Times New Roman" w:eastAsia="宋体" w:cs="Times New Roman"/>
          <w:color w:val="auto"/>
          <w:lang w:val="en-US" w:eastAsia="zh-CN"/>
        </w:rPr>
        <w:t>天然</w:t>
      </w:r>
      <w:r>
        <w:rPr>
          <w:rFonts w:hint="default" w:ascii="Times New Roman" w:hAnsi="Times New Roman" w:eastAsia="宋体" w:cs="Times New Roman"/>
          <w:color w:val="auto"/>
        </w:rPr>
        <w:t>林</w:t>
      </w:r>
      <w:r>
        <w:rPr>
          <w:rFonts w:hint="default" w:ascii="Times New Roman" w:hAnsi="Times New Roman" w:eastAsia="宋体" w:cs="Times New Roman"/>
          <w:color w:val="auto"/>
          <w:lang w:eastAsia="zh-CN"/>
        </w:rPr>
        <w:t>。根据设计及线路沿线地形实际情况，本项目迁改管道全线共设置临时堆管场</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处，面积为</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00m</w:t>
      </w:r>
      <w:r>
        <w:rPr>
          <w:rFonts w:hint="default" w:ascii="Times New Roman" w:hAnsi="Times New Roman" w:eastAsia="宋体" w:cs="Times New Roman"/>
          <w:color w:val="auto"/>
          <w:vertAlign w:val="superscript"/>
          <w:lang w:eastAsia="zh-CN"/>
        </w:rPr>
        <w:t>2</w:t>
      </w:r>
      <w:r>
        <w:rPr>
          <w:rFonts w:hint="default" w:ascii="Times New Roman" w:hAnsi="Times New Roman" w:eastAsia="宋体" w:cs="Times New Roman"/>
          <w:color w:val="auto"/>
          <w:vertAlign w:val="baseline"/>
          <w:lang w:val="en-US" w:eastAsia="zh-CN"/>
        </w:rPr>
        <w:t>，不涉及天然林、永久基本农田</w:t>
      </w:r>
      <w:r>
        <w:rPr>
          <w:rFonts w:hint="default" w:ascii="Times New Roman" w:hAnsi="Times New Roman" w:eastAsia="宋体" w:cs="Times New Roman"/>
          <w:color w:val="auto"/>
          <w:lang w:eastAsia="zh-CN"/>
        </w:rPr>
        <w:t>。</w:t>
      </w:r>
    </w:p>
    <w:p w14:paraId="6E91EBA1">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rPr>
      </w:pPr>
      <w:r>
        <w:rPr>
          <w:rFonts w:hint="eastAsia" w:ascii="Times New Roman" w:hAnsi="Times New Roman" w:cs="Times New Roman"/>
          <w:color w:val="auto"/>
          <w:vertAlign w:val="baseline"/>
          <w:lang w:val="en-US" w:eastAsia="zh-CN"/>
        </w:rPr>
        <w:t>***</w:t>
      </w:r>
    </w:p>
    <w:p w14:paraId="61C9F0DA">
      <w:pPr>
        <w:pStyle w:val="58"/>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图2.5-1 堆管场拟建位置</w:t>
      </w:r>
    </w:p>
    <w:p w14:paraId="200F15F7">
      <w:pPr>
        <w:adjustRightInd w:val="0"/>
        <w:snapToGrid w:val="0"/>
        <w:spacing w:line="460" w:lineRule="exact"/>
        <w:ind w:firstLine="522" w:firstLineChars="200"/>
        <w:outlineLvl w:val="1"/>
        <w:rPr>
          <w:rFonts w:hint="default" w:ascii="Times New Roman" w:hAnsi="Times New Roman" w:eastAsia="宋体" w:cs="Times New Roman"/>
          <w:b/>
          <w:color w:val="auto"/>
          <w:sz w:val="26"/>
          <w:szCs w:val="26"/>
        </w:rPr>
      </w:pPr>
      <w:bookmarkStart w:id="254" w:name="_Toc1311"/>
      <w:bookmarkStart w:id="255" w:name="_Toc60144391"/>
      <w:bookmarkStart w:id="256" w:name="_Toc14251"/>
      <w:bookmarkStart w:id="257" w:name="_Toc45551077"/>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6</w:t>
      </w:r>
      <w:r>
        <w:rPr>
          <w:rFonts w:hint="default" w:ascii="Times New Roman" w:hAnsi="Times New Roman" w:eastAsia="宋体" w:cs="Times New Roman"/>
          <w:b/>
          <w:color w:val="auto"/>
          <w:sz w:val="26"/>
          <w:szCs w:val="26"/>
        </w:rPr>
        <w:t>占地及土石方平衡</w:t>
      </w:r>
      <w:bookmarkEnd w:id="254"/>
      <w:bookmarkEnd w:id="255"/>
      <w:bookmarkEnd w:id="256"/>
      <w:bookmarkEnd w:id="257"/>
    </w:p>
    <w:p w14:paraId="53565BE9">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6</w:t>
      </w:r>
      <w:r>
        <w:rPr>
          <w:rFonts w:hint="default" w:ascii="Times New Roman" w:hAnsi="Times New Roman" w:eastAsia="宋体" w:cs="Times New Roman"/>
          <w:b/>
          <w:color w:val="auto"/>
          <w:sz w:val="26"/>
          <w:szCs w:val="26"/>
        </w:rPr>
        <w:t>.1占地</w:t>
      </w:r>
    </w:p>
    <w:p w14:paraId="627D1409">
      <w:pPr>
        <w:pStyle w:val="93"/>
        <w:ind w:firstLine="520"/>
        <w:rPr>
          <w:rFonts w:hint="default" w:ascii="Times New Roman" w:hAnsi="Times New Roman" w:eastAsia="宋体" w:cs="Times New Roman"/>
          <w:color w:val="auto"/>
        </w:rPr>
      </w:pPr>
      <w:r>
        <w:rPr>
          <w:rStyle w:val="57"/>
          <w:rFonts w:hint="default" w:ascii="Times New Roman" w:hAnsi="Times New Roman" w:eastAsia="宋体" w:cs="Times New Roman"/>
          <w:color w:val="auto"/>
        </w:rPr>
        <w:t>本项目为</w:t>
      </w:r>
      <w:r>
        <w:rPr>
          <w:rFonts w:hint="default" w:ascii="Times New Roman" w:hAnsi="Times New Roman" w:eastAsia="宋体" w:cs="Times New Roman"/>
          <w:color w:val="auto"/>
          <w:lang w:val="en-US" w:eastAsia="zh-CN"/>
        </w:rPr>
        <w:t>天然气管道改建</w:t>
      </w:r>
      <w:r>
        <w:rPr>
          <w:rFonts w:hint="default" w:ascii="Times New Roman" w:hAnsi="Times New Roman" w:eastAsia="宋体" w:cs="Times New Roman"/>
          <w:color w:val="auto"/>
        </w:rPr>
        <w:t>工程</w:t>
      </w:r>
      <w:r>
        <w:rPr>
          <w:rStyle w:val="57"/>
          <w:rFonts w:hint="default" w:ascii="Times New Roman" w:hAnsi="Times New Roman" w:eastAsia="宋体" w:cs="Times New Roman"/>
          <w:color w:val="auto"/>
        </w:rPr>
        <w:t>，项目不涉及永久占地，临时占地主要为施工作业带、堆管场等</w:t>
      </w:r>
      <w:r>
        <w:rPr>
          <w:rFonts w:hint="default" w:ascii="Times New Roman" w:hAnsi="Times New Roman" w:eastAsia="宋体" w:cs="Times New Roman"/>
          <w:color w:val="auto"/>
        </w:rPr>
        <w:t>，占地面积约</w:t>
      </w:r>
      <w:r>
        <w:rPr>
          <w:rFonts w:hint="default" w:ascii="Times New Roman" w:hAnsi="Times New Roman" w:eastAsia="宋体" w:cs="Times New Roman"/>
          <w:color w:val="auto"/>
          <w:lang w:val="en-US" w:eastAsia="zh-CN"/>
        </w:rPr>
        <w:t>0.94h</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，其中施工作业带占地</w:t>
      </w:r>
      <w:r>
        <w:rPr>
          <w:rFonts w:hint="default" w:ascii="Times New Roman" w:hAnsi="Times New Roman" w:eastAsia="宋体" w:cs="Times New Roman"/>
          <w:color w:val="auto"/>
          <w:lang w:val="en-US" w:eastAsia="zh-CN"/>
        </w:rPr>
        <w:t>0.91h</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，堆管场占地</w:t>
      </w:r>
      <w:r>
        <w:rPr>
          <w:rFonts w:hint="default" w:ascii="Times New Roman" w:hAnsi="Times New Roman" w:eastAsia="宋体" w:cs="Times New Roman"/>
          <w:color w:val="auto"/>
          <w:lang w:val="en-US" w:eastAsia="zh-CN"/>
        </w:rPr>
        <w:t>0.03h</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14:paraId="0397BC94">
      <w:pPr>
        <w:rPr>
          <w:rFonts w:hint="default" w:ascii="Times New Roman" w:hAnsi="Times New Roman" w:eastAsia="宋体" w:cs="Times New Roman"/>
          <w:color w:val="auto"/>
        </w:rPr>
      </w:pPr>
    </w:p>
    <w:p w14:paraId="66EDEDFE">
      <w:pPr>
        <w:pStyle w:val="58"/>
        <w:rPr>
          <w:rFonts w:hint="default" w:ascii="Times New Roman" w:hAnsi="Times New Roman" w:eastAsia="宋体" w:cs="Times New Roman"/>
          <w:b/>
          <w:color w:val="auto"/>
        </w:rPr>
      </w:pPr>
      <w:r>
        <w:rPr>
          <w:rFonts w:hint="default" w:ascii="Times New Roman" w:hAnsi="Times New Roman" w:eastAsia="宋体" w:cs="Times New Roman"/>
          <w:b/>
          <w:color w:val="auto"/>
        </w:rPr>
        <w:t>表2.</w:t>
      </w:r>
      <w:r>
        <w:rPr>
          <w:rFonts w:hint="eastAsia" w:ascii="Times New Roman" w:hAnsi="Times New Roman" w:cs="Times New Roman"/>
          <w:b/>
          <w:color w:val="auto"/>
          <w:lang w:val="en-US" w:eastAsia="zh-CN"/>
        </w:rPr>
        <w:t>6</w:t>
      </w:r>
      <w:r>
        <w:rPr>
          <w:rFonts w:hint="default" w:ascii="Times New Roman" w:hAnsi="Times New Roman" w:eastAsia="宋体" w:cs="Times New Roman"/>
          <w:b/>
          <w:color w:val="auto"/>
        </w:rPr>
        <w:t>-</w:t>
      </w:r>
      <w:r>
        <w:rPr>
          <w:rFonts w:hint="default" w:ascii="Times New Roman" w:hAnsi="Times New Roman" w:eastAsia="宋体" w:cs="Times New Roman"/>
          <w:b/>
          <w:color w:val="auto"/>
          <w:lang w:val="en-US" w:eastAsia="zh-CN"/>
        </w:rPr>
        <w:t>1 临时</w:t>
      </w:r>
      <w:r>
        <w:rPr>
          <w:rFonts w:hint="default" w:ascii="Times New Roman" w:hAnsi="Times New Roman" w:eastAsia="宋体" w:cs="Times New Roman"/>
          <w:b/>
          <w:color w:val="auto"/>
        </w:rPr>
        <w:t>占地土地利用现状统计表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6"/>
        <w:gridCol w:w="2810"/>
        <w:gridCol w:w="2507"/>
      </w:tblGrid>
      <w:tr w14:paraId="1428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27" w:type="pct"/>
            <w:gridSpan w:val="2"/>
            <w:noWrap/>
            <w:vAlign w:val="center"/>
          </w:tcPr>
          <w:p w14:paraId="4A80558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土地利用分类</w:t>
            </w:r>
          </w:p>
        </w:tc>
        <w:tc>
          <w:tcPr>
            <w:tcW w:w="1472" w:type="pct"/>
            <w:vMerge w:val="restart"/>
            <w:noWrap/>
            <w:vAlign w:val="center"/>
          </w:tcPr>
          <w:p w14:paraId="55E6F84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面积（hm</w:t>
            </w:r>
            <w:r>
              <w:rPr>
                <w:rFonts w:hint="default" w:ascii="Times New Roman" w:hAnsi="Times New Roman" w:eastAsia="宋体" w:cs="Times New Roman"/>
                <w:b/>
                <w:bCs/>
                <w:i w:val="0"/>
                <w:iCs w:val="0"/>
                <w:color w:val="auto"/>
                <w:kern w:val="0"/>
                <w:sz w:val="21"/>
                <w:szCs w:val="21"/>
                <w:u w:val="none"/>
                <w:vertAlign w:val="superscript"/>
                <w:lang w:val="en-US" w:eastAsia="zh-CN" w:bidi="ar"/>
              </w:rPr>
              <w:t>2</w:t>
            </w:r>
            <w:r>
              <w:rPr>
                <w:rFonts w:hint="default" w:ascii="Times New Roman" w:hAnsi="Times New Roman" w:eastAsia="宋体" w:cs="Times New Roman"/>
                <w:b/>
                <w:bCs/>
                <w:i w:val="0"/>
                <w:iCs w:val="0"/>
                <w:color w:val="auto"/>
                <w:kern w:val="0"/>
                <w:sz w:val="21"/>
                <w:szCs w:val="21"/>
                <w:u w:val="none"/>
                <w:lang w:val="en-US" w:eastAsia="zh-CN" w:bidi="ar"/>
              </w:rPr>
              <w:t>）</w:t>
            </w:r>
          </w:p>
        </w:tc>
      </w:tr>
      <w:tr w14:paraId="3007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noWrap/>
            <w:vAlign w:val="center"/>
          </w:tcPr>
          <w:p w14:paraId="5D0CC3D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一级类</w:t>
            </w:r>
          </w:p>
        </w:tc>
        <w:tc>
          <w:tcPr>
            <w:tcW w:w="1650" w:type="pct"/>
            <w:noWrap/>
            <w:vAlign w:val="center"/>
          </w:tcPr>
          <w:p w14:paraId="277AD75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二级类</w:t>
            </w:r>
          </w:p>
        </w:tc>
        <w:tc>
          <w:tcPr>
            <w:tcW w:w="1472" w:type="pct"/>
            <w:vMerge w:val="continue"/>
            <w:noWrap/>
            <w:vAlign w:val="center"/>
          </w:tcPr>
          <w:p w14:paraId="76E61089">
            <w:pPr>
              <w:jc w:val="center"/>
              <w:rPr>
                <w:rFonts w:hint="default" w:ascii="Times New Roman" w:hAnsi="Times New Roman" w:eastAsia="宋体" w:cs="Times New Roman"/>
                <w:b/>
                <w:bCs/>
                <w:i w:val="0"/>
                <w:iCs w:val="0"/>
                <w:color w:val="auto"/>
                <w:sz w:val="21"/>
                <w:szCs w:val="21"/>
                <w:u w:val="none"/>
              </w:rPr>
            </w:pPr>
          </w:p>
        </w:tc>
      </w:tr>
      <w:tr w14:paraId="0E8E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noWrap/>
            <w:vAlign w:val="center"/>
          </w:tcPr>
          <w:p w14:paraId="644687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01耕地</w:t>
            </w:r>
          </w:p>
        </w:tc>
        <w:tc>
          <w:tcPr>
            <w:tcW w:w="1650" w:type="pct"/>
            <w:noWrap/>
            <w:vAlign w:val="center"/>
          </w:tcPr>
          <w:p w14:paraId="673031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0103旱地</w:t>
            </w:r>
          </w:p>
        </w:tc>
        <w:tc>
          <w:tcPr>
            <w:tcW w:w="1472" w:type="pct"/>
            <w:noWrap/>
            <w:vAlign w:val="center"/>
          </w:tcPr>
          <w:p w14:paraId="619BA4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0.44</w:t>
            </w:r>
          </w:p>
        </w:tc>
      </w:tr>
      <w:tr w14:paraId="6EDB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Merge w:val="restart"/>
            <w:noWrap/>
            <w:vAlign w:val="center"/>
          </w:tcPr>
          <w:p w14:paraId="7F6629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03林地</w:t>
            </w:r>
          </w:p>
        </w:tc>
        <w:tc>
          <w:tcPr>
            <w:tcW w:w="1650" w:type="pct"/>
            <w:noWrap/>
            <w:vAlign w:val="center"/>
          </w:tcPr>
          <w:p w14:paraId="790E6F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0301乔木林地</w:t>
            </w:r>
          </w:p>
        </w:tc>
        <w:tc>
          <w:tcPr>
            <w:tcW w:w="1472" w:type="pct"/>
            <w:noWrap/>
            <w:vAlign w:val="center"/>
          </w:tcPr>
          <w:p w14:paraId="4E5570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0.39</w:t>
            </w:r>
          </w:p>
        </w:tc>
      </w:tr>
      <w:tr w14:paraId="02A7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Merge w:val="continue"/>
            <w:noWrap/>
            <w:vAlign w:val="center"/>
          </w:tcPr>
          <w:p w14:paraId="38D1A515">
            <w:pPr>
              <w:jc w:val="center"/>
              <w:rPr>
                <w:rFonts w:hint="default" w:ascii="Times New Roman" w:hAnsi="Times New Roman" w:eastAsia="宋体" w:cs="Times New Roman"/>
                <w:i w:val="0"/>
                <w:iCs w:val="0"/>
                <w:color w:val="auto"/>
                <w:sz w:val="21"/>
                <w:szCs w:val="21"/>
                <w:u w:val="none"/>
              </w:rPr>
            </w:pPr>
          </w:p>
        </w:tc>
        <w:tc>
          <w:tcPr>
            <w:tcW w:w="1650" w:type="pct"/>
            <w:noWrap/>
            <w:vAlign w:val="center"/>
          </w:tcPr>
          <w:p w14:paraId="4570CE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0302竹林地</w:t>
            </w:r>
          </w:p>
        </w:tc>
        <w:tc>
          <w:tcPr>
            <w:tcW w:w="1472" w:type="pct"/>
            <w:noWrap/>
            <w:vAlign w:val="center"/>
          </w:tcPr>
          <w:p w14:paraId="5A90E6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2E48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vMerge w:val="continue"/>
            <w:noWrap/>
            <w:vAlign w:val="center"/>
          </w:tcPr>
          <w:p w14:paraId="218997B4">
            <w:pPr>
              <w:jc w:val="center"/>
              <w:rPr>
                <w:rFonts w:hint="default" w:ascii="Times New Roman" w:hAnsi="Times New Roman" w:eastAsia="宋体" w:cs="Times New Roman"/>
                <w:i w:val="0"/>
                <w:iCs w:val="0"/>
                <w:color w:val="auto"/>
                <w:sz w:val="21"/>
                <w:szCs w:val="21"/>
                <w:u w:val="none"/>
              </w:rPr>
            </w:pPr>
          </w:p>
        </w:tc>
        <w:tc>
          <w:tcPr>
            <w:tcW w:w="1650" w:type="pct"/>
            <w:noWrap/>
            <w:vAlign w:val="center"/>
          </w:tcPr>
          <w:p w14:paraId="722F49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0305灌木林地</w:t>
            </w:r>
          </w:p>
        </w:tc>
        <w:tc>
          <w:tcPr>
            <w:tcW w:w="1472" w:type="pct"/>
            <w:noWrap/>
            <w:vAlign w:val="center"/>
          </w:tcPr>
          <w:p w14:paraId="6F482F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w:t>
            </w:r>
          </w:p>
        </w:tc>
      </w:tr>
      <w:tr w14:paraId="6F6F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noWrap/>
            <w:vAlign w:val="center"/>
          </w:tcPr>
          <w:p w14:paraId="25FD70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04草地</w:t>
            </w:r>
          </w:p>
        </w:tc>
        <w:tc>
          <w:tcPr>
            <w:tcW w:w="1650" w:type="pct"/>
            <w:noWrap/>
            <w:vAlign w:val="center"/>
          </w:tcPr>
          <w:p w14:paraId="422440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0404其他草地</w:t>
            </w:r>
          </w:p>
        </w:tc>
        <w:tc>
          <w:tcPr>
            <w:tcW w:w="1472" w:type="pct"/>
            <w:noWrap/>
            <w:vAlign w:val="center"/>
          </w:tcPr>
          <w:p w14:paraId="795B75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317D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noWrap/>
            <w:vAlign w:val="center"/>
          </w:tcPr>
          <w:p w14:paraId="11BDD1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10交通运输用地</w:t>
            </w:r>
          </w:p>
        </w:tc>
        <w:tc>
          <w:tcPr>
            <w:tcW w:w="1650" w:type="pct"/>
            <w:noWrap/>
            <w:vAlign w:val="center"/>
          </w:tcPr>
          <w:p w14:paraId="01E21C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1006农村道路</w:t>
            </w:r>
          </w:p>
        </w:tc>
        <w:tc>
          <w:tcPr>
            <w:tcW w:w="1472" w:type="pct"/>
            <w:noWrap/>
            <w:vAlign w:val="center"/>
          </w:tcPr>
          <w:p w14:paraId="329EFC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w:t>
            </w:r>
          </w:p>
        </w:tc>
      </w:tr>
      <w:tr w14:paraId="7D3D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7" w:type="pct"/>
            <w:noWrap/>
            <w:vAlign w:val="center"/>
          </w:tcPr>
          <w:p w14:paraId="766DD3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11水域及水利设施用地</w:t>
            </w:r>
          </w:p>
        </w:tc>
        <w:tc>
          <w:tcPr>
            <w:tcW w:w="1650" w:type="pct"/>
            <w:noWrap/>
            <w:vAlign w:val="center"/>
          </w:tcPr>
          <w:p w14:paraId="6F4DD4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snapToGrid w:val="0"/>
                <w:color w:val="auto"/>
                <w:kern w:val="0"/>
                <w:sz w:val="22"/>
                <w:szCs w:val="22"/>
                <w:lang w:val="en-US" w:eastAsia="zh-CN"/>
              </w:rPr>
              <w:t>1104坑塘水面</w:t>
            </w:r>
          </w:p>
        </w:tc>
        <w:tc>
          <w:tcPr>
            <w:tcW w:w="1472" w:type="pct"/>
            <w:noWrap/>
            <w:vAlign w:val="center"/>
          </w:tcPr>
          <w:p w14:paraId="614A38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4326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27" w:type="pct"/>
            <w:gridSpan w:val="2"/>
            <w:noWrap/>
            <w:vAlign w:val="center"/>
          </w:tcPr>
          <w:p w14:paraId="5B99B6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472" w:type="pct"/>
            <w:noWrap/>
            <w:vAlign w:val="center"/>
          </w:tcPr>
          <w:p w14:paraId="2793FB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0.94</w:t>
            </w:r>
          </w:p>
        </w:tc>
      </w:tr>
    </w:tbl>
    <w:p w14:paraId="6DDDFCCA">
      <w:pPr>
        <w:rPr>
          <w:rFonts w:hint="default" w:ascii="Times New Roman" w:hAnsi="Times New Roman" w:eastAsia="宋体" w:cs="Times New Roman"/>
          <w:color w:val="auto"/>
        </w:rPr>
      </w:pPr>
    </w:p>
    <w:p w14:paraId="1D5F6E38">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2.</w:t>
      </w:r>
      <w:r>
        <w:rPr>
          <w:rFonts w:hint="default" w:ascii="Times New Roman" w:hAnsi="Times New Roman" w:eastAsia="宋体" w:cs="Times New Roman"/>
          <w:b/>
          <w:color w:val="auto"/>
          <w:sz w:val="26"/>
          <w:szCs w:val="26"/>
          <w:lang w:val="en-US" w:eastAsia="zh-CN"/>
        </w:rPr>
        <w:t>6</w:t>
      </w:r>
      <w:r>
        <w:rPr>
          <w:rFonts w:hint="default" w:ascii="Times New Roman" w:hAnsi="Times New Roman" w:eastAsia="宋体" w:cs="Times New Roman"/>
          <w:b/>
          <w:color w:val="auto"/>
          <w:sz w:val="26"/>
          <w:szCs w:val="26"/>
        </w:rPr>
        <w:t>.2土石方平衡</w:t>
      </w:r>
    </w:p>
    <w:p w14:paraId="0CD08273">
      <w:pPr>
        <w:pStyle w:val="93"/>
        <w:ind w:firstLine="520"/>
        <w:rPr>
          <w:rFonts w:hint="default" w:ascii="Times New Roman" w:hAnsi="Times New Roman" w:eastAsia="宋体" w:cs="Times New Roman"/>
          <w:bCs/>
          <w:color w:val="auto"/>
        </w:rPr>
      </w:pPr>
      <w:r>
        <w:rPr>
          <w:rFonts w:hint="default" w:ascii="Times New Roman" w:hAnsi="Times New Roman" w:eastAsia="宋体" w:cs="Times New Roman"/>
          <w:color w:val="auto"/>
        </w:rPr>
        <w:t>本项目共开挖土石方</w:t>
      </w:r>
      <w:r>
        <w:rPr>
          <w:rFonts w:hint="default" w:ascii="Times New Roman" w:hAnsi="Times New Roman" w:eastAsia="宋体" w:cs="Times New Roman"/>
          <w:color w:val="auto"/>
          <w:lang w:val="en-US" w:eastAsia="zh-CN"/>
        </w:rPr>
        <w:t>5808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，回填土石方</w:t>
      </w:r>
      <w:r>
        <w:rPr>
          <w:rFonts w:hint="default" w:ascii="Times New Roman" w:hAnsi="Times New Roman" w:eastAsia="宋体" w:cs="Times New Roman"/>
          <w:color w:val="auto"/>
          <w:lang w:val="en-US" w:eastAsia="zh-CN"/>
        </w:rPr>
        <w:t>5808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无弃方产生。根据同类输气管线的施工经验，项目开挖过程中产生的土石方沿管线分布，较为分散，且大部分可用于回填，回填平整后多余的土石方也将平摊到项目开挖区域，对地形地貌影响甚微，因此，本项目施工期产生的土石方全部就地回填可行。</w:t>
      </w:r>
    </w:p>
    <w:p w14:paraId="4455242F">
      <w:pPr>
        <w:adjustRightInd w:val="0"/>
        <w:snapToGrid w:val="0"/>
        <w:spacing w:line="500" w:lineRule="exact"/>
        <w:rPr>
          <w:rFonts w:hint="default" w:ascii="Times New Roman" w:hAnsi="Times New Roman" w:eastAsia="宋体" w:cs="Times New Roman"/>
          <w:color w:val="auto"/>
          <w:sz w:val="26"/>
          <w:szCs w:val="26"/>
        </w:rPr>
      </w:pPr>
    </w:p>
    <w:p w14:paraId="502AA7E1">
      <w:pPr>
        <w:pStyle w:val="28"/>
        <w:rPr>
          <w:rFonts w:hint="default" w:ascii="Times New Roman" w:hAnsi="Times New Roman" w:eastAsia="宋体" w:cs="Times New Roman"/>
          <w:color w:val="auto"/>
        </w:rPr>
        <w:sectPr>
          <w:pgSz w:w="11906" w:h="16838"/>
          <w:pgMar w:top="1440" w:right="1803" w:bottom="1440" w:left="1803" w:header="851" w:footer="992" w:gutter="0"/>
          <w:pgBorders>
            <w:top w:val="none" w:sz="0" w:space="0"/>
            <w:left w:val="none" w:sz="0" w:space="0"/>
            <w:bottom w:val="none" w:sz="0" w:space="0"/>
            <w:right w:val="none" w:sz="0" w:space="0"/>
          </w:pgBorders>
          <w:cols w:space="720" w:num="1"/>
          <w:docGrid w:linePitch="312" w:charSpace="0"/>
        </w:sectPr>
      </w:pPr>
    </w:p>
    <w:p w14:paraId="3875E6F5">
      <w:pPr>
        <w:adjustRightInd w:val="0"/>
        <w:snapToGrid w:val="0"/>
        <w:spacing w:after="120" w:afterLines="50"/>
        <w:jc w:val="center"/>
        <w:outlineLvl w:val="0"/>
        <w:rPr>
          <w:rFonts w:hint="default" w:ascii="Times New Roman" w:hAnsi="Times New Roman" w:eastAsia="宋体" w:cs="Times New Roman"/>
          <w:b/>
          <w:color w:val="auto"/>
          <w:sz w:val="32"/>
          <w:szCs w:val="32"/>
        </w:rPr>
      </w:pPr>
      <w:bookmarkStart w:id="258" w:name="_Toc8938"/>
      <w:bookmarkStart w:id="259" w:name="_Toc45551078"/>
      <w:bookmarkStart w:id="260" w:name="_Toc12442"/>
      <w:bookmarkStart w:id="261" w:name="_Toc60144392"/>
      <w:r>
        <w:rPr>
          <w:rFonts w:hint="default" w:ascii="Times New Roman" w:hAnsi="Times New Roman" w:eastAsia="宋体" w:cs="Times New Roman"/>
          <w:b/>
          <w:color w:val="auto"/>
          <w:sz w:val="32"/>
          <w:szCs w:val="32"/>
        </w:rPr>
        <w:t>3工程分析</w:t>
      </w:r>
      <w:bookmarkEnd w:id="258"/>
      <w:bookmarkEnd w:id="259"/>
      <w:bookmarkEnd w:id="260"/>
      <w:bookmarkEnd w:id="261"/>
    </w:p>
    <w:p w14:paraId="3336C43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管道项目对环境的影响可分为施工期和运营期。根据本工程的特点，施工期主要活动是敷设管道，对环境的影响主要表现在对生态的影响；运营期主要活动为天然气输送，对环境的影响主要表现为管道运营过程中存在的环境风险。</w:t>
      </w:r>
    </w:p>
    <w:p w14:paraId="7584CE76">
      <w:pPr>
        <w:adjustRightInd w:val="0"/>
        <w:snapToGrid w:val="0"/>
        <w:spacing w:line="500" w:lineRule="exact"/>
        <w:ind w:firstLine="522" w:firstLineChars="200"/>
        <w:outlineLvl w:val="1"/>
        <w:rPr>
          <w:rFonts w:hint="default" w:ascii="Times New Roman" w:hAnsi="Times New Roman" w:eastAsia="宋体" w:cs="Times New Roman"/>
          <w:b/>
          <w:color w:val="auto"/>
          <w:sz w:val="26"/>
          <w:szCs w:val="26"/>
        </w:rPr>
      </w:pPr>
      <w:bookmarkStart w:id="262" w:name="_Toc1473"/>
      <w:bookmarkStart w:id="263" w:name="_Toc45551079"/>
      <w:bookmarkStart w:id="264" w:name="_Toc18791"/>
      <w:bookmarkStart w:id="265" w:name="_Toc60144393"/>
      <w:r>
        <w:rPr>
          <w:rFonts w:hint="default" w:ascii="Times New Roman" w:hAnsi="Times New Roman" w:eastAsia="宋体" w:cs="Times New Roman"/>
          <w:b/>
          <w:color w:val="auto"/>
          <w:sz w:val="26"/>
          <w:szCs w:val="26"/>
        </w:rPr>
        <w:t>3.1施工期环境影响因素分析</w:t>
      </w:r>
      <w:bookmarkEnd w:id="262"/>
      <w:bookmarkEnd w:id="263"/>
      <w:bookmarkEnd w:id="264"/>
      <w:bookmarkEnd w:id="265"/>
    </w:p>
    <w:p w14:paraId="35685620">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3.1.1施工工艺及产污特点</w:t>
      </w:r>
    </w:p>
    <w:p w14:paraId="7A0ED0C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（一）施工工艺</w:t>
      </w:r>
    </w:p>
    <w:p w14:paraId="63F25E5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本项目施工工艺主要包括施工准备、管沟开挖、组装下沟、覆土回填、试压清管等工艺，本项目主要施工工序及主要产污环节见下图。</w:t>
      </w:r>
    </w:p>
    <w:p w14:paraId="6AFABB81">
      <w:pPr>
        <w:pStyle w:val="56"/>
        <w:spacing w:line="240" w:lineRule="auto"/>
        <w:rPr>
          <w:rFonts w:hint="default" w:ascii="Times New Roman" w:hAnsi="Times New Roman" w:eastAsia="宋体" w:cs="Times New Roman"/>
          <w:color w:val="auto"/>
        </w:rPr>
      </w:pPr>
    </w:p>
    <w:p w14:paraId="3525F7BA">
      <w:pPr>
        <w:adjustRightInd w:val="0"/>
        <w:snapToGrid w:val="0"/>
        <w:ind w:firstLine="360" w:firstLineChars="15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mc:AlternateContent>
          <mc:Choice Requires="wpc">
            <w:drawing>
              <wp:inline distT="0" distB="0" distL="114300" distR="114300">
                <wp:extent cx="4805045" cy="4087495"/>
                <wp:effectExtent l="4445" t="5080" r="10160" b="22225"/>
                <wp:docPr id="34" name="画布 9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1" name="文本框 10"/>
                        <wps:cNvSpPr txBox="1"/>
                        <wps:spPr>
                          <a:xfrm>
                            <a:off x="646430" y="36195"/>
                            <a:ext cx="915035" cy="447675"/>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0891FEB9">
                              <w:pPr>
                                <w:jc w:val="center"/>
                                <w:rPr>
                                  <w:sz w:val="22"/>
                                  <w:szCs w:val="22"/>
                                </w:rPr>
                              </w:pPr>
                              <w:r>
                                <w:rPr>
                                  <w:rFonts w:hint="eastAsia"/>
                                  <w:sz w:val="22"/>
                                  <w:szCs w:val="22"/>
                                </w:rPr>
                                <w:t>噪声、扬尘</w:t>
                              </w:r>
                            </w:p>
                            <w:p w14:paraId="7BEE79F7">
                              <w:pPr>
                                <w:jc w:val="center"/>
                                <w:rPr>
                                  <w:sz w:val="22"/>
                                  <w:szCs w:val="22"/>
                                </w:rPr>
                              </w:pPr>
                              <w:r>
                                <w:rPr>
                                  <w:rFonts w:hint="eastAsia"/>
                                  <w:sz w:val="22"/>
                                  <w:szCs w:val="22"/>
                                </w:rPr>
                                <w:t>土石方</w:t>
                              </w:r>
                            </w:p>
                          </w:txbxContent>
                        </wps:txbx>
                        <wps:bodyPr upright="1"/>
                      </wps:wsp>
                      <wps:wsp>
                        <wps:cNvPr id="2" name="直线 11"/>
                        <wps:cNvCnPr/>
                        <wps:spPr>
                          <a:xfrm flipH="1" flipV="1">
                            <a:off x="1561465" y="254635"/>
                            <a:ext cx="262255" cy="635"/>
                          </a:xfrm>
                          <a:prstGeom prst="line">
                            <a:avLst/>
                          </a:prstGeom>
                          <a:ln w="9525" cap="flat" cmpd="sng">
                            <a:solidFill>
                              <a:srgbClr val="000000"/>
                            </a:solidFill>
                            <a:prstDash val="dash"/>
                            <a:headEnd type="none" w="med" len="med"/>
                            <a:tailEnd type="triangle" w="med" len="med"/>
                          </a:ln>
                        </wps:spPr>
                        <wps:bodyPr upright="1"/>
                      </wps:wsp>
                      <wps:wsp>
                        <wps:cNvPr id="3" name="直线 12"/>
                        <wps:cNvCnPr/>
                        <wps:spPr>
                          <a:xfrm>
                            <a:off x="2309495" y="500380"/>
                            <a:ext cx="635" cy="205105"/>
                          </a:xfrm>
                          <a:prstGeom prst="line">
                            <a:avLst/>
                          </a:prstGeom>
                          <a:ln w="9525" cap="flat" cmpd="sng">
                            <a:solidFill>
                              <a:srgbClr val="000000"/>
                            </a:solidFill>
                            <a:prstDash val="solid"/>
                            <a:headEnd type="none" w="med" len="med"/>
                            <a:tailEnd type="triangle" w="med" len="med"/>
                          </a:ln>
                        </wps:spPr>
                        <wps:bodyPr upright="1"/>
                      </wps:wsp>
                      <wps:wsp>
                        <wps:cNvPr id="4" name="文本框 13"/>
                        <wps:cNvSpPr txBox="1"/>
                        <wps:spPr>
                          <a:xfrm>
                            <a:off x="2669540" y="952500"/>
                            <a:ext cx="758190"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B50E4A">
                              <w:pPr>
                                <w:jc w:val="center"/>
                                <w:rPr>
                                  <w:sz w:val="22"/>
                                  <w:szCs w:val="22"/>
                                </w:rPr>
                              </w:pPr>
                              <w:r>
                                <w:rPr>
                                  <w:rFonts w:hint="eastAsia"/>
                                  <w:sz w:val="22"/>
                                  <w:szCs w:val="22"/>
                                </w:rPr>
                                <w:t>管沟开挖</w:t>
                              </w:r>
                            </w:p>
                            <w:p w14:paraId="55101610">
                              <w:pPr>
                                <w:jc w:val="center"/>
                              </w:pPr>
                            </w:p>
                          </w:txbxContent>
                        </wps:txbx>
                        <wps:bodyPr upright="1"/>
                      </wps:wsp>
                      <wps:wsp>
                        <wps:cNvPr id="5" name="文本框 14"/>
                        <wps:cNvSpPr txBox="1"/>
                        <wps:spPr>
                          <a:xfrm>
                            <a:off x="1823720" y="43180"/>
                            <a:ext cx="104457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976656">
                              <w:pPr>
                                <w:jc w:val="center"/>
                                <w:rPr>
                                  <w:sz w:val="22"/>
                                  <w:szCs w:val="22"/>
                                </w:rPr>
                              </w:pPr>
                              <w:r>
                                <w:rPr>
                                  <w:rFonts w:hint="eastAsia"/>
                                  <w:sz w:val="22"/>
                                  <w:szCs w:val="22"/>
                                </w:rPr>
                                <w:t>作业</w:t>
                              </w:r>
                              <w:r>
                                <w:rPr>
                                  <w:sz w:val="22"/>
                                  <w:szCs w:val="22"/>
                                </w:rPr>
                                <w:t>线路</w:t>
                              </w:r>
                            </w:p>
                            <w:p w14:paraId="1D7C34ED">
                              <w:pPr>
                                <w:jc w:val="center"/>
                              </w:pPr>
                              <w:r>
                                <w:rPr>
                                  <w:sz w:val="22"/>
                                  <w:szCs w:val="22"/>
                                </w:rPr>
                                <w:t>清理</w:t>
                              </w:r>
                            </w:p>
                          </w:txbxContent>
                        </wps:txbx>
                        <wps:bodyPr upright="1"/>
                      </wps:wsp>
                      <wps:wsp>
                        <wps:cNvPr id="6" name="文本框 15"/>
                        <wps:cNvSpPr txBox="1"/>
                        <wps:spPr>
                          <a:xfrm>
                            <a:off x="1458595" y="1670685"/>
                            <a:ext cx="196913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2E9432">
                              <w:pPr>
                                <w:jc w:val="center"/>
                                <w:rPr>
                                  <w:sz w:val="22"/>
                                  <w:szCs w:val="22"/>
                                </w:rPr>
                              </w:pPr>
                              <w:r>
                                <w:rPr>
                                  <w:sz w:val="22"/>
                                  <w:szCs w:val="22"/>
                                </w:rPr>
                                <w:t>布管、焊接</w:t>
                              </w:r>
                              <w:r>
                                <w:rPr>
                                  <w:rFonts w:hint="eastAsia"/>
                                  <w:sz w:val="22"/>
                                  <w:szCs w:val="22"/>
                                </w:rPr>
                                <w:t>、检验</w:t>
                              </w:r>
                            </w:p>
                            <w:p w14:paraId="78B904B1">
                              <w:pPr>
                                <w:jc w:val="center"/>
                              </w:pPr>
                            </w:p>
                          </w:txbxContent>
                        </wps:txbx>
                        <wps:bodyPr upright="1"/>
                      </wps:wsp>
                      <wps:wsp>
                        <wps:cNvPr id="7" name="文本框 17"/>
                        <wps:cNvSpPr txBox="1"/>
                        <wps:spPr>
                          <a:xfrm>
                            <a:off x="423545" y="1597660"/>
                            <a:ext cx="751840" cy="283210"/>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4CFB1DE3">
                              <w:pPr>
                                <w:jc w:val="center"/>
                                <w:rPr>
                                  <w:sz w:val="22"/>
                                  <w:szCs w:val="22"/>
                                </w:rPr>
                              </w:pPr>
                              <w:r>
                                <w:rPr>
                                  <w:rFonts w:hint="eastAsia"/>
                                  <w:sz w:val="22"/>
                                  <w:szCs w:val="22"/>
                                </w:rPr>
                                <w:t>固体废物</w:t>
                              </w:r>
                            </w:p>
                          </w:txbxContent>
                        </wps:txbx>
                        <wps:bodyPr upright="1"/>
                      </wps:wsp>
                      <wps:wsp>
                        <wps:cNvPr id="8" name="自选图形 18"/>
                        <wps:cNvCnPr/>
                        <wps:spPr>
                          <a:xfrm>
                            <a:off x="1671320" y="725805"/>
                            <a:ext cx="1276350" cy="635"/>
                          </a:xfrm>
                          <a:prstGeom prst="straightConnector1">
                            <a:avLst/>
                          </a:prstGeom>
                          <a:ln w="9525" cap="flat" cmpd="sng">
                            <a:solidFill>
                              <a:srgbClr val="000000"/>
                            </a:solidFill>
                            <a:prstDash val="solid"/>
                            <a:headEnd type="none" w="med" len="med"/>
                            <a:tailEnd type="none" w="med" len="med"/>
                          </a:ln>
                        </wps:spPr>
                        <wps:bodyPr/>
                      </wps:wsp>
                      <wps:wsp>
                        <wps:cNvPr id="9" name="直线 19"/>
                        <wps:cNvCnPr/>
                        <wps:spPr>
                          <a:xfrm>
                            <a:off x="1680210" y="738505"/>
                            <a:ext cx="635" cy="205105"/>
                          </a:xfrm>
                          <a:prstGeom prst="line">
                            <a:avLst/>
                          </a:prstGeom>
                          <a:ln w="9525" cap="flat" cmpd="sng">
                            <a:solidFill>
                              <a:srgbClr val="000000"/>
                            </a:solidFill>
                            <a:prstDash val="solid"/>
                            <a:headEnd type="none" w="med" len="med"/>
                            <a:tailEnd type="triangle" w="med" len="med"/>
                          </a:ln>
                        </wps:spPr>
                        <wps:bodyPr upright="1"/>
                      </wps:wsp>
                      <wps:wsp>
                        <wps:cNvPr id="10" name="直线 20"/>
                        <wps:cNvCnPr/>
                        <wps:spPr>
                          <a:xfrm>
                            <a:off x="2947035" y="737870"/>
                            <a:ext cx="635" cy="205105"/>
                          </a:xfrm>
                          <a:prstGeom prst="line">
                            <a:avLst/>
                          </a:prstGeom>
                          <a:ln w="9525" cap="flat" cmpd="sng">
                            <a:solidFill>
                              <a:srgbClr val="000000"/>
                            </a:solidFill>
                            <a:prstDash val="solid"/>
                            <a:headEnd type="none" w="med" len="med"/>
                            <a:tailEnd type="triangle" w="med" len="med"/>
                          </a:ln>
                        </wps:spPr>
                        <wps:bodyPr upright="1"/>
                      </wps:wsp>
                      <wps:wsp>
                        <wps:cNvPr id="11" name="文本框 21"/>
                        <wps:cNvSpPr txBox="1"/>
                        <wps:spPr>
                          <a:xfrm>
                            <a:off x="586740" y="962025"/>
                            <a:ext cx="138493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E50702">
                              <w:pPr>
                                <w:jc w:val="center"/>
                                <w:rPr>
                                  <w:sz w:val="22"/>
                                  <w:szCs w:val="22"/>
                                </w:rPr>
                              </w:pPr>
                              <w:r>
                                <w:rPr>
                                  <w:rFonts w:hint="eastAsia"/>
                                  <w:sz w:val="22"/>
                                  <w:szCs w:val="22"/>
                                </w:rPr>
                                <w:t>碰口操作坑开挖等</w:t>
                              </w:r>
                            </w:p>
                            <w:p w14:paraId="64ABE7CF">
                              <w:pPr>
                                <w:jc w:val="center"/>
                              </w:pPr>
                            </w:p>
                          </w:txbxContent>
                        </wps:txbx>
                        <wps:bodyPr upright="1"/>
                      </wps:wsp>
                      <wps:wsp>
                        <wps:cNvPr id="12" name="文本框 22"/>
                        <wps:cNvSpPr txBox="1"/>
                        <wps:spPr>
                          <a:xfrm>
                            <a:off x="3103880" y="36195"/>
                            <a:ext cx="915035" cy="447675"/>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4729DC8E">
                              <w:pPr>
                                <w:jc w:val="center"/>
                                <w:rPr>
                                  <w:sz w:val="22"/>
                                  <w:szCs w:val="22"/>
                                </w:rPr>
                              </w:pPr>
                              <w:r>
                                <w:rPr>
                                  <w:rFonts w:hint="eastAsia"/>
                                  <w:sz w:val="22"/>
                                  <w:szCs w:val="22"/>
                                </w:rPr>
                                <w:t>噪声、扬尘</w:t>
                              </w:r>
                            </w:p>
                            <w:p w14:paraId="1712E994">
                              <w:pPr>
                                <w:jc w:val="center"/>
                                <w:rPr>
                                  <w:sz w:val="22"/>
                                  <w:szCs w:val="22"/>
                                </w:rPr>
                              </w:pPr>
                              <w:r>
                                <w:rPr>
                                  <w:rFonts w:hint="eastAsia"/>
                                  <w:sz w:val="22"/>
                                  <w:szCs w:val="22"/>
                                </w:rPr>
                                <w:t>土石方</w:t>
                              </w:r>
                            </w:p>
                          </w:txbxContent>
                        </wps:txbx>
                        <wps:bodyPr upright="1"/>
                      </wps:wsp>
                      <wps:wsp>
                        <wps:cNvPr id="13" name="直线 23"/>
                        <wps:cNvCnPr/>
                        <wps:spPr>
                          <a:xfrm flipH="1" flipV="1">
                            <a:off x="3263265" y="490855"/>
                            <a:ext cx="635" cy="452755"/>
                          </a:xfrm>
                          <a:prstGeom prst="line">
                            <a:avLst/>
                          </a:prstGeom>
                          <a:ln w="9525" cap="flat" cmpd="sng">
                            <a:solidFill>
                              <a:srgbClr val="000000"/>
                            </a:solidFill>
                            <a:prstDash val="dash"/>
                            <a:headEnd type="none" w="med" len="med"/>
                            <a:tailEnd type="triangle" w="med" len="med"/>
                          </a:ln>
                        </wps:spPr>
                        <wps:bodyPr upright="1"/>
                      </wps:wsp>
                      <wps:wsp>
                        <wps:cNvPr id="14" name="直线 24"/>
                        <wps:cNvCnPr/>
                        <wps:spPr>
                          <a:xfrm flipH="1" flipV="1">
                            <a:off x="1174750" y="493395"/>
                            <a:ext cx="635" cy="452755"/>
                          </a:xfrm>
                          <a:prstGeom prst="line">
                            <a:avLst/>
                          </a:prstGeom>
                          <a:ln w="9525" cap="flat" cmpd="sng">
                            <a:solidFill>
                              <a:srgbClr val="000000"/>
                            </a:solidFill>
                            <a:prstDash val="dash"/>
                            <a:headEnd type="none" w="med" len="med"/>
                            <a:tailEnd type="triangle" w="med" len="med"/>
                          </a:ln>
                        </wps:spPr>
                        <wps:bodyPr upright="1"/>
                      </wps:wsp>
                      <wps:wsp>
                        <wps:cNvPr id="15" name="自选图形 25"/>
                        <wps:cNvCnPr/>
                        <wps:spPr>
                          <a:xfrm>
                            <a:off x="1671320" y="1461770"/>
                            <a:ext cx="1276350" cy="635"/>
                          </a:xfrm>
                          <a:prstGeom prst="straightConnector1">
                            <a:avLst/>
                          </a:prstGeom>
                          <a:ln w="9525" cap="flat" cmpd="sng">
                            <a:solidFill>
                              <a:srgbClr val="000000"/>
                            </a:solidFill>
                            <a:prstDash val="solid"/>
                            <a:headEnd type="none" w="med" len="med"/>
                            <a:tailEnd type="none" w="med" len="med"/>
                          </a:ln>
                        </wps:spPr>
                        <wps:bodyPr/>
                      </wps:wsp>
                      <wps:wsp>
                        <wps:cNvPr id="16" name="直线 26"/>
                        <wps:cNvCnPr/>
                        <wps:spPr>
                          <a:xfrm>
                            <a:off x="2308860" y="1462405"/>
                            <a:ext cx="635" cy="205105"/>
                          </a:xfrm>
                          <a:prstGeom prst="line">
                            <a:avLst/>
                          </a:prstGeom>
                          <a:ln w="9525" cap="flat" cmpd="sng">
                            <a:solidFill>
                              <a:srgbClr val="000000"/>
                            </a:solidFill>
                            <a:prstDash val="solid"/>
                            <a:headEnd type="none" w="med" len="med"/>
                            <a:tailEnd type="triangle" w="med" len="med"/>
                          </a:ln>
                        </wps:spPr>
                        <wps:bodyPr upright="1"/>
                      </wps:wsp>
                      <wps:wsp>
                        <wps:cNvPr id="17" name="直线 27"/>
                        <wps:cNvCnPr/>
                        <wps:spPr>
                          <a:xfrm>
                            <a:off x="1670685" y="1247140"/>
                            <a:ext cx="635" cy="205105"/>
                          </a:xfrm>
                          <a:prstGeom prst="line">
                            <a:avLst/>
                          </a:prstGeom>
                          <a:ln w="9525" cap="flat" cmpd="sng">
                            <a:solidFill>
                              <a:srgbClr val="000000"/>
                            </a:solidFill>
                            <a:prstDash val="solid"/>
                            <a:headEnd type="none" w="med" len="med"/>
                            <a:tailEnd type="triangle" w="med" len="med"/>
                          </a:ln>
                        </wps:spPr>
                        <wps:bodyPr upright="1"/>
                      </wps:wsp>
                      <wps:wsp>
                        <wps:cNvPr id="18" name="直线 28"/>
                        <wps:cNvCnPr/>
                        <wps:spPr>
                          <a:xfrm>
                            <a:off x="2947035" y="1247775"/>
                            <a:ext cx="635" cy="205105"/>
                          </a:xfrm>
                          <a:prstGeom prst="line">
                            <a:avLst/>
                          </a:prstGeom>
                          <a:ln w="9525" cap="flat" cmpd="sng">
                            <a:solidFill>
                              <a:srgbClr val="000000"/>
                            </a:solidFill>
                            <a:prstDash val="solid"/>
                            <a:headEnd type="none" w="med" len="med"/>
                            <a:tailEnd type="triangle" w="med" len="med"/>
                          </a:ln>
                        </wps:spPr>
                        <wps:bodyPr upright="1"/>
                      </wps:wsp>
                      <wps:wsp>
                        <wps:cNvPr id="19" name="直线 29"/>
                        <wps:cNvCnPr/>
                        <wps:spPr>
                          <a:xfrm>
                            <a:off x="2308225" y="1948180"/>
                            <a:ext cx="635" cy="205105"/>
                          </a:xfrm>
                          <a:prstGeom prst="line">
                            <a:avLst/>
                          </a:prstGeom>
                          <a:ln w="9525" cap="flat" cmpd="sng">
                            <a:solidFill>
                              <a:srgbClr val="000000"/>
                            </a:solidFill>
                            <a:prstDash val="solid"/>
                            <a:headEnd type="none" w="med" len="med"/>
                            <a:tailEnd type="triangle" w="med" len="med"/>
                          </a:ln>
                        </wps:spPr>
                        <wps:bodyPr upright="1"/>
                      </wps:wsp>
                      <wps:wsp>
                        <wps:cNvPr id="20" name="文本框 30"/>
                        <wps:cNvSpPr txBox="1"/>
                        <wps:spPr>
                          <a:xfrm>
                            <a:off x="1856105" y="2146935"/>
                            <a:ext cx="157162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10F4A1">
                              <w:pPr>
                                <w:jc w:val="center"/>
                                <w:rPr>
                                  <w:sz w:val="22"/>
                                  <w:szCs w:val="22"/>
                                </w:rPr>
                              </w:pPr>
                              <w:r>
                                <w:rPr>
                                  <w:rFonts w:hint="eastAsia"/>
                                  <w:sz w:val="22"/>
                                  <w:szCs w:val="22"/>
                                </w:rPr>
                                <w:t>管道</w:t>
                              </w:r>
                              <w:r>
                                <w:rPr>
                                  <w:sz w:val="22"/>
                                  <w:szCs w:val="22"/>
                                </w:rPr>
                                <w:t>入沟</w:t>
                              </w:r>
                              <w:r>
                                <w:rPr>
                                  <w:rFonts w:hint="eastAsia"/>
                                  <w:sz w:val="22"/>
                                  <w:szCs w:val="22"/>
                                </w:rPr>
                                <w:t>、覆土</w:t>
                              </w:r>
                              <w:r>
                                <w:rPr>
                                  <w:sz w:val="22"/>
                                  <w:szCs w:val="22"/>
                                </w:rPr>
                                <w:t>回填</w:t>
                              </w:r>
                            </w:p>
                            <w:p w14:paraId="4D4CCE1C">
                              <w:pPr>
                                <w:jc w:val="center"/>
                              </w:pPr>
                            </w:p>
                          </w:txbxContent>
                        </wps:txbx>
                        <wps:bodyPr upright="1"/>
                      </wps:wsp>
                      <wps:wsp>
                        <wps:cNvPr id="21" name="直线 31"/>
                        <wps:cNvCnPr/>
                        <wps:spPr>
                          <a:xfrm>
                            <a:off x="2310130" y="2414905"/>
                            <a:ext cx="635" cy="205105"/>
                          </a:xfrm>
                          <a:prstGeom prst="line">
                            <a:avLst/>
                          </a:prstGeom>
                          <a:ln w="9525" cap="flat" cmpd="sng">
                            <a:solidFill>
                              <a:srgbClr val="000000"/>
                            </a:solidFill>
                            <a:prstDash val="solid"/>
                            <a:headEnd type="none" w="med" len="med"/>
                            <a:tailEnd type="triangle" w="med" len="med"/>
                          </a:ln>
                        </wps:spPr>
                        <wps:bodyPr upright="1"/>
                      </wps:wsp>
                      <wps:wsp>
                        <wps:cNvPr id="22" name="文本框 32"/>
                        <wps:cNvSpPr txBox="1"/>
                        <wps:spPr>
                          <a:xfrm>
                            <a:off x="1659255" y="2620010"/>
                            <a:ext cx="176847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B07B70">
                              <w:pPr>
                                <w:jc w:val="center"/>
                                <w:rPr>
                                  <w:sz w:val="22"/>
                                  <w:szCs w:val="22"/>
                                </w:rPr>
                              </w:pPr>
                              <w:r>
                                <w:rPr>
                                  <w:rFonts w:hint="eastAsia"/>
                                  <w:sz w:val="22"/>
                                  <w:szCs w:val="22"/>
                                </w:rPr>
                                <w:t>清管</w:t>
                              </w:r>
                              <w:r>
                                <w:rPr>
                                  <w:sz w:val="22"/>
                                  <w:szCs w:val="22"/>
                                </w:rPr>
                                <w:t>、试压</w:t>
                              </w:r>
                              <w:r>
                                <w:rPr>
                                  <w:rFonts w:hint="eastAsia"/>
                                  <w:sz w:val="22"/>
                                  <w:szCs w:val="22"/>
                                </w:rPr>
                                <w:t>、干燥、置换</w:t>
                              </w:r>
                            </w:p>
                            <w:p w14:paraId="79AB9066">
                              <w:pPr>
                                <w:jc w:val="center"/>
                              </w:pPr>
                            </w:p>
                          </w:txbxContent>
                        </wps:txbx>
                        <wps:bodyPr upright="1"/>
                      </wps:wsp>
                      <wps:wsp>
                        <wps:cNvPr id="23" name="直线 33"/>
                        <wps:cNvCnPr/>
                        <wps:spPr>
                          <a:xfrm>
                            <a:off x="2308225" y="2900680"/>
                            <a:ext cx="635" cy="205105"/>
                          </a:xfrm>
                          <a:prstGeom prst="line">
                            <a:avLst/>
                          </a:prstGeom>
                          <a:ln w="9525" cap="flat" cmpd="sng">
                            <a:solidFill>
                              <a:srgbClr val="000000"/>
                            </a:solidFill>
                            <a:prstDash val="solid"/>
                            <a:headEnd type="none" w="med" len="med"/>
                            <a:tailEnd type="triangle" w="med" len="med"/>
                          </a:ln>
                        </wps:spPr>
                        <wps:bodyPr upright="1"/>
                      </wps:wsp>
                      <wps:wsp>
                        <wps:cNvPr id="24" name="文本框 34"/>
                        <wps:cNvSpPr txBox="1"/>
                        <wps:spPr>
                          <a:xfrm>
                            <a:off x="1595755" y="3134360"/>
                            <a:ext cx="1463040"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80D287">
                              <w:pPr>
                                <w:jc w:val="center"/>
                                <w:rPr>
                                  <w:sz w:val="22"/>
                                  <w:szCs w:val="22"/>
                                </w:rPr>
                              </w:pPr>
                              <w:r>
                                <w:rPr>
                                  <w:rFonts w:hint="eastAsia"/>
                                  <w:sz w:val="22"/>
                                  <w:szCs w:val="22"/>
                                </w:rPr>
                                <w:t>现场清理</w:t>
                              </w:r>
                              <w:r>
                                <w:rPr>
                                  <w:sz w:val="22"/>
                                  <w:szCs w:val="22"/>
                                </w:rPr>
                                <w:t>、</w:t>
                              </w:r>
                              <w:r>
                                <w:rPr>
                                  <w:rFonts w:hint="eastAsia"/>
                                  <w:sz w:val="22"/>
                                  <w:szCs w:val="22"/>
                                </w:rPr>
                                <w:t>恢复</w:t>
                              </w:r>
                              <w:r>
                                <w:rPr>
                                  <w:sz w:val="22"/>
                                  <w:szCs w:val="22"/>
                                </w:rPr>
                                <w:t>地貌</w:t>
                              </w:r>
                            </w:p>
                            <w:p w14:paraId="0CBE58E5">
                              <w:pPr>
                                <w:jc w:val="center"/>
                              </w:pPr>
                            </w:p>
                          </w:txbxContent>
                        </wps:txbx>
                        <wps:bodyPr upright="1"/>
                      </wps:wsp>
                      <wps:wsp>
                        <wps:cNvPr id="25" name="直线 35"/>
                        <wps:cNvCnPr/>
                        <wps:spPr>
                          <a:xfrm>
                            <a:off x="2313305" y="3437890"/>
                            <a:ext cx="635" cy="205105"/>
                          </a:xfrm>
                          <a:prstGeom prst="line">
                            <a:avLst/>
                          </a:prstGeom>
                          <a:ln w="9525" cap="flat" cmpd="sng">
                            <a:solidFill>
                              <a:srgbClr val="000000"/>
                            </a:solidFill>
                            <a:prstDash val="solid"/>
                            <a:headEnd type="none" w="med" len="med"/>
                            <a:tailEnd type="triangle" w="med" len="med"/>
                          </a:ln>
                        </wps:spPr>
                        <wps:bodyPr upright="1"/>
                      </wps:wsp>
                      <wps:wsp>
                        <wps:cNvPr id="26" name="文本框 38"/>
                        <wps:cNvSpPr txBox="1"/>
                        <wps:spPr>
                          <a:xfrm>
                            <a:off x="1906270" y="3709670"/>
                            <a:ext cx="81343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39184F">
                              <w:pPr>
                                <w:jc w:val="center"/>
                                <w:rPr>
                                  <w:sz w:val="22"/>
                                  <w:szCs w:val="22"/>
                                </w:rPr>
                              </w:pPr>
                              <w:r>
                                <w:rPr>
                                  <w:rFonts w:hint="eastAsia"/>
                                  <w:sz w:val="22"/>
                                  <w:szCs w:val="22"/>
                                </w:rPr>
                                <w:t>竣工验收</w:t>
                              </w:r>
                            </w:p>
                            <w:p w14:paraId="5D4E36FD">
                              <w:pPr>
                                <w:jc w:val="center"/>
                              </w:pPr>
                            </w:p>
                          </w:txbxContent>
                        </wps:txbx>
                        <wps:bodyPr upright="1"/>
                      </wps:wsp>
                      <wps:wsp>
                        <wps:cNvPr id="27" name="直线 39"/>
                        <wps:cNvCnPr/>
                        <wps:spPr>
                          <a:xfrm flipV="1">
                            <a:off x="2719705" y="3860800"/>
                            <a:ext cx="450850" cy="635"/>
                          </a:xfrm>
                          <a:prstGeom prst="line">
                            <a:avLst/>
                          </a:prstGeom>
                          <a:ln w="9525" cap="flat" cmpd="sng">
                            <a:solidFill>
                              <a:srgbClr val="000000"/>
                            </a:solidFill>
                            <a:prstDash val="solid"/>
                            <a:headEnd type="none" w="med" len="med"/>
                            <a:tailEnd type="triangle" w="med" len="med"/>
                          </a:ln>
                        </wps:spPr>
                        <wps:bodyPr upright="1"/>
                      </wps:wsp>
                      <wps:wsp>
                        <wps:cNvPr id="28" name="文本框 40"/>
                        <wps:cNvSpPr txBox="1"/>
                        <wps:spPr>
                          <a:xfrm>
                            <a:off x="3171825" y="3728085"/>
                            <a:ext cx="813435"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7795A9">
                              <w:pPr>
                                <w:jc w:val="center"/>
                                <w:rPr>
                                  <w:sz w:val="22"/>
                                  <w:szCs w:val="22"/>
                                </w:rPr>
                              </w:pPr>
                              <w:r>
                                <w:rPr>
                                  <w:rFonts w:hint="eastAsia"/>
                                  <w:sz w:val="22"/>
                                  <w:szCs w:val="22"/>
                                </w:rPr>
                                <w:t>投入运行</w:t>
                              </w:r>
                            </w:p>
                            <w:p w14:paraId="18BED4A3">
                              <w:pPr>
                                <w:jc w:val="center"/>
                              </w:pPr>
                            </w:p>
                          </w:txbxContent>
                        </wps:txbx>
                        <wps:bodyPr upright="1"/>
                      </wps:wsp>
                      <wps:wsp>
                        <wps:cNvPr id="29" name="直线 41"/>
                        <wps:cNvCnPr/>
                        <wps:spPr>
                          <a:xfrm flipH="1" flipV="1">
                            <a:off x="1584960" y="2211705"/>
                            <a:ext cx="262255" cy="57785"/>
                          </a:xfrm>
                          <a:prstGeom prst="line">
                            <a:avLst/>
                          </a:prstGeom>
                          <a:ln w="9525" cap="flat" cmpd="sng">
                            <a:solidFill>
                              <a:srgbClr val="000000"/>
                            </a:solidFill>
                            <a:prstDash val="dash"/>
                            <a:headEnd type="none" w="med" len="med"/>
                            <a:tailEnd type="triangle" w="med" len="med"/>
                          </a:ln>
                        </wps:spPr>
                        <wps:bodyPr upright="1"/>
                      </wps:wsp>
                      <wps:wsp>
                        <wps:cNvPr id="30" name="直线 43"/>
                        <wps:cNvCnPr/>
                        <wps:spPr>
                          <a:xfrm flipH="1" flipV="1">
                            <a:off x="1175385" y="1727835"/>
                            <a:ext cx="262255" cy="57785"/>
                          </a:xfrm>
                          <a:prstGeom prst="line">
                            <a:avLst/>
                          </a:prstGeom>
                          <a:ln w="9525" cap="flat" cmpd="sng">
                            <a:solidFill>
                              <a:srgbClr val="000000"/>
                            </a:solidFill>
                            <a:prstDash val="dash"/>
                            <a:headEnd type="none" w="med" len="med"/>
                            <a:tailEnd type="triangle" w="med" len="med"/>
                          </a:ln>
                        </wps:spPr>
                        <wps:bodyPr upright="1"/>
                      </wps:wsp>
                      <wps:wsp>
                        <wps:cNvPr id="31" name="文本框 44"/>
                        <wps:cNvSpPr txBox="1"/>
                        <wps:spPr>
                          <a:xfrm>
                            <a:off x="189865" y="2555875"/>
                            <a:ext cx="1189990" cy="260985"/>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4EFD0D7F">
                              <w:pPr>
                                <w:jc w:val="center"/>
                                <w:rPr>
                                  <w:sz w:val="22"/>
                                  <w:szCs w:val="22"/>
                                </w:rPr>
                              </w:pPr>
                              <w:r>
                                <w:rPr>
                                  <w:rFonts w:hint="eastAsia"/>
                                  <w:sz w:val="22"/>
                                  <w:szCs w:val="22"/>
                                </w:rPr>
                                <w:t>固体废物、废水</w:t>
                              </w:r>
                            </w:p>
                          </w:txbxContent>
                        </wps:txbx>
                        <wps:bodyPr upright="1"/>
                      </wps:wsp>
                      <wps:wsp>
                        <wps:cNvPr id="32" name="直线 45"/>
                        <wps:cNvCnPr/>
                        <wps:spPr>
                          <a:xfrm flipH="1" flipV="1">
                            <a:off x="1379855" y="2679700"/>
                            <a:ext cx="262255" cy="57785"/>
                          </a:xfrm>
                          <a:prstGeom prst="line">
                            <a:avLst/>
                          </a:prstGeom>
                          <a:ln w="9525" cap="flat" cmpd="sng">
                            <a:solidFill>
                              <a:srgbClr val="000000"/>
                            </a:solidFill>
                            <a:prstDash val="dash"/>
                            <a:headEnd type="none" w="med" len="med"/>
                            <a:tailEnd type="triangle" w="med" len="med"/>
                          </a:ln>
                        </wps:spPr>
                        <wps:bodyPr upright="1"/>
                      </wps:wsp>
                      <wps:wsp>
                        <wps:cNvPr id="33" name="文本框 51"/>
                        <wps:cNvSpPr txBox="1"/>
                        <wps:spPr>
                          <a:xfrm>
                            <a:off x="646430" y="2082165"/>
                            <a:ext cx="938530" cy="259080"/>
                          </a:xfrm>
                          <a:prstGeom prst="rect">
                            <a:avLst/>
                          </a:prstGeom>
                          <a:solidFill>
                            <a:srgbClr val="FFFFFF"/>
                          </a:solidFill>
                          <a:ln w="9525" cap="flat" cmpd="sng">
                            <a:solidFill>
                              <a:srgbClr val="000000"/>
                            </a:solidFill>
                            <a:prstDash val="dashDot"/>
                            <a:miter/>
                            <a:headEnd type="none" w="med" len="med"/>
                            <a:tailEnd type="none" w="med" len="med"/>
                          </a:ln>
                        </wps:spPr>
                        <wps:txbx>
                          <w:txbxContent>
                            <w:p w14:paraId="4E750EF3">
                              <w:pPr>
                                <w:jc w:val="center"/>
                                <w:rPr>
                                  <w:sz w:val="22"/>
                                  <w:szCs w:val="22"/>
                                </w:rPr>
                              </w:pPr>
                              <w:r>
                                <w:rPr>
                                  <w:rFonts w:hint="eastAsia"/>
                                  <w:sz w:val="22"/>
                                  <w:szCs w:val="22"/>
                                </w:rPr>
                                <w:t>噪声、扬尘</w:t>
                              </w:r>
                            </w:p>
                          </w:txbxContent>
                        </wps:txbx>
                        <wps:bodyPr upright="1"/>
                      </wps:wsp>
                    </wpc:wpc>
                  </a:graphicData>
                </a:graphic>
              </wp:inline>
            </w:drawing>
          </mc:Choice>
          <mc:Fallback>
            <w:pict>
              <v:group id="画布 906" o:spid="_x0000_s1026" o:spt="203" style="height:321.85pt;width:378.35pt;" coordsize="4805045,4087495" editas="canvas" o:gfxdata="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G7m45/VAAAABQEAAA8AAAAAAAAAAQAgAAAA&#10;IgAAAGRycy9kb3ducmV2LnhtbFBLAQIUABQAAAAIAIdO4kDlYTOQnwcAAEhMAAAOAAAAAAAAAAEA&#10;IAAAACQBAABkcnMvZTJvRG9jLnhtbFBLBQYAAAAABgAGAFkBAAA1CwAAAAA=&#10;">
                <o:lock v:ext="edit" aspectratio="f"/>
                <v:shape id="画布 906" o:spid="_x0000_s1026" style="position:absolute;left:0;top:0;height:4087495;width:4805045;" filled="f" stroked="t" coordsize="21600,21600" o:gfxdata="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">
                  <v:fill on="f" focussize="0,0"/>
                  <v:stroke color="#000000" joinstyle="miter"/>
                  <v:imagedata o:title=""/>
                  <o:lock v:ext="edit" aspectratio="t"/>
                </v:shape>
                <v:shape id="文本框 10" o:spid="_x0000_s1026" o:spt="202" type="#_x0000_t202" style="position:absolute;left:646430;top:36195;height:447675;width:915035;" fillcolor="#FFFFFF" filled="t" stroked="t" coordsize="21600,21600" o:gfxdata="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ahbLrWAAAABQEAAA8AAAAA&#10;AAAAAQAgAAAAIgAAAGRycy9kb3ducmV2LnhtbFBLAQIUABQAAAAIAIdO4kBjudFaFgIAAEEEAAAO&#10;AAAAAAAAAAEAIAAAACUBAABkcnMvZTJvRG9jLnhtbFBLBQYAAAAABgAGAFkBAACtBQAAAAA=&#10;">
                  <v:fill on="t" focussize="0,0"/>
                  <v:stroke color="#000000" joinstyle="miter" dashstyle="dashDot"/>
                  <v:imagedata o:title=""/>
                  <o:lock v:ext="edit" aspectratio="f"/>
                  <v:textbox>
                    <w:txbxContent>
                      <w:p w14:paraId="0891FEB9">
                        <w:pPr>
                          <w:jc w:val="center"/>
                          <w:rPr>
                            <w:sz w:val="22"/>
                            <w:szCs w:val="22"/>
                          </w:rPr>
                        </w:pPr>
                        <w:r>
                          <w:rPr>
                            <w:rFonts w:hint="eastAsia"/>
                            <w:sz w:val="22"/>
                            <w:szCs w:val="22"/>
                          </w:rPr>
                          <w:t>噪声、扬尘</w:t>
                        </w:r>
                      </w:p>
                      <w:p w14:paraId="7BEE79F7">
                        <w:pPr>
                          <w:jc w:val="center"/>
                          <w:rPr>
                            <w:sz w:val="22"/>
                            <w:szCs w:val="22"/>
                          </w:rPr>
                        </w:pPr>
                        <w:r>
                          <w:rPr>
                            <w:rFonts w:hint="eastAsia"/>
                            <w:sz w:val="22"/>
                            <w:szCs w:val="22"/>
                          </w:rPr>
                          <w:t>土石方</w:t>
                        </w:r>
                      </w:p>
                    </w:txbxContent>
                  </v:textbox>
                </v:shape>
                <v:line id="直线 11" o:spid="_x0000_s1026" o:spt="20" style="position:absolute;left:1561465;top:254635;flip:x y;height:635;width:262255;" filled="f" stroked="t" coordsize="21600,21600" o:gfxdata="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QVRf1AAAAAUBAAAPAAAAAAAAAAEAIAAAACIAAABkcnMv&#10;ZG93bnJldi54bWxQSwECFAAUAAAACACHTuJACek/7wcCAAD/AwAADgAAAAAAAAABACAAAAAjAQAA&#10;ZHJzL2Uyb0RvYy54bWxQSwUGAAAAAAYABgBZAQAAnAUAAAAA&#10;">
                  <v:fill on="f" focussize="0,0"/>
                  <v:stroke color="#000000" joinstyle="round" dashstyle="dash" endarrow="block"/>
                  <v:imagedata o:title=""/>
                  <o:lock v:ext="edit" aspectratio="f"/>
                </v:line>
                <v:line id="直线 12" o:spid="_x0000_s1026" o:spt="20" style="position:absolute;left:2309495;top:500380;height:205105;width:635;" filled="f" stroked="t" coordsize="21600,21600" o:gfxdata="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Tt89gAAAAFAQAADwAAAAAAAAABACAAAAAiAAAAZHJzL2Rvd25yZXYu&#10;eG1sUEsBAhQAFAAAAAgAh07iQDLhkLT7AQAA7AMAAA4AAAAAAAAAAQAgAAAAJwEAAGRycy9lMm9E&#10;b2MueG1sUEsFBgAAAAAGAAYAWQEAAJQFAAAAAA==&#10;">
                  <v:fill on="f" focussize="0,0"/>
                  <v:stroke color="#000000" joinstyle="round" endarrow="block"/>
                  <v:imagedata o:title=""/>
                  <o:lock v:ext="edit" aspectratio="f"/>
                </v:line>
                <v:shape id="文本框 13" o:spid="_x0000_s1026" o:spt="202" type="#_x0000_t202" style="position:absolute;left:2669540;top:952500;height:267970;width:758190;" fillcolor="#FFFFFF" filled="t" stroked="t" coordsize="21600,21600" o:gfxdata="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eFWT1gAAAAUBAAAPAAAAAAAA&#10;AAEAIAAAACIAAABkcnMvZG93bnJldi54bWxQSwECFAAUAAAACACHTuJAf5JpbBQCAABBBAAADgAA&#10;AAAAAAABACAAAAAlAQAAZHJzL2Uyb0RvYy54bWxQSwUGAAAAAAYABgBZAQAAqwUAAAAA&#10;">
                  <v:fill on="t" focussize="0,0"/>
                  <v:stroke color="#000000" joinstyle="miter"/>
                  <v:imagedata o:title=""/>
                  <o:lock v:ext="edit" aspectratio="f"/>
                  <v:textbox>
                    <w:txbxContent>
                      <w:p w14:paraId="0CB50E4A">
                        <w:pPr>
                          <w:jc w:val="center"/>
                          <w:rPr>
                            <w:sz w:val="22"/>
                            <w:szCs w:val="22"/>
                          </w:rPr>
                        </w:pPr>
                        <w:r>
                          <w:rPr>
                            <w:rFonts w:hint="eastAsia"/>
                            <w:sz w:val="22"/>
                            <w:szCs w:val="22"/>
                          </w:rPr>
                          <w:t>管沟开挖</w:t>
                        </w:r>
                      </w:p>
                      <w:p w14:paraId="55101610">
                        <w:pPr>
                          <w:jc w:val="center"/>
                        </w:pPr>
                      </w:p>
                    </w:txbxContent>
                  </v:textbox>
                </v:shape>
                <v:shape id="文本框 14" o:spid="_x0000_s1026" o:spt="202" type="#_x0000_t202" style="position:absolute;left:1823720;top:43180;height:447675;width:1044575;" fillcolor="#FFFFFF" filled="t" stroked="t" coordsize="21600,21600" o:gfxdata="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XhVk9YAAAAFAQAADwAAAAAAAAAB&#10;ACAAAAAiAAAAZHJzL2Rvd25yZXYueG1sUEsBAhQAFAAAAAgAh07iQH2iTUISAgAAQQQAAA4AAAAA&#10;AAAAAQAgAAAAJQEAAGRycy9lMm9Eb2MueG1sUEsFBgAAAAAGAAYAWQEAAKkFAAAAAA==&#10;">
                  <v:fill on="t" focussize="0,0"/>
                  <v:stroke color="#000000" joinstyle="miter"/>
                  <v:imagedata o:title=""/>
                  <o:lock v:ext="edit" aspectratio="f"/>
                  <v:textbox>
                    <w:txbxContent>
                      <w:p w14:paraId="1F976656">
                        <w:pPr>
                          <w:jc w:val="center"/>
                          <w:rPr>
                            <w:sz w:val="22"/>
                            <w:szCs w:val="22"/>
                          </w:rPr>
                        </w:pPr>
                        <w:r>
                          <w:rPr>
                            <w:rFonts w:hint="eastAsia"/>
                            <w:sz w:val="22"/>
                            <w:szCs w:val="22"/>
                          </w:rPr>
                          <w:t>作业</w:t>
                        </w:r>
                        <w:r>
                          <w:rPr>
                            <w:sz w:val="22"/>
                            <w:szCs w:val="22"/>
                          </w:rPr>
                          <w:t>线路</w:t>
                        </w:r>
                      </w:p>
                      <w:p w14:paraId="1D7C34ED">
                        <w:pPr>
                          <w:jc w:val="center"/>
                        </w:pPr>
                        <w:r>
                          <w:rPr>
                            <w:sz w:val="22"/>
                            <w:szCs w:val="22"/>
                          </w:rPr>
                          <w:t>清理</w:t>
                        </w:r>
                      </w:p>
                    </w:txbxContent>
                  </v:textbox>
                </v:shape>
                <v:shape id="文本框 15" o:spid="_x0000_s1026" o:spt="202" type="#_x0000_t202" style="position:absolute;left:1458595;top:1670685;height:267970;width:1969135;" fillcolor="#FFFFFF" filled="t" stroked="t" coordsize="21600,21600" o:gfxdata="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XhVk9YAAAAFAQAADwAA&#10;AAAAAAABACAAAAAiAAAAZHJzL2Rvd25yZXYueG1sUEsBAhQAFAAAAAgAh07iQNEJgQgYAgAAQwQA&#10;AA4AAAAAAAAAAQAgAAAAJQEAAGRycy9lMm9Eb2MueG1sUEsFBgAAAAAGAAYAWQEAAK8FAAAAAA==&#10;">
                  <v:fill on="t" focussize="0,0"/>
                  <v:stroke color="#000000" joinstyle="miter"/>
                  <v:imagedata o:title=""/>
                  <o:lock v:ext="edit" aspectratio="f"/>
                  <v:textbox>
                    <w:txbxContent>
                      <w:p w14:paraId="022E9432">
                        <w:pPr>
                          <w:jc w:val="center"/>
                          <w:rPr>
                            <w:sz w:val="22"/>
                            <w:szCs w:val="22"/>
                          </w:rPr>
                        </w:pPr>
                        <w:r>
                          <w:rPr>
                            <w:sz w:val="22"/>
                            <w:szCs w:val="22"/>
                          </w:rPr>
                          <w:t>布管、焊接</w:t>
                        </w:r>
                        <w:r>
                          <w:rPr>
                            <w:rFonts w:hint="eastAsia"/>
                            <w:sz w:val="22"/>
                            <w:szCs w:val="22"/>
                          </w:rPr>
                          <w:t>、检验</w:t>
                        </w:r>
                      </w:p>
                      <w:p w14:paraId="78B904B1">
                        <w:pPr>
                          <w:jc w:val="center"/>
                        </w:pPr>
                      </w:p>
                    </w:txbxContent>
                  </v:textbox>
                </v:shape>
                <v:shape id="文本框 17" o:spid="_x0000_s1026" o:spt="202" type="#_x0000_t202" style="position:absolute;left:423545;top:1597660;height:283210;width:751840;" fillcolor="#FFFFFF" filled="t" stroked="t" coordsize="21600,21600" o:gfxdata="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2oWy61gAAAAUBAAAP&#10;AAAAAAAAAAEAIAAAACIAAABkcnMvZG93bnJldi54bWxQSwECFAAUAAAACACHTuJAr92eHBoCAABD&#10;BAAADgAAAAAAAAABACAAAAAlAQAAZHJzL2Uyb0RvYy54bWxQSwUGAAAAAAYABgBZAQAAsQUAAAAA&#10;">
                  <v:fill on="t" focussize="0,0"/>
                  <v:stroke color="#000000" joinstyle="miter" dashstyle="dashDot"/>
                  <v:imagedata o:title=""/>
                  <o:lock v:ext="edit" aspectratio="f"/>
                  <v:textbox>
                    <w:txbxContent>
                      <w:p w14:paraId="4CFB1DE3">
                        <w:pPr>
                          <w:jc w:val="center"/>
                          <w:rPr>
                            <w:sz w:val="22"/>
                            <w:szCs w:val="22"/>
                          </w:rPr>
                        </w:pPr>
                        <w:r>
                          <w:rPr>
                            <w:rFonts w:hint="eastAsia"/>
                            <w:sz w:val="22"/>
                            <w:szCs w:val="22"/>
                          </w:rPr>
                          <w:t>固体废物</w:t>
                        </w:r>
                      </w:p>
                    </w:txbxContent>
                  </v:textbox>
                </v:shape>
                <v:shape id="自选图形 18" o:spid="_x0000_s1026" o:spt="32" type="#_x0000_t32" style="position:absolute;left:1671320;top:725805;height:635;width:1276350;" filled="f" stroked="t" coordsize="21600,21600" o:gfxdata="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FM/UXWAAAABQEAAA8AAAAAAAAAAQAgAAAAIgAAAGRycy9kb3du&#10;cmV2LnhtbFBLAQIUABQAAAAIAIdO4kA2+unYAQIAAPEDAAAOAAAAAAAAAAEAIAAAACUBAABkcnMv&#10;ZTJvRG9jLnhtbFBLBQYAAAAABgAGAFkBAACYBQAAAAA=&#10;">
                  <v:fill on="f" focussize="0,0"/>
                  <v:stroke color="#000000" joinstyle="round"/>
                  <v:imagedata o:title=""/>
                  <o:lock v:ext="edit" aspectratio="f"/>
                </v:shape>
                <v:line id="直线 19" o:spid="_x0000_s1026" o:spt="20" style="position:absolute;left:1680210;top:738505;height:205105;width:635;" filled="f" stroked="t" coordsize="21600,21600" o:gfxdata="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O3z2AAAAAUBAAAPAAAAAAAAAAEAIAAAACIAAABkcnMvZG93bnJl&#10;di54bWxQSwECFAAUAAAACACHTuJAKMaLlv0BAADsAwAADgAAAAAAAAABACAAAAAnAQAAZHJzL2Uy&#10;b0RvYy54bWxQSwUGAAAAAAYABgBZAQAAlgUAAAAA&#10;">
                  <v:fill on="f" focussize="0,0"/>
                  <v:stroke color="#000000" joinstyle="round" endarrow="block"/>
                  <v:imagedata o:title=""/>
                  <o:lock v:ext="edit" aspectratio="f"/>
                </v:line>
                <v:line id="直线 20" o:spid="_x0000_s1026" o:spt="20" style="position:absolute;left:2947035;top:737870;height:205105;width:635;" filled="f" stroked="t" coordsize="21600,21600" o:gfxdata="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Tt89gAAAAFAQAADwAAAAAAAAABACAAAAAiAAAAZHJzL2Rvd25yZXYu&#10;eG1sUEsBAhQAFAAAAAgAh07iQH/JHNn7AQAA7QMAAA4AAAAAAAAAAQAgAAAAJwEAAGRycy9lMm9E&#10;b2MueG1sUEsFBgAAAAAGAAYAWQEAAJQFAAAAAA==&#10;">
                  <v:fill on="f" focussize="0,0"/>
                  <v:stroke color="#000000" joinstyle="round" endarrow="block"/>
                  <v:imagedata o:title=""/>
                  <o:lock v:ext="edit" aspectratio="f"/>
                </v:line>
                <v:shape id="文本框 21" o:spid="_x0000_s1026" o:spt="202" type="#_x0000_t202" style="position:absolute;left:586740;top:962025;height:267970;width:1384935;" fillcolor="#FFFFFF" filled="t" stroked="t" coordsize="21600,21600" o:gfxdata="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eFWT1gAAAAUBAAAPAAAA&#10;AAAAAAEAIAAAACIAAABkcnMvZG93bnJldi54bWxQSwECFAAUAAAACACHTuJAHkQzpBcCAABCBAAA&#10;DgAAAAAAAAABACAAAAAlAQAAZHJzL2Uyb0RvYy54bWxQSwUGAAAAAAYABgBZAQAArgUAAAAA&#10;">
                  <v:fill on="t" focussize="0,0"/>
                  <v:stroke color="#000000" joinstyle="miter"/>
                  <v:imagedata o:title=""/>
                  <o:lock v:ext="edit" aspectratio="f"/>
                  <v:textbox>
                    <w:txbxContent>
                      <w:p w14:paraId="76E50702">
                        <w:pPr>
                          <w:jc w:val="center"/>
                          <w:rPr>
                            <w:sz w:val="22"/>
                            <w:szCs w:val="22"/>
                          </w:rPr>
                        </w:pPr>
                        <w:r>
                          <w:rPr>
                            <w:rFonts w:hint="eastAsia"/>
                            <w:sz w:val="22"/>
                            <w:szCs w:val="22"/>
                          </w:rPr>
                          <w:t>碰口操作坑开挖等</w:t>
                        </w:r>
                      </w:p>
                      <w:p w14:paraId="64ABE7CF">
                        <w:pPr>
                          <w:jc w:val="center"/>
                        </w:pPr>
                      </w:p>
                    </w:txbxContent>
                  </v:textbox>
                </v:shape>
                <v:shape id="文本框 22" o:spid="_x0000_s1026" o:spt="202" type="#_x0000_t202" style="position:absolute;left:3103880;top:36195;height:447675;width:915035;" fillcolor="#FFFFFF" filled="t" stroked="t" coordsize="21600,21600" o:gfxdata="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qFsutYAAAAFAQAADwAA&#10;AAAAAAABACAAAAAiAAAAZHJzL2Rvd25yZXYueG1sUEsBAhQAFAAAAAgAh07iQEJeuaAYAgAAQwQA&#10;AA4AAAAAAAAAAQAgAAAAJQEAAGRycy9lMm9Eb2MueG1sUEsFBgAAAAAGAAYAWQEAAK8FAAAAAA==&#10;">
                  <v:fill on="t" focussize="0,0"/>
                  <v:stroke color="#000000" joinstyle="miter" dashstyle="dashDot"/>
                  <v:imagedata o:title=""/>
                  <o:lock v:ext="edit" aspectratio="f"/>
                  <v:textbox>
                    <w:txbxContent>
                      <w:p w14:paraId="4729DC8E">
                        <w:pPr>
                          <w:jc w:val="center"/>
                          <w:rPr>
                            <w:sz w:val="22"/>
                            <w:szCs w:val="22"/>
                          </w:rPr>
                        </w:pPr>
                        <w:r>
                          <w:rPr>
                            <w:rFonts w:hint="eastAsia"/>
                            <w:sz w:val="22"/>
                            <w:szCs w:val="22"/>
                          </w:rPr>
                          <w:t>噪声、扬尘</w:t>
                        </w:r>
                      </w:p>
                      <w:p w14:paraId="1712E994">
                        <w:pPr>
                          <w:jc w:val="center"/>
                          <w:rPr>
                            <w:sz w:val="22"/>
                            <w:szCs w:val="22"/>
                          </w:rPr>
                        </w:pPr>
                        <w:r>
                          <w:rPr>
                            <w:rFonts w:hint="eastAsia"/>
                            <w:sz w:val="22"/>
                            <w:szCs w:val="22"/>
                          </w:rPr>
                          <w:t>土石方</w:t>
                        </w:r>
                      </w:p>
                    </w:txbxContent>
                  </v:textbox>
                </v:shape>
                <v:line id="直线 23" o:spid="_x0000_s1026" o:spt="20" style="position:absolute;left:3263265;top:490855;flip:x y;height:452755;width:635;" filled="f" stroked="t" coordsize="21600,21600" o:gfxdata="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QVRf1AAAAAUBAAAPAAAAAAAAAAEAIAAAACIAAABk&#10;cnMvZG93bnJldi54bWxQSwECFAAUAAAACACHTuJAkpKU3woCAAAABAAADgAAAAAAAAABACAAAAAj&#10;AQAAZHJzL2Uyb0RvYy54bWxQSwUGAAAAAAYABgBZAQAAnwUAAAAA&#10;">
                  <v:fill on="f" focussize="0,0"/>
                  <v:stroke color="#000000" joinstyle="round" dashstyle="dash" endarrow="block"/>
                  <v:imagedata o:title=""/>
                  <o:lock v:ext="edit" aspectratio="f"/>
                </v:line>
                <v:line id="直线 24" o:spid="_x0000_s1026" o:spt="20" style="position:absolute;left:1174750;top:493395;flip:x y;height:452755;width:635;" filled="f" stroked="t" coordsize="21600,21600" o:gfxdata="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kFUX9QAAAAFAQAADwAAAAAAAAABACAAAAAiAAAA&#10;ZHJzL2Rvd25yZXYueG1sUEsBAhQAFAAAAAgAh07iQEscogYLAgAAAAQAAA4AAAAAAAAAAQAgAAAA&#10;IwEAAGRycy9lMm9Eb2MueG1sUEsFBgAAAAAGAAYAWQEAAKAFAAAAAA==&#10;">
                  <v:fill on="f" focussize="0,0"/>
                  <v:stroke color="#000000" joinstyle="round" dashstyle="dash" endarrow="block"/>
                  <v:imagedata o:title=""/>
                  <o:lock v:ext="edit" aspectratio="f"/>
                </v:line>
                <v:shape id="自选图形 25" o:spid="_x0000_s1026" o:spt="32" type="#_x0000_t32" style="position:absolute;left:1671320;top:1461770;height:635;width:1276350;" filled="f" stroked="t" coordsize="21600,21600" o:gfxdata="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Uz9RdYAAAAFAQAADwAAAAAAAAABACAAAAAiAAAAZHJzL2Rvd25y&#10;ZXYueG1sUEsBAhQAFAAAAAgAh07iQIJvPnUAAgAA8wMAAA4AAAAAAAAAAQAgAAAAJQEAAGRycy9l&#10;Mm9Eb2MueG1sUEsFBgAAAAAGAAYAWQEAAJcFAAAAAA==&#10;">
                  <v:fill on="f" focussize="0,0"/>
                  <v:stroke color="#000000" joinstyle="round"/>
                  <v:imagedata o:title=""/>
                  <o:lock v:ext="edit" aspectratio="f"/>
                </v:shape>
                <v:line id="直线 26" o:spid="_x0000_s1026" o:spt="20" style="position:absolute;left:2308860;top:1462405;height:205105;width:635;" filled="f" stroked="t" coordsize="21600,21600" o:gfxdata="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k7fPYAAAABQEAAA8AAAAAAAAAAQAgAAAAIgAAAGRycy9kb3du&#10;cmV2LnhtbFBLAQIUABQAAAAIAIdO4kAl9lzI/wEAAO4DAAAOAAAAAAAAAAEAIAAAACcBAABkcnMv&#10;ZTJvRG9jLnhtbFBLBQYAAAAABgAGAFkBAACYBQAAAAA=&#10;">
                  <v:fill on="f" focussize="0,0"/>
                  <v:stroke color="#000000" joinstyle="round" endarrow="block"/>
                  <v:imagedata o:title=""/>
                  <o:lock v:ext="edit" aspectratio="f"/>
                </v:line>
                <v:line id="直线 27" o:spid="_x0000_s1026" o:spt="20" style="position:absolute;left:1670685;top:1247140;height:205105;width:635;" filled="f" stroked="t" coordsize="21600,21600" o:gfxdata="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k7fPYAAAABQEAAA8AAAAAAAAAAQAgAAAAIgAAAGRycy9kb3ducmV2&#10;LnhtbFBLAQIUABQAAAAIAIdO4kCGehCk/AEAAO4DAAAOAAAAAAAAAAEAIAAAACcBAABkcnMvZTJv&#10;RG9jLnhtbFBLBQYAAAAABgAGAFkBAACVBQAAAAA=&#10;">
                  <v:fill on="f" focussize="0,0"/>
                  <v:stroke color="#000000" joinstyle="round" endarrow="block"/>
                  <v:imagedata o:title=""/>
                  <o:lock v:ext="edit" aspectratio="f"/>
                </v:line>
                <v:line id="直线 28" o:spid="_x0000_s1026" o:spt="20" style="position:absolute;left:2947035;top:1247775;height:205105;width:635;" filled="f" stroked="t" coordsize="21600,21600" o:gfxdata="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k7fPYAAAABQEAAA8AAAAAAAAAAQAgAAAAIgAAAGRycy9kb3du&#10;cmV2LnhtbFBLAQIUABQAAAAIAIdO4kCats+9/wEAAO4DAAAOAAAAAAAAAAEAIAAAACcBAABkcnMv&#10;ZTJvRG9jLnhtbFBLBQYAAAAABgAGAFkBAACYBQAAAAA=&#10;">
                  <v:fill on="f" focussize="0,0"/>
                  <v:stroke color="#000000" joinstyle="round" endarrow="block"/>
                  <v:imagedata o:title=""/>
                  <o:lock v:ext="edit" aspectratio="f"/>
                </v:line>
                <v:line id="直线 29" o:spid="_x0000_s1026" o:spt="20" style="position:absolute;left:2308225;top:1948180;height:205105;width:635;" filled="f" stroked="t" coordsize="21600,21600" o:gfxdata="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Tt89gAAAAFAQAADwAAAAAAAAABACAAAAAiAAAAZHJzL2Rvd25yZXYu&#10;eG1sUEsBAhQAFAAAAAgAh07iQGiem4v7AQAA7gMAAA4AAAAAAAAAAQAgAAAAJwEAAGRycy9lMm9E&#10;b2MueG1sUEsFBgAAAAAGAAYAWQEAAJQFAAAAAA==&#10;">
                  <v:fill on="f" focussize="0,0"/>
                  <v:stroke color="#000000" joinstyle="round" endarrow="block"/>
                  <v:imagedata o:title=""/>
                  <o:lock v:ext="edit" aspectratio="f"/>
                </v:line>
                <v:shape id="文本框 30" o:spid="_x0000_s1026" o:spt="202" type="#_x0000_t202" style="position:absolute;left:1856105;top:2146935;height:267970;width:1571625;" fillcolor="#FFFFFF" filled="t" stroked="t" coordsize="21600,21600" o:gfxdata="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eFWT1gAAAAUBAAAPAAAA&#10;AAAAAAEAIAAAACIAAABkcnMvZG93bnJldi54bWxQSwECFAAUAAAACACHTuJAtYKLZhcCAABEBAAA&#10;DgAAAAAAAAABACAAAAAlAQAAZHJzL2Uyb0RvYy54bWxQSwUGAAAAAAYABgBZAQAArgUAAAAA&#10;">
                  <v:fill on="t" focussize="0,0"/>
                  <v:stroke color="#000000" joinstyle="miter"/>
                  <v:imagedata o:title=""/>
                  <o:lock v:ext="edit" aspectratio="f"/>
                  <v:textbox>
                    <w:txbxContent>
                      <w:p w14:paraId="5610F4A1">
                        <w:pPr>
                          <w:jc w:val="center"/>
                          <w:rPr>
                            <w:sz w:val="22"/>
                            <w:szCs w:val="22"/>
                          </w:rPr>
                        </w:pPr>
                        <w:r>
                          <w:rPr>
                            <w:rFonts w:hint="eastAsia"/>
                            <w:sz w:val="22"/>
                            <w:szCs w:val="22"/>
                          </w:rPr>
                          <w:t>管道</w:t>
                        </w:r>
                        <w:r>
                          <w:rPr>
                            <w:sz w:val="22"/>
                            <w:szCs w:val="22"/>
                          </w:rPr>
                          <w:t>入沟</w:t>
                        </w:r>
                        <w:r>
                          <w:rPr>
                            <w:rFonts w:hint="eastAsia"/>
                            <w:sz w:val="22"/>
                            <w:szCs w:val="22"/>
                          </w:rPr>
                          <w:t>、覆土</w:t>
                        </w:r>
                        <w:r>
                          <w:rPr>
                            <w:sz w:val="22"/>
                            <w:szCs w:val="22"/>
                          </w:rPr>
                          <w:t>回填</w:t>
                        </w:r>
                      </w:p>
                      <w:p w14:paraId="4D4CCE1C">
                        <w:pPr>
                          <w:jc w:val="center"/>
                        </w:pPr>
                      </w:p>
                    </w:txbxContent>
                  </v:textbox>
                </v:shape>
                <v:line id="直线 31" o:spid="_x0000_s1026" o:spt="20" style="position:absolute;left:2310130;top:2414905;height:205105;width:635;" filled="f" stroked="t" coordsize="21600,21600" o:gfxdata="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O3z2AAAAAUBAAAPAAAAAAAAAAEAIAAAACIAAABkcnMvZG93bnJl&#10;di54bWxQSwECFAAUAAAACACHTuJAEvJo1/0BAADuAwAADgAAAAAAAAABACAAAAAnAQAAZHJzL2Uy&#10;b0RvYy54bWxQSwUGAAAAAAYABgBZAQAAlgUAAAAA&#10;">
                  <v:fill on="f" focussize="0,0"/>
                  <v:stroke color="#000000" joinstyle="round" endarrow="block"/>
                  <v:imagedata o:title=""/>
                  <o:lock v:ext="edit" aspectratio="f"/>
                </v:line>
                <v:shape id="文本框 32" o:spid="_x0000_s1026" o:spt="202" type="#_x0000_t202" style="position:absolute;left:1659255;top:2620010;height:267970;width:1768475;" fillcolor="#FFFFFF" filled="t" stroked="t" coordsize="21600,21600" o:gfxdata="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teFWT1gAAAAUBAAAPAAAAAAAA&#10;AAEAIAAAACIAAABkcnMvZG93bnJldi54bWxQSwECFAAUAAAACACHTuJAze/EyxQCAABEBAAADgAA&#10;AAAAAAABACAAAAAlAQAAZHJzL2Uyb0RvYy54bWxQSwUGAAAAAAYABgBZAQAAqwUAAAAA&#10;">
                  <v:fill on="t" focussize="0,0"/>
                  <v:stroke color="#000000" joinstyle="miter"/>
                  <v:imagedata o:title=""/>
                  <o:lock v:ext="edit" aspectratio="f"/>
                  <v:textbox>
                    <w:txbxContent>
                      <w:p w14:paraId="3CB07B70">
                        <w:pPr>
                          <w:jc w:val="center"/>
                          <w:rPr>
                            <w:sz w:val="22"/>
                            <w:szCs w:val="22"/>
                          </w:rPr>
                        </w:pPr>
                        <w:r>
                          <w:rPr>
                            <w:rFonts w:hint="eastAsia"/>
                            <w:sz w:val="22"/>
                            <w:szCs w:val="22"/>
                          </w:rPr>
                          <w:t>清管</w:t>
                        </w:r>
                        <w:r>
                          <w:rPr>
                            <w:sz w:val="22"/>
                            <w:szCs w:val="22"/>
                          </w:rPr>
                          <w:t>、试压</w:t>
                        </w:r>
                        <w:r>
                          <w:rPr>
                            <w:rFonts w:hint="eastAsia"/>
                            <w:sz w:val="22"/>
                            <w:szCs w:val="22"/>
                          </w:rPr>
                          <w:t>、干燥、置换</w:t>
                        </w:r>
                      </w:p>
                      <w:p w14:paraId="79AB9066">
                        <w:pPr>
                          <w:jc w:val="center"/>
                        </w:pPr>
                      </w:p>
                    </w:txbxContent>
                  </v:textbox>
                </v:shape>
                <v:line id="直线 33" o:spid="_x0000_s1026" o:spt="20" style="position:absolute;left:2308225;top:2900680;height:205105;width:635;" filled="f" stroked="t" coordsize="21600,21600" o:gfxdata="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k7fPYAAAABQEAAA8AAAAAAAAAAQAgAAAAIgAAAGRycy9kb3ducmV2Lnht&#10;bFBLAQIUABQAAAAIAIdO4kCJFDeK+QEAAO4DAAAOAAAAAAAAAAEAIAAAACcBAABkcnMvZTJvRG9j&#10;LnhtbFBLBQYAAAAABgAGAFkBAACSBQAAAAA=&#10;">
                  <v:fill on="f" focussize="0,0"/>
                  <v:stroke color="#000000" joinstyle="round" endarrow="block"/>
                  <v:imagedata o:title=""/>
                  <o:lock v:ext="edit" aspectratio="f"/>
                </v:line>
                <v:shape id="文本框 34" o:spid="_x0000_s1026" o:spt="202" type="#_x0000_t202" style="position:absolute;left:1595755;top:3134360;height:267970;width:1463040;" fillcolor="#FFFFFF" filled="t" stroked="t" coordsize="21600,21600" o:gfxdata="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eFWT1gAAAAUBAAAPAAAA&#10;AAAAAAEAIAAAACIAAABkcnMvZG93bnJldi54bWxQSwECFAAUAAAACACHTuJA1evIVxcCAABEBAAA&#10;DgAAAAAAAAABACAAAAAlAQAAZHJzL2Uyb0RvYy54bWxQSwUGAAAAAAYABgBZAQAArgUAAAAA&#10;">
                  <v:fill on="t" focussize="0,0"/>
                  <v:stroke color="#000000" joinstyle="miter"/>
                  <v:imagedata o:title=""/>
                  <o:lock v:ext="edit" aspectratio="f"/>
                  <v:textbox>
                    <w:txbxContent>
                      <w:p w14:paraId="6B80D287">
                        <w:pPr>
                          <w:jc w:val="center"/>
                          <w:rPr>
                            <w:sz w:val="22"/>
                            <w:szCs w:val="22"/>
                          </w:rPr>
                        </w:pPr>
                        <w:r>
                          <w:rPr>
                            <w:rFonts w:hint="eastAsia"/>
                            <w:sz w:val="22"/>
                            <w:szCs w:val="22"/>
                          </w:rPr>
                          <w:t>现场清理</w:t>
                        </w:r>
                        <w:r>
                          <w:rPr>
                            <w:sz w:val="22"/>
                            <w:szCs w:val="22"/>
                          </w:rPr>
                          <w:t>、</w:t>
                        </w:r>
                        <w:r>
                          <w:rPr>
                            <w:rFonts w:hint="eastAsia"/>
                            <w:sz w:val="22"/>
                            <w:szCs w:val="22"/>
                          </w:rPr>
                          <w:t>恢复</w:t>
                        </w:r>
                        <w:r>
                          <w:rPr>
                            <w:sz w:val="22"/>
                            <w:szCs w:val="22"/>
                          </w:rPr>
                          <w:t>地貌</w:t>
                        </w:r>
                      </w:p>
                      <w:p w14:paraId="0CBE58E5">
                        <w:pPr>
                          <w:jc w:val="center"/>
                        </w:pPr>
                      </w:p>
                    </w:txbxContent>
                  </v:textbox>
                </v:shape>
                <v:line id="直线 35" o:spid="_x0000_s1026" o:spt="20" style="position:absolute;left:2313305;top:3437890;height:205105;width:635;" filled="f" stroked="t" coordsize="21600,21600" o:gfxdata="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Tt89gAAAAFAQAADwAAAAAAAAABACAAAAAiAAAAZHJzL2Rvd25yZXYu&#10;eG1sUEsBAhQAFAAAAAgAh07iQN+cfcr7AQAA7gMAAA4AAAAAAAAAAQAgAAAAJwEAAGRycy9lMm9E&#10;b2MueG1sUEsFBgAAAAAGAAYAWQEAAJQFAAAAAA==&#10;">
                  <v:fill on="f" focussize="0,0"/>
                  <v:stroke color="#000000" joinstyle="round" endarrow="block"/>
                  <v:imagedata o:title=""/>
                  <o:lock v:ext="edit" aspectratio="f"/>
                </v:line>
                <v:shape id="文本框 38" o:spid="_x0000_s1026" o:spt="202" type="#_x0000_t202" style="position:absolute;left:1906270;top:3709670;height:267970;width:813435;" fillcolor="#FFFFFF" filled="t" stroked="t" coordsize="21600,21600" o:gfxdata="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14VZPWAAAABQEAAA8AAAAA&#10;AAAAAQAgAAAAIgAAAGRycy9kb3ducmV2LnhtbFBLAQIUABQAAAAIAIdO4kAexLdDFgIAAEMEAAAO&#10;AAAAAAAAAAEAIAAAACUBAABkcnMvZTJvRG9jLnhtbFBLBQYAAAAABgAGAFkBAACtBQAAAAA=&#10;">
                  <v:fill on="t" focussize="0,0"/>
                  <v:stroke color="#000000" joinstyle="miter"/>
                  <v:imagedata o:title=""/>
                  <o:lock v:ext="edit" aspectratio="f"/>
                  <v:textbox>
                    <w:txbxContent>
                      <w:p w14:paraId="1D39184F">
                        <w:pPr>
                          <w:jc w:val="center"/>
                          <w:rPr>
                            <w:sz w:val="22"/>
                            <w:szCs w:val="22"/>
                          </w:rPr>
                        </w:pPr>
                        <w:r>
                          <w:rPr>
                            <w:rFonts w:hint="eastAsia"/>
                            <w:sz w:val="22"/>
                            <w:szCs w:val="22"/>
                          </w:rPr>
                          <w:t>竣工验收</w:t>
                        </w:r>
                      </w:p>
                      <w:p w14:paraId="5D4E36FD">
                        <w:pPr>
                          <w:jc w:val="center"/>
                        </w:pPr>
                      </w:p>
                    </w:txbxContent>
                  </v:textbox>
                </v:shape>
                <v:line id="直线 39" o:spid="_x0000_s1026" o:spt="20" style="position:absolute;left:2719705;top:3860800;flip:y;height:635;width:450850;" filled="f" stroked="t" coordsize="21600,21600" o:gfxdata="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eMeKDXAAAABQEAAA8AAAAAAAAAAQAgAAAAIgAAAGRy&#10;cy9kb3ducmV2LnhtbFBLAQIUABQAAAAIAIdO4kCwFKqlBgIAAPgDAAAOAAAAAAAAAAEAIAAAACYB&#10;AABkcnMvZTJvRG9jLnhtbFBLBQYAAAAABgAGAFkBAACeBQAAAAA=&#10;">
                  <v:fill on="f" focussize="0,0"/>
                  <v:stroke color="#000000" joinstyle="round" endarrow="block"/>
                  <v:imagedata o:title=""/>
                  <o:lock v:ext="edit" aspectratio="f"/>
                </v:line>
                <v:shape id="文本框 40" o:spid="_x0000_s1026" o:spt="202" type="#_x0000_t202" style="position:absolute;left:3171825;top:3728085;height:267970;width:813435;" fillcolor="#FFFFFF" filled="t" stroked="t" coordsize="21600,21600" o:gfxdata="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XhVk9YAAAAFAQAADwAA&#10;AAAAAAABACAAAAAiAAAAZHJzL2Rvd25yZXYueG1sUEsBAhQAFAAAAAgAh07iQK7geRcYAgAAQwQA&#10;AA4AAAAAAAAAAQAgAAAAJQEAAGRycy9lMm9Eb2MueG1sUEsFBgAAAAAGAAYAWQEAAK8FAAAAAA==&#10;">
                  <v:fill on="t" focussize="0,0"/>
                  <v:stroke color="#000000" joinstyle="miter"/>
                  <v:imagedata o:title=""/>
                  <o:lock v:ext="edit" aspectratio="f"/>
                  <v:textbox>
                    <w:txbxContent>
                      <w:p w14:paraId="057795A9">
                        <w:pPr>
                          <w:jc w:val="center"/>
                          <w:rPr>
                            <w:sz w:val="22"/>
                            <w:szCs w:val="22"/>
                          </w:rPr>
                        </w:pPr>
                        <w:r>
                          <w:rPr>
                            <w:rFonts w:hint="eastAsia"/>
                            <w:sz w:val="22"/>
                            <w:szCs w:val="22"/>
                          </w:rPr>
                          <w:t>投入运行</w:t>
                        </w:r>
                      </w:p>
                      <w:p w14:paraId="18BED4A3">
                        <w:pPr>
                          <w:jc w:val="center"/>
                        </w:pPr>
                      </w:p>
                    </w:txbxContent>
                  </v:textbox>
                </v:shape>
                <v:line id="直线 41" o:spid="_x0000_s1026" o:spt="20" style="position:absolute;left:1584960;top:2211705;flip:x y;height:57785;width:262255;" filled="f" stroked="t" coordsize="21600,21600" o:gfxdata="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QVRf1AAAAAUBAAAPAAAAAAAAAAEAIAAAACIA&#10;AABkcnMvZG93bnJldi54bWxQSwECFAAUAAAACACHTuJAn1dNkw0CAAADBAAADgAAAAAAAAABACAA&#10;AAAjAQAAZHJzL2Uyb0RvYy54bWxQSwUGAAAAAAYABgBZAQAAogUAAAAA&#10;">
                  <v:fill on="f" focussize="0,0"/>
                  <v:stroke color="#000000" joinstyle="round" dashstyle="dash" endarrow="block"/>
                  <v:imagedata o:title=""/>
                  <o:lock v:ext="edit" aspectratio="f"/>
                </v:line>
                <v:line id="直线 43" o:spid="_x0000_s1026" o:spt="20" style="position:absolute;left:1175385;top:1727835;flip:x y;height:57785;width:262255;" filled="f" stroked="t" coordsize="21600,21600" o:gfxdata="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QVRf1AAAAAUBAAAPAAAAAAAAAAEAIAAAACIAAABk&#10;cnMvZG93bnJldi54bWxQSwECFAAUAAAACACHTuJAklyVDAoCAAADBAAADgAAAAAAAAABACAAAAAj&#10;AQAAZHJzL2Uyb0RvYy54bWxQSwUGAAAAAAYABgBZAQAAnwUAAAAA&#10;">
                  <v:fill on="f" focussize="0,0"/>
                  <v:stroke color="#000000" joinstyle="round" dashstyle="dash" endarrow="block"/>
                  <v:imagedata o:title=""/>
                  <o:lock v:ext="edit" aspectratio="f"/>
                </v:line>
                <v:shape id="文本框 44" o:spid="_x0000_s1026" o:spt="202" type="#_x0000_t202" style="position:absolute;left:189865;top:2555875;height:260985;width:1189990;" fillcolor="#FFFFFF" filled="t" stroked="t" coordsize="21600,21600" o:gfxdata="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ahbLrWAAAABQEAAA8A&#10;AAAAAAAAAQAgAAAAIgAAAGRycy9kb3ducmV2LnhtbFBLAQIUABQAAAAIAIdO4kDZfqsFGQIAAEUE&#10;AAAOAAAAAAAAAAEAIAAAACUBAABkcnMvZTJvRG9jLnhtbFBLBQYAAAAABgAGAFkBAACwBQAAAAA=&#10;">
                  <v:fill on="t" focussize="0,0"/>
                  <v:stroke color="#000000" joinstyle="miter" dashstyle="dashDot"/>
                  <v:imagedata o:title=""/>
                  <o:lock v:ext="edit" aspectratio="f"/>
                  <v:textbox>
                    <w:txbxContent>
                      <w:p w14:paraId="4EFD0D7F">
                        <w:pPr>
                          <w:jc w:val="center"/>
                          <w:rPr>
                            <w:sz w:val="22"/>
                            <w:szCs w:val="22"/>
                          </w:rPr>
                        </w:pPr>
                        <w:r>
                          <w:rPr>
                            <w:rFonts w:hint="eastAsia"/>
                            <w:sz w:val="22"/>
                            <w:szCs w:val="22"/>
                          </w:rPr>
                          <w:t>固体废物、废水</w:t>
                        </w:r>
                      </w:p>
                    </w:txbxContent>
                  </v:textbox>
                </v:shape>
                <v:line id="直线 45" o:spid="_x0000_s1026" o:spt="20" style="position:absolute;left:1379855;top:2679700;flip:x y;height:57785;width:262255;" filled="f" stroked="t" coordsize="21600,21600" o:gfxdata="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QVRf1AAAAAUBAAAPAAAAAAAAAAEAIAAAACIA&#10;AABkcnMvZG93bnJldi54bWxQSwECFAAUAAAACACHTuJAgqvd4A0CAAADBAAADgAAAAAAAAABACAA&#10;AAAjAQAAZHJzL2Uyb0RvYy54bWxQSwUGAAAAAAYABgBZAQAAogUAAAAA&#10;">
                  <v:fill on="f" focussize="0,0"/>
                  <v:stroke color="#000000" joinstyle="round" dashstyle="dash" endarrow="block"/>
                  <v:imagedata o:title=""/>
                  <o:lock v:ext="edit" aspectratio="f"/>
                </v:line>
                <v:shape id="文本框 51" o:spid="_x0000_s1026" o:spt="202" type="#_x0000_t202" style="position:absolute;left:646430;top:2082165;height:259080;width:938530;" fillcolor="#FFFFFF" filled="t" stroked="t" coordsize="21600,21600" o:gfxdata="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ahbLrWAAAABQEAAA8A&#10;AAAAAAAAAQAgAAAAIgAAAGRycy9kb3ducmV2LnhtbFBLAQIUABQAAAAIAIdO4kAR2fxIGQIAAEQE&#10;AAAOAAAAAAAAAAEAIAAAACUBAABkcnMvZTJvRG9jLnhtbFBLBQYAAAAABgAGAFkBAACwBQAAAAA=&#10;">
                  <v:fill on="t" focussize="0,0"/>
                  <v:stroke color="#000000" joinstyle="miter" dashstyle="dashDot"/>
                  <v:imagedata o:title=""/>
                  <o:lock v:ext="edit" aspectratio="f"/>
                  <v:textbox>
                    <w:txbxContent>
                      <w:p w14:paraId="4E750EF3">
                        <w:pPr>
                          <w:jc w:val="center"/>
                          <w:rPr>
                            <w:sz w:val="22"/>
                            <w:szCs w:val="22"/>
                          </w:rPr>
                        </w:pPr>
                        <w:r>
                          <w:rPr>
                            <w:rFonts w:hint="eastAsia"/>
                            <w:sz w:val="22"/>
                            <w:szCs w:val="22"/>
                          </w:rPr>
                          <w:t>噪声、扬尘</w:t>
                        </w:r>
                      </w:p>
                    </w:txbxContent>
                  </v:textbox>
                </v:shape>
                <w10:wrap type="none"/>
                <w10:anchorlock/>
              </v:group>
            </w:pict>
          </mc:Fallback>
        </mc:AlternateContent>
      </w:r>
    </w:p>
    <w:p w14:paraId="5F8976B6">
      <w:pPr>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6"/>
          <w:szCs w:val="26"/>
        </w:rPr>
        <w:t>图3.1-1  主要施工工序及产污环节示意图</w:t>
      </w:r>
    </w:p>
    <w:p w14:paraId="29C0A1AE">
      <w:pPr>
        <w:pStyle w:val="58"/>
        <w:rPr>
          <w:rFonts w:hint="default" w:ascii="Times New Roman" w:hAnsi="Times New Roman" w:eastAsia="宋体" w:cs="Times New Roman"/>
          <w:color w:val="auto"/>
        </w:rPr>
      </w:pPr>
    </w:p>
    <w:p w14:paraId="0E680A3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管线铺设主要过程有：管线路由确定后，进行作业线路清理，在完成管沟开挖等基础工程后，将钢管运至各施工现场进行敷设，敷设完成后将管段及必要的弯头等组装后进行焊接，并检查焊缝、进行管道防腐阴保，再按管道施工规范下到管沟内，覆土回填。最后对管道进行清管、试压、干燥、置换，清理作业现场并恢复地貌，管道试运行正常并验收合格后投入运营。</w:t>
      </w:r>
    </w:p>
    <w:p w14:paraId="754842C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主要施工节点介绍：</w:t>
      </w:r>
    </w:p>
    <w:p w14:paraId="4C341A0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（1）作业线路清理</w:t>
      </w:r>
    </w:p>
    <w:p w14:paraId="2CE7F7F7">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管道施工前，应组织对施工作业带内地上、地下各种建（构）筑物和植（作）物等进行清点造册。施工作业带清理、平整应遵循保护农田、植被及配套设施，减少或防止产生水土流失的原则。本项目一般地带作业带宽度设置为</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m，管线局部穿越永久基本农田、</w:t>
      </w:r>
      <w:r>
        <w:rPr>
          <w:rFonts w:hint="default" w:ascii="Times New Roman" w:hAnsi="Times New Roman" w:eastAsia="宋体" w:cs="Times New Roman"/>
          <w:color w:val="auto"/>
          <w:lang w:val="en-US" w:eastAsia="zh-CN"/>
        </w:rPr>
        <w:t>天然林</w:t>
      </w:r>
      <w:r>
        <w:rPr>
          <w:rFonts w:hint="default" w:ascii="Times New Roman" w:hAnsi="Times New Roman" w:eastAsia="宋体" w:cs="Times New Roman"/>
          <w:color w:val="auto"/>
        </w:rPr>
        <w:t>等地区，宜采用沟下组焊方式减小施工作业带宽度</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施工作业带设置为</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m。施工作业带范围内，对于影响施工机具通行或施工作业的石块、杂草、树木、构筑物等应适当清理，沟、坎应予平整，有积水的地势低洼地段应排水填平。山区、丘陵地段对施工作业带内及附近有可能危及施工作业安全的落石、崩岩、滑塌等应进行清除或采取有效防护措施。</w:t>
      </w:r>
    </w:p>
    <w:p w14:paraId="6B1C553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（2）管沟开挖</w:t>
      </w:r>
    </w:p>
    <w:p w14:paraId="2415DDB3">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本项目线路采用沟埋敷设，管沟开挖主要采用机械开挖为主</w:t>
      </w:r>
      <w:r>
        <w:rPr>
          <w:rFonts w:hint="default" w:ascii="Times New Roman" w:hAnsi="Times New Roman" w:eastAsia="宋体" w:cs="Times New Roman"/>
          <w:color w:val="auto"/>
          <w:lang w:eastAsia="zh-CN"/>
        </w:rPr>
        <w:t>，人工开挖为辅。</w:t>
      </w:r>
    </w:p>
    <w:p w14:paraId="1C67F5DB">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开挖前应探明管</w:t>
      </w:r>
      <w:r>
        <w:rPr>
          <w:rFonts w:hint="default" w:ascii="Times New Roman" w:hAnsi="Times New Roman" w:eastAsia="宋体" w:cs="Times New Roman"/>
          <w:color w:val="auto"/>
          <w:lang w:eastAsia="zh-CN"/>
        </w:rPr>
        <w:t>道所经区域地下管线等其他设施情况，开挖施工时，首先在已清理的施工作业带上开挖管沟。本项目线路地区等级为二级，为确保管道安全，减少人为和外力因素造成破坏的可能性，管道应有足够的埋设深度，一般地段管道管顶距地面埋深不低于1.0m，穿越车行道套管顶距地面埋深不低于1.2m，</w:t>
      </w:r>
      <w:r>
        <w:rPr>
          <w:rFonts w:hint="default" w:ascii="Times New Roman" w:hAnsi="Times New Roman" w:eastAsia="宋体" w:cs="Times New Roman"/>
          <w:color w:val="auto"/>
          <w:lang w:val="en-US" w:eastAsia="zh-CN"/>
        </w:rPr>
        <w:t>穿越沟渠管道埋深应距水床底面不小于1m或嵌入基岩深度不小于0.5m</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林区段管沟开挖严禁采用爆破方式进行，严禁在树林边或树林内吸烟、引弧，对于材料中的易燃物质，应设置于空旷的场地且远离焊接区。</w:t>
      </w:r>
    </w:p>
    <w:p w14:paraId="676A1039">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对管沟开挖面的表土进行剥离并集中堆放，管沟敷设完毕后，将表土还原至管沟开挖面。</w:t>
      </w:r>
      <w:r>
        <w:rPr>
          <w:rFonts w:hint="default" w:ascii="Times New Roman" w:hAnsi="Times New Roman" w:eastAsia="宋体" w:cs="Times New Roman"/>
          <w:color w:val="auto"/>
          <w:lang w:val="en-US" w:eastAsia="zh-CN"/>
        </w:rPr>
        <w:t>对耕作区开挖时为有效保护耕作层，一般采用分层开挖、分层堆放、分层回填的原则，且将下层土放在靠近管沟一侧，回填时先用下层土回填，再回填耕植土。若在雨季施工，应对开挖的土方进行保护，防止水土流失。每段管沟的开挖应和管道焊接、下沟回填紧密结合。</w:t>
      </w:r>
    </w:p>
    <w:p w14:paraId="3B2EE7B8">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回填时，如管沟内有积水，应将水排除，并立即回填；如沟内积水无法完全排除，可用沙袋将管线压沉在沟底后回填。管道出土端及弯管两侧，回填时应分层夯实。管沟回填土应高出地面0.3m~0.5m。沿线施工时破坏的田埂、车道等地面设施回填后应按原貌恢复。</w:t>
      </w:r>
    </w:p>
    <w:p w14:paraId="70F2A077">
      <w:pPr>
        <w:pStyle w:val="5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Cs/>
          <w:color w:val="auto"/>
          <w:sz w:val="26"/>
        </w:rPr>
        <w:drawing>
          <wp:inline distT="0" distB="0" distL="114300" distR="114300">
            <wp:extent cx="4140200" cy="2569845"/>
            <wp:effectExtent l="0" t="0" r="12700" b="1905"/>
            <wp:docPr id="58" name="图片 1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descr="图片2"/>
                    <pic:cNvPicPr>
                      <a:picLocks noChangeAspect="1"/>
                    </pic:cNvPicPr>
                  </pic:nvPicPr>
                  <pic:blipFill>
                    <a:blip r:embed="rId8"/>
                    <a:stretch>
                      <a:fillRect/>
                    </a:stretch>
                  </pic:blipFill>
                  <pic:spPr>
                    <a:xfrm>
                      <a:off x="0" y="0"/>
                      <a:ext cx="4140200" cy="2569845"/>
                    </a:xfrm>
                    <a:prstGeom prst="rect">
                      <a:avLst/>
                    </a:prstGeom>
                    <a:noFill/>
                    <a:ln>
                      <a:noFill/>
                    </a:ln>
                  </pic:spPr>
                </pic:pic>
              </a:graphicData>
            </a:graphic>
          </wp:inline>
        </w:drawing>
      </w:r>
    </w:p>
    <w:p w14:paraId="40308E5D">
      <w:pPr>
        <w:pStyle w:val="58"/>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图3.</w:t>
      </w:r>
      <w:r>
        <w:rPr>
          <w:rFonts w:hint="default" w:ascii="Times New Roman" w:hAnsi="Times New Roman" w:eastAsia="宋体" w:cs="Times New Roman"/>
          <w:b/>
          <w:color w:val="auto"/>
          <w:sz w:val="26"/>
          <w:szCs w:val="26"/>
          <w:lang w:val="en-US" w:eastAsia="zh-CN"/>
        </w:rPr>
        <w:t>1</w:t>
      </w:r>
      <w:r>
        <w:rPr>
          <w:rFonts w:hint="default" w:ascii="Times New Roman" w:hAnsi="Times New Roman" w:eastAsia="宋体" w:cs="Times New Roman"/>
          <w:b/>
          <w:color w:val="auto"/>
          <w:sz w:val="26"/>
          <w:szCs w:val="26"/>
        </w:rPr>
        <w:t>-</w:t>
      </w:r>
      <w:r>
        <w:rPr>
          <w:rFonts w:hint="default" w:ascii="Times New Roman" w:hAnsi="Times New Roman" w:eastAsia="宋体" w:cs="Times New Roman"/>
          <w:b/>
          <w:color w:val="auto"/>
          <w:sz w:val="26"/>
          <w:szCs w:val="26"/>
          <w:lang w:val="en-US" w:eastAsia="zh-CN"/>
        </w:rPr>
        <w:t>2</w:t>
      </w:r>
      <w:r>
        <w:rPr>
          <w:rFonts w:hint="default" w:ascii="Times New Roman" w:hAnsi="Times New Roman" w:eastAsia="宋体" w:cs="Times New Roman"/>
          <w:b/>
          <w:color w:val="auto"/>
          <w:sz w:val="26"/>
          <w:szCs w:val="26"/>
        </w:rPr>
        <w:t xml:space="preserve">  管沟开挖示意图</w:t>
      </w:r>
    </w:p>
    <w:p w14:paraId="1FCC3C45">
      <w:pPr>
        <w:snapToGrid w:val="0"/>
        <w:jc w:val="center"/>
        <w:rPr>
          <w:rFonts w:hint="default" w:ascii="Times New Roman" w:hAnsi="Times New Roman" w:eastAsia="宋体" w:cs="Times New Roman"/>
          <w:bCs/>
          <w:color w:val="auto"/>
          <w:sz w:val="26"/>
        </w:rPr>
      </w:pPr>
      <w:r>
        <w:rPr>
          <w:rFonts w:hint="default" w:ascii="Times New Roman" w:hAnsi="Times New Roman" w:eastAsia="宋体" w:cs="Times New Roman"/>
          <w:color w:val="auto"/>
        </w:rPr>
        <w:drawing>
          <wp:inline distT="0" distB="0" distL="114300" distR="114300">
            <wp:extent cx="4140835" cy="2472055"/>
            <wp:effectExtent l="0" t="0" r="12065" b="4445"/>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9"/>
                    <a:srcRect t="9583" b="13197"/>
                    <a:stretch>
                      <a:fillRect/>
                    </a:stretch>
                  </pic:blipFill>
                  <pic:spPr>
                    <a:xfrm>
                      <a:off x="0" y="0"/>
                      <a:ext cx="4140835" cy="2472055"/>
                    </a:xfrm>
                    <a:prstGeom prst="rect">
                      <a:avLst/>
                    </a:prstGeom>
                    <a:noFill/>
                    <a:ln>
                      <a:noFill/>
                    </a:ln>
                  </pic:spPr>
                </pic:pic>
              </a:graphicData>
            </a:graphic>
          </wp:inline>
        </w:drawing>
      </w:r>
    </w:p>
    <w:p w14:paraId="2FA3A606">
      <w:pPr>
        <w:pStyle w:val="58"/>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图3.</w:t>
      </w:r>
      <w:r>
        <w:rPr>
          <w:rFonts w:hint="default" w:ascii="Times New Roman" w:hAnsi="Times New Roman" w:eastAsia="宋体" w:cs="Times New Roman"/>
          <w:color w:val="auto"/>
          <w:sz w:val="26"/>
          <w:szCs w:val="26"/>
          <w:lang w:val="en-US" w:eastAsia="zh-CN"/>
        </w:rPr>
        <w:t>1</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3</w:t>
      </w:r>
      <w:r>
        <w:rPr>
          <w:rFonts w:hint="default" w:ascii="Times New Roman" w:hAnsi="Times New Roman" w:eastAsia="宋体" w:cs="Times New Roman"/>
          <w:color w:val="auto"/>
          <w:sz w:val="26"/>
          <w:szCs w:val="26"/>
        </w:rPr>
        <w:t xml:space="preserve">  国内管沟开挖及布管实景图</w:t>
      </w:r>
    </w:p>
    <w:p w14:paraId="0626508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（3）穿越施工</w:t>
      </w:r>
    </w:p>
    <w:p w14:paraId="0C0A702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本项目穿越道路</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沟渠1次</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道路</w:t>
      </w:r>
      <w:r>
        <w:rPr>
          <w:rFonts w:hint="default" w:ascii="Times New Roman" w:hAnsi="Times New Roman" w:eastAsia="宋体" w:cs="Times New Roman"/>
          <w:color w:val="auto"/>
        </w:rPr>
        <w:t>采用开挖加钢筋混凝土套管方式穿越</w:t>
      </w:r>
      <w:r>
        <w:rPr>
          <w:rFonts w:hint="default" w:ascii="Times New Roman" w:hAnsi="Times New Roman" w:eastAsia="宋体" w:cs="Times New Roman"/>
          <w:color w:val="auto"/>
          <w:lang w:eastAsia="zh-CN"/>
        </w:rPr>
        <w:t>，开挖加钢筋混凝土套管和混凝土</w:t>
      </w:r>
      <w:r>
        <w:rPr>
          <w:rFonts w:hint="default" w:ascii="Times New Roman" w:hAnsi="Times New Roman" w:eastAsia="宋体" w:cs="Times New Roman"/>
          <w:color w:val="auto"/>
          <w:shd w:val="clear" w:fill="FFFFFF"/>
          <w:lang w:eastAsia="zh-CN"/>
        </w:rPr>
        <w:t>现浇稳</w:t>
      </w:r>
      <w:r>
        <w:rPr>
          <w:rFonts w:hint="default" w:ascii="Times New Roman" w:hAnsi="Times New Roman" w:eastAsia="宋体" w:cs="Times New Roman"/>
          <w:color w:val="auto"/>
          <w:lang w:eastAsia="zh-CN"/>
        </w:rPr>
        <w:t>管</w:t>
      </w:r>
      <w:r>
        <w:rPr>
          <w:rFonts w:hint="default" w:ascii="Times New Roman" w:hAnsi="Times New Roman" w:eastAsia="宋体" w:cs="Times New Roman"/>
          <w:color w:val="auto"/>
        </w:rPr>
        <w:t>方式穿越。</w:t>
      </w:r>
    </w:p>
    <w:p w14:paraId="1B6362DC">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道路</w:t>
      </w:r>
      <w:r>
        <w:rPr>
          <w:rFonts w:hint="default" w:ascii="Times New Roman" w:hAnsi="Times New Roman" w:eastAsia="宋体" w:cs="Times New Roman"/>
          <w:color w:val="auto"/>
        </w:rPr>
        <w:t>穿越施工时，应设置行车通道指向标志、减速标志和隔离标志</w:t>
      </w:r>
      <w:r>
        <w:rPr>
          <w:rFonts w:hint="default" w:ascii="Times New Roman" w:hAnsi="Times New Roman" w:eastAsia="宋体" w:cs="Times New Roman"/>
          <w:color w:val="auto"/>
          <w:lang w:val="en-US" w:eastAsia="zh-CN"/>
        </w:rPr>
        <w:t>等</w:t>
      </w:r>
      <w:r>
        <w:rPr>
          <w:rFonts w:hint="default" w:ascii="Times New Roman" w:hAnsi="Times New Roman" w:eastAsia="宋体" w:cs="Times New Roman"/>
          <w:color w:val="auto"/>
        </w:rPr>
        <w:t>警示标志</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并设置专门人员指挥、引导交通；施工完毕后，做好路面恢复。</w:t>
      </w:r>
    </w:p>
    <w:p w14:paraId="5FB83D91">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沟渠穿越</w:t>
      </w:r>
      <w:r>
        <w:rPr>
          <w:rFonts w:hint="default" w:ascii="Times New Roman" w:hAnsi="Times New Roman" w:eastAsia="宋体" w:cs="Times New Roman"/>
          <w:color w:val="auto"/>
          <w:lang w:val="en-US" w:eastAsia="zh-CN"/>
        </w:rPr>
        <w:t>时，</w:t>
      </w:r>
      <w:r>
        <w:rPr>
          <w:rFonts w:hint="default" w:ascii="Times New Roman" w:hAnsi="Times New Roman" w:eastAsia="宋体" w:cs="Times New Roman"/>
          <w:color w:val="auto"/>
        </w:rPr>
        <w:t>管道埋深应距水床底面不小于 1m 或嵌入基岩深度不小于0.5m，现浇混凝土往浆至基岩面再用原土回填，恢复原貌，并按设计要求及时完成护岸、护坡砌筑工程</w:t>
      </w:r>
      <w:r>
        <w:rPr>
          <w:rFonts w:hint="default" w:ascii="Times New Roman" w:hAnsi="Times New Roman" w:eastAsia="宋体" w:cs="Times New Roman"/>
          <w:color w:val="auto"/>
          <w:lang w:eastAsia="zh-CN"/>
        </w:rPr>
        <w:t>。</w:t>
      </w:r>
    </w:p>
    <w:p w14:paraId="36B8B86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（4）操作坑开挖</w:t>
      </w:r>
    </w:p>
    <w:p w14:paraId="7AB0F78B">
      <w:pPr>
        <w:pStyle w:val="56"/>
        <w:rPr>
          <w:rStyle w:val="57"/>
          <w:rFonts w:hint="default" w:ascii="Times New Roman" w:hAnsi="Times New Roman" w:eastAsia="宋体" w:cs="Times New Roman"/>
          <w:color w:val="auto"/>
        </w:rPr>
      </w:pPr>
      <w:r>
        <w:rPr>
          <w:rFonts w:hint="default" w:ascii="Times New Roman" w:hAnsi="Times New Roman" w:eastAsia="宋体" w:cs="Times New Roman"/>
          <w:color w:val="auto"/>
        </w:rPr>
        <w:t>操作坑开挖前应先确认</w:t>
      </w:r>
      <w:r>
        <w:rPr>
          <w:rFonts w:hint="default" w:ascii="Times New Roman" w:hAnsi="Times New Roman" w:eastAsia="宋体" w:cs="Times New Roman"/>
          <w:color w:val="auto"/>
          <w:shd w:val="clear" w:fill="FFFFFF"/>
        </w:rPr>
        <w:t>碰口</w:t>
      </w:r>
      <w:r>
        <w:rPr>
          <w:rFonts w:hint="default" w:ascii="Times New Roman" w:hAnsi="Times New Roman" w:eastAsia="宋体" w:cs="Times New Roman"/>
          <w:color w:val="auto"/>
        </w:rPr>
        <w:t>位置，采用人工开挖方式进行挖掘。在挖掘工作开始之前应会同相关工作人员确认管道附近是否有电缆、接地扁钢等隐蔽工程。如地下有隐蔽工程，则应在交叉位置做好标记，挖掘至交叉位置时应尽量轻挖，防止破坏原有隐蔽工程。为保证管</w:t>
      </w:r>
      <w:r>
        <w:rPr>
          <w:rFonts w:hint="default" w:ascii="Times New Roman" w:hAnsi="Times New Roman" w:eastAsia="宋体" w:cs="Times New Roman"/>
          <w:color w:val="auto"/>
          <w:lang w:val="en-US" w:eastAsia="zh-CN"/>
        </w:rPr>
        <w:t>道</w:t>
      </w:r>
      <w:r>
        <w:rPr>
          <w:rFonts w:hint="default" w:ascii="Times New Roman" w:hAnsi="Times New Roman" w:eastAsia="宋体" w:cs="Times New Roman"/>
          <w:color w:val="auto"/>
        </w:rPr>
        <w:t>安全</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离管道200mm时缓慢清除周围泥土，直至管道露出，露出后往下开挖一定深度使管道露空，管道底部露</w:t>
      </w:r>
      <w:r>
        <w:rPr>
          <w:rStyle w:val="57"/>
          <w:rFonts w:hint="default" w:ascii="Times New Roman" w:hAnsi="Times New Roman" w:eastAsia="宋体" w:cs="Times New Roman"/>
          <w:color w:val="auto"/>
        </w:rPr>
        <w:t>空高度不小于500mm。碰口时，焊接前对原管道进行消磁处理，并且坡口采用丙酮清洗干净，除硫、除污物和粉尘（FeS），保证焊缝根部焊透，不得有未熔合、裂纹等缺陷。</w:t>
      </w:r>
    </w:p>
    <w:p w14:paraId="52361552">
      <w:pPr>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（5）管道焊接与焊缝检查</w:t>
      </w:r>
    </w:p>
    <w:p w14:paraId="1ECD6E5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①管道焊接</w:t>
      </w:r>
    </w:p>
    <w:p w14:paraId="59C3533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本工程输气管道线路采用沟上焊。焊接方式建议</w:t>
      </w:r>
      <w:r>
        <w:rPr>
          <w:rFonts w:hint="default" w:ascii="Times New Roman" w:hAnsi="Times New Roman" w:eastAsia="宋体" w:cs="Times New Roman"/>
          <w:color w:val="auto"/>
          <w:shd w:val="clear" w:fill="FFFFFF"/>
        </w:rPr>
        <w:t>宜</w:t>
      </w:r>
      <w:r>
        <w:rPr>
          <w:rFonts w:hint="default" w:ascii="Times New Roman" w:hAnsi="Times New Roman" w:eastAsia="宋体" w:cs="Times New Roman"/>
          <w:color w:val="auto"/>
        </w:rPr>
        <w:t>半自动焊为主。</w:t>
      </w:r>
    </w:p>
    <w:p w14:paraId="37121997">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②</w:t>
      </w:r>
      <w:r>
        <w:rPr>
          <w:rFonts w:hint="default" w:ascii="Times New Roman" w:hAnsi="Times New Roman" w:eastAsia="宋体" w:cs="Times New Roman"/>
          <w:color w:val="auto"/>
        </w:rPr>
        <w:t>焊缝检查</w:t>
      </w:r>
    </w:p>
    <w:p w14:paraId="28C942B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改线</w:t>
      </w:r>
      <w:r>
        <w:rPr>
          <w:rFonts w:hint="default" w:ascii="Times New Roman" w:hAnsi="Times New Roman" w:eastAsia="宋体" w:cs="Times New Roman"/>
          <w:color w:val="auto"/>
          <w:shd w:val="clear" w:fill="FFFFFF"/>
          <w:lang w:eastAsia="zh-CN"/>
        </w:rPr>
        <w:t>管道</w:t>
      </w:r>
      <w:r>
        <w:rPr>
          <w:rFonts w:hint="default" w:ascii="Times New Roman" w:hAnsi="Times New Roman" w:eastAsia="宋体" w:cs="Times New Roman"/>
          <w:color w:val="auto"/>
        </w:rPr>
        <w:t>焊缝在强度试验和严密试验前须</w:t>
      </w:r>
      <w:r>
        <w:rPr>
          <w:rFonts w:hint="default" w:ascii="Times New Roman" w:hAnsi="Times New Roman" w:eastAsia="宋体" w:cs="Times New Roman"/>
          <w:color w:val="auto"/>
          <w:shd w:val="clear" w:fill="FFFFFF"/>
        </w:rPr>
        <w:t>作</w:t>
      </w:r>
      <w:r>
        <w:rPr>
          <w:rFonts w:hint="default" w:ascii="Times New Roman" w:hAnsi="Times New Roman" w:eastAsia="宋体" w:cs="Times New Roman"/>
          <w:color w:val="auto"/>
        </w:rPr>
        <w:t>外观检查和无损探伤检查。无损检测应符合国家现行标准《石油天然气钢质管道无损检测》（SY/T4109-2020）的规定。本工程管道所有环向焊缝均采用100%射线检测和超声波检测即“双百检测”。不合格的焊缝应进行质量分析，确定处理措施，同一部位的返修不得超过2次，根焊仅允许返修1次，返修焊口应进行“双百检测”。</w:t>
      </w:r>
    </w:p>
    <w:p w14:paraId="36766C4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（6）管道入沟及覆土回填</w:t>
      </w:r>
    </w:p>
    <w:p w14:paraId="7BAE24AE">
      <w:pPr>
        <w:pStyle w:val="56"/>
        <w:jc w:val="both"/>
        <w:rPr>
          <w:rFonts w:hint="default" w:ascii="Times New Roman" w:hAnsi="Times New Roman" w:eastAsia="宋体" w:cs="Times New Roman"/>
          <w:color w:val="auto"/>
        </w:rPr>
      </w:pPr>
      <w:r>
        <w:rPr>
          <w:rFonts w:hint="default" w:ascii="Times New Roman" w:hAnsi="Times New Roman" w:eastAsia="宋体" w:cs="Times New Roman"/>
          <w:color w:val="auto"/>
        </w:rPr>
        <w:t>管道入沟：管段下沟前应进行沟底测量，清除沟中的块石、塌入的泥土、积水。管段下沟时必须使用专用吊具，平稳地将管道吊入沟底，严禁损伤管道外防腐层。管段下沟后应与沟底相吻合，管道应紧贴沟底。在不受外力的情况下妥善就位，若有悬空部分必须填实。石方地段的管沟应超挖0.2m，并采用细土垫实超挖部分，以保护管道外防腐层。</w:t>
      </w:r>
    </w:p>
    <w:p w14:paraId="1278CFA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覆土回填：管道下沟检查完毕立即回填，回填时应防止管道的防腐层被砸伤。回填土的沟顶部分必须高出原地面0.3m呈梯形或弧形，覆土要与管沟中心线一致，其宽度为管沟上开口宽度，并做好排水、严防地表水在管沟附近汇集。对于回填后可能遭受洪水冲刷或浸泡的管沟，应按设计要求采取分层压实回填、引流或压</w:t>
      </w:r>
      <w:r>
        <w:rPr>
          <w:rFonts w:hint="default" w:ascii="Times New Roman" w:hAnsi="Times New Roman" w:eastAsia="宋体" w:cs="Times New Roman"/>
          <w:color w:val="auto"/>
          <w:shd w:val="clear" w:fill="FFFFFF"/>
        </w:rPr>
        <w:t>砂袋</w:t>
      </w:r>
      <w:r>
        <w:rPr>
          <w:rFonts w:hint="default" w:ascii="Times New Roman" w:hAnsi="Times New Roman" w:eastAsia="宋体" w:cs="Times New Roman"/>
          <w:color w:val="auto"/>
        </w:rPr>
        <w:t>等防冲刷和防管道漂浮的措施。</w:t>
      </w:r>
    </w:p>
    <w:p w14:paraId="5460C1E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（7）清管、试压、干燥、置换</w:t>
      </w:r>
    </w:p>
    <w:p w14:paraId="628749C6">
      <w:pPr>
        <w:pStyle w:val="56"/>
        <w:jc w:val="both"/>
        <w:rPr>
          <w:rFonts w:hint="default" w:ascii="Times New Roman" w:hAnsi="Times New Roman" w:eastAsia="宋体" w:cs="Times New Roman"/>
          <w:color w:val="auto"/>
        </w:rPr>
      </w:pPr>
      <w:r>
        <w:rPr>
          <w:rFonts w:hint="default" w:ascii="Times New Roman" w:hAnsi="Times New Roman" w:eastAsia="宋体" w:cs="Times New Roman"/>
          <w:color w:val="auto"/>
        </w:rPr>
        <w:t>管道投产前应进行清管、试压和对管道内的空气进行置换。清管排放口和吹扫口不得设置于人口密集区。试压设备和管线50m范围内在升压过程中为试压禁区，试压时应对试压禁区内的人员进行疏散并设专人看守。</w:t>
      </w:r>
    </w:p>
    <w:p w14:paraId="5D97B428">
      <w:pPr>
        <w:pStyle w:val="56"/>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①清管：在进行试压前必须采用清管器进行清管，清管应确保将管道内的杂物清除干净。清管扫线应设临时清管器收发设施和放空口，并不应使用站内设施。清管时，宜采用压缩空气推动清管器运行，清管器运行时速度应控制在3km/h～5km/h，工作压力宜为0.05MPa～0.2MPa，如遇阻可提高其工作压力</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zh-CN"/>
        </w:rPr>
        <w:t>清管球清扫完成后，应用压缩空气对管道清扫情况进行检验，当目测排气无烟尘时，应在排气口设置白布或涂白漆木靶板检验，5min内靶上无铁锈、尘土等其他杂物为合格；如不合格可采用气体再吹扫至合格。</w:t>
      </w:r>
    </w:p>
    <w:p w14:paraId="6F93912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②试压：</w:t>
      </w:r>
      <w:r>
        <w:rPr>
          <w:rFonts w:hint="default" w:ascii="Times New Roman" w:hAnsi="Times New Roman" w:eastAsia="宋体" w:cs="Times New Roman"/>
          <w:color w:val="auto"/>
          <w:lang w:val="zh-CN"/>
        </w:rPr>
        <w:t>管道清管完毕后，应先进行强度试验，强度试验合格后进行严密性试验，</w:t>
      </w: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lang w:val="zh-CN"/>
        </w:rPr>
        <w:t>迁改段按二级地区要求进行试压，强度试压和严密性试验采用压缩空气作为试压介质。强度试验时，升压应缓慢，每小时升压不得超过1MPa。当压力升至强度试验压力的30%和60%时，各稳压30min，检查系统无异常情况后，继续升压至强度试验压力，稳压不小于4h，管道无破裂，目测无变形、无渗漏，无压降为合格；进行严密性试验时，稳压24h，管道无渗漏，压降率不大于1%试验压力值，且不大于0.1MPa为合格。吹扫试压前，应对试压所用管件、仪表等进行检查校验，合格才能使用。压力表精度不应低于0.4级，温度计分度值小于1℃。管道在强度试验过程中，应设立</w:t>
      </w:r>
      <w:r>
        <w:rPr>
          <w:rFonts w:hint="default" w:ascii="Times New Roman" w:hAnsi="Times New Roman" w:eastAsia="宋体" w:cs="Times New Roman"/>
          <w:color w:val="auto"/>
          <w:shd w:val="clear" w:fill="FFFFFF"/>
          <w:lang w:val="zh-CN"/>
        </w:rPr>
        <w:t>警戒标志</w:t>
      </w:r>
      <w:r>
        <w:rPr>
          <w:rFonts w:hint="default" w:ascii="Times New Roman" w:hAnsi="Times New Roman" w:eastAsia="宋体" w:cs="Times New Roman"/>
          <w:color w:val="auto"/>
          <w:lang w:val="zh-CN"/>
        </w:rPr>
        <w:t>，保持通信畅通，不得沿管道巡线，对过往车辆及行人应加以限制。当管道试验压力降到设计压力、进行严密性检查时方可巡线</w:t>
      </w:r>
      <w:r>
        <w:rPr>
          <w:rFonts w:hint="default" w:ascii="Times New Roman" w:hAnsi="Times New Roman" w:eastAsia="宋体" w:cs="Times New Roman"/>
          <w:color w:val="auto"/>
        </w:rPr>
        <w:t>。</w:t>
      </w:r>
    </w:p>
    <w:p w14:paraId="65235AF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③干燥：采用干空气连续发送泡沫清管器，直到管道末端出口空气的露点达到0℃。应用露点仪检测管道末端出口空气的露点，露点达到0℃后，应使用干空气对管道进行吹扫，进入管道的干空气温度控制在50℃以下。当管道出口处的空气水露点达到设计要求后，继续使用水露点低于﹣40℃的干空气对管道进行低压吹扫，直到管段后半部分被较低水露点的干空气完全置换，当水露点应达到﹣20℃后进行密闭试验。</w:t>
      </w:r>
    </w:p>
    <w:p w14:paraId="6218075C">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④置换：本工程采用氮气—天然气（动火前）、氮气—空气（迁改后）、天然气置换氮气（投运前）的置换方式，置换速度控制在5m/s</w:t>
      </w:r>
      <w:r>
        <w:rPr>
          <w:rFonts w:hint="default" w:ascii="Times New Roman" w:hAnsi="Times New Roman" w:eastAsia="宋体" w:cs="Times New Roman"/>
          <w:color w:val="auto"/>
          <w:lang w:val="en-US" w:eastAsia="zh-CN"/>
        </w:rPr>
        <w:t>以内</w:t>
      </w:r>
      <w:r>
        <w:rPr>
          <w:rFonts w:hint="default" w:ascii="Times New Roman" w:hAnsi="Times New Roman" w:eastAsia="宋体" w:cs="Times New Roman"/>
          <w:color w:val="auto"/>
        </w:rPr>
        <w:t>。</w:t>
      </w:r>
    </w:p>
    <w:p w14:paraId="337EF3C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（8）施工方案的合理性分析</w:t>
      </w:r>
    </w:p>
    <w:p w14:paraId="521815F3">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本项目为</w:t>
      </w:r>
      <w:r>
        <w:rPr>
          <w:rFonts w:hint="default" w:ascii="Times New Roman" w:hAnsi="Times New Roman" w:eastAsia="宋体" w:cs="Times New Roman"/>
          <w:color w:val="auto"/>
          <w:lang w:eastAsia="zh-CN"/>
        </w:rPr>
        <w:t>天然气管道改建工程</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改线管道长度共计</w:t>
      </w:r>
      <w:r>
        <w:rPr>
          <w:rFonts w:hint="default" w:ascii="Times New Roman" w:hAnsi="Times New Roman" w:eastAsia="宋体" w:cs="Times New Roman"/>
          <w:color w:val="auto"/>
          <w:lang w:val="en-US" w:eastAsia="zh-CN"/>
        </w:rPr>
        <w:t>1451.9</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经过区域</w:t>
      </w:r>
      <w:r>
        <w:rPr>
          <w:rFonts w:hint="default" w:ascii="Times New Roman" w:hAnsi="Times New Roman" w:eastAsia="宋体" w:cs="Times New Roman"/>
          <w:color w:val="auto"/>
          <w:lang w:eastAsia="ja-JP"/>
        </w:rPr>
        <w:t>根据道路情况、坡度大小及</w:t>
      </w:r>
      <w:r>
        <w:rPr>
          <w:rFonts w:hint="default" w:ascii="Times New Roman" w:hAnsi="Times New Roman" w:eastAsia="宋体" w:cs="Times New Roman"/>
          <w:color w:val="auto"/>
          <w:lang w:val="en-US" w:eastAsia="zh-CN"/>
        </w:rPr>
        <w:t>地势</w:t>
      </w:r>
      <w:r>
        <w:rPr>
          <w:rFonts w:hint="default" w:ascii="Times New Roman" w:hAnsi="Times New Roman" w:eastAsia="宋体" w:cs="Times New Roman"/>
          <w:color w:val="auto"/>
          <w:lang w:eastAsia="ja-JP"/>
        </w:rPr>
        <w:t>地质情况合理安排布管</w:t>
      </w:r>
      <w:r>
        <w:rPr>
          <w:rFonts w:hint="default" w:ascii="Times New Roman" w:hAnsi="Times New Roman" w:eastAsia="宋体" w:cs="Times New Roman"/>
          <w:color w:val="auto"/>
        </w:rPr>
        <w:t>，敷设工艺（埋地）成熟，挖方（含开挖表土）堆存于施工作业带内，管道敷设完成后</w:t>
      </w:r>
      <w:r>
        <w:rPr>
          <w:rFonts w:hint="default" w:ascii="Times New Roman" w:hAnsi="Times New Roman" w:eastAsia="宋体" w:cs="Times New Roman"/>
          <w:color w:val="auto"/>
          <w:shd w:val="clear" w:fill="FFFFFF"/>
          <w:lang w:eastAsia="zh-CN"/>
        </w:rPr>
        <w:t>及时</w:t>
      </w:r>
      <w:r>
        <w:rPr>
          <w:rFonts w:hint="default" w:ascii="Times New Roman" w:hAnsi="Times New Roman" w:eastAsia="宋体" w:cs="Times New Roman"/>
          <w:color w:val="auto"/>
        </w:rPr>
        <w:t>进行回填，表土回填于最上部，用于复耕复种，对环境的影响较小。</w:t>
      </w:r>
    </w:p>
    <w:p w14:paraId="05EA0D6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通过以上分析可见，本项目的施工工艺合理可行。</w:t>
      </w:r>
    </w:p>
    <w:p w14:paraId="1B57849A">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3.1.2施工期产污分析</w:t>
      </w:r>
    </w:p>
    <w:p w14:paraId="77C365F7">
      <w:pPr>
        <w:adjustRightInd w:val="0"/>
        <w:snapToGrid w:val="0"/>
        <w:spacing w:line="460" w:lineRule="exact"/>
        <w:ind w:firstLine="522" w:firstLineChars="200"/>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w:t>
      </w:r>
      <w:r>
        <w:rPr>
          <w:rFonts w:hint="default" w:ascii="Times New Roman" w:hAnsi="Times New Roman" w:eastAsia="宋体" w:cs="Times New Roman"/>
          <w:b/>
          <w:bCs/>
          <w:color w:val="auto"/>
          <w:sz w:val="26"/>
          <w:szCs w:val="26"/>
          <w:lang w:val="en-US" w:eastAsia="zh-CN"/>
        </w:rPr>
        <w:t>1</w:t>
      </w:r>
      <w:r>
        <w:rPr>
          <w:rFonts w:hint="default" w:ascii="Times New Roman" w:hAnsi="Times New Roman" w:eastAsia="宋体" w:cs="Times New Roman"/>
          <w:b/>
          <w:bCs/>
          <w:color w:val="auto"/>
          <w:sz w:val="26"/>
          <w:szCs w:val="26"/>
        </w:rPr>
        <w:t>）废气</w:t>
      </w:r>
    </w:p>
    <w:p w14:paraId="314CCCF6">
      <w:pPr>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施工期产生的废气主要为施工扬尘、施工机具尾气、少量焊接烟尘以及碰口前</w:t>
      </w:r>
      <w:r>
        <w:rPr>
          <w:rFonts w:hint="default" w:ascii="Times New Roman" w:hAnsi="Times New Roman" w:eastAsia="宋体" w:cs="Times New Roman"/>
          <w:color w:val="auto"/>
          <w:sz w:val="26"/>
          <w:szCs w:val="26"/>
          <w:lang w:val="en-US" w:eastAsia="zh-CN"/>
        </w:rPr>
        <w:t>停气</w:t>
      </w:r>
      <w:r>
        <w:rPr>
          <w:rFonts w:hint="default" w:ascii="Times New Roman" w:hAnsi="Times New Roman" w:eastAsia="宋体" w:cs="Times New Roman"/>
          <w:color w:val="auto"/>
          <w:sz w:val="26"/>
          <w:szCs w:val="26"/>
        </w:rPr>
        <w:t>置换放空时产生的废气。</w:t>
      </w:r>
    </w:p>
    <w:p w14:paraId="041D206A">
      <w:pPr>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fldChar w:fldCharType="begin"/>
      </w:r>
      <w:r>
        <w:rPr>
          <w:rFonts w:hint="default" w:ascii="Times New Roman" w:hAnsi="Times New Roman" w:eastAsia="宋体" w:cs="Times New Roman"/>
          <w:color w:val="auto"/>
          <w:sz w:val="26"/>
          <w:szCs w:val="26"/>
        </w:rPr>
        <w:instrText xml:space="preserve"> = 1 \* GB3 \* MERGEFORMAT </w:instrText>
      </w:r>
      <w:r>
        <w:rPr>
          <w:rFonts w:hint="default" w:ascii="Times New Roman" w:hAnsi="Times New Roman" w:eastAsia="宋体" w:cs="Times New Roman"/>
          <w:color w:val="auto"/>
          <w:sz w:val="26"/>
          <w:szCs w:val="26"/>
        </w:rPr>
        <w:fldChar w:fldCharType="separate"/>
      </w:r>
      <w:r>
        <w:rPr>
          <w:rFonts w:hint="default" w:ascii="Times New Roman" w:hAnsi="Times New Roman" w:eastAsia="宋体" w:cs="Times New Roman"/>
          <w:color w:val="auto"/>
          <w:sz w:val="26"/>
          <w:szCs w:val="26"/>
        </w:rPr>
        <w:t>①</w:t>
      </w:r>
      <w:r>
        <w:rPr>
          <w:rFonts w:hint="default" w:ascii="Times New Roman" w:hAnsi="Times New Roman" w:eastAsia="宋体" w:cs="Times New Roman"/>
          <w:color w:val="auto"/>
          <w:sz w:val="26"/>
          <w:szCs w:val="26"/>
        </w:rPr>
        <w:fldChar w:fldCharType="end"/>
      </w:r>
      <w:r>
        <w:rPr>
          <w:rFonts w:hint="default" w:ascii="Times New Roman" w:hAnsi="Times New Roman" w:eastAsia="宋体" w:cs="Times New Roman"/>
          <w:color w:val="auto"/>
          <w:sz w:val="26"/>
          <w:szCs w:val="26"/>
        </w:rPr>
        <w:t>施工扬尘：管沟开挖、车辆运输、管沟回填时将产生扬尘，影响起尘量的因素包括管沟开挖起尘量、施工渣土堆放场起尘量、进出车辆泥沙量以及起尘高度、空气湿度、风速等。本项目为</w:t>
      </w:r>
      <w:r>
        <w:rPr>
          <w:rFonts w:hint="default" w:ascii="Times New Roman" w:hAnsi="Times New Roman" w:eastAsia="宋体" w:cs="Times New Roman"/>
          <w:color w:val="auto"/>
          <w:sz w:val="26"/>
          <w:szCs w:val="26"/>
          <w:lang w:eastAsia="zh-CN"/>
        </w:rPr>
        <w:t>天然气管道改建</w:t>
      </w:r>
      <w:r>
        <w:rPr>
          <w:rFonts w:hint="default" w:ascii="Times New Roman" w:hAnsi="Times New Roman" w:eastAsia="宋体" w:cs="Times New Roman"/>
          <w:color w:val="auto"/>
          <w:sz w:val="26"/>
          <w:szCs w:val="26"/>
        </w:rPr>
        <w:t>，管道长度较短，施工期较短，在加强管理</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洒水扬尘等</w:t>
      </w:r>
      <w:r>
        <w:rPr>
          <w:rFonts w:hint="default" w:ascii="Times New Roman" w:hAnsi="Times New Roman" w:eastAsia="宋体" w:cs="Times New Roman"/>
          <w:color w:val="auto"/>
          <w:sz w:val="26"/>
          <w:szCs w:val="26"/>
        </w:rPr>
        <w:t>情况下，开挖过程产生的扬尘较少。</w:t>
      </w:r>
    </w:p>
    <w:p w14:paraId="0BB99C1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②机具尾气：项目在管道铺设过程中会使用工程机械和运输车辆，其工作时排放的尾气主要污染物是</w:t>
      </w:r>
      <w:r>
        <w:rPr>
          <w:rFonts w:hint="default" w:ascii="Times New Roman" w:hAnsi="Times New Roman" w:eastAsia="宋体" w:cs="Times New Roman"/>
          <w:color w:val="auto"/>
          <w:shd w:val="clear" w:fill="FFFFFF"/>
        </w:rPr>
        <w:t>C</w:t>
      </w:r>
      <w:r>
        <w:rPr>
          <w:rFonts w:hint="default" w:ascii="Times New Roman" w:hAnsi="Times New Roman" w:eastAsia="宋体" w:cs="Times New Roman"/>
          <w:color w:val="auto"/>
          <w:shd w:val="clear" w:fill="FFFFFF"/>
          <w:vertAlign w:val="subscript"/>
        </w:rPr>
        <w:t>m</w:t>
      </w:r>
      <w:r>
        <w:rPr>
          <w:rFonts w:hint="default" w:ascii="Times New Roman" w:hAnsi="Times New Roman" w:eastAsia="宋体" w:cs="Times New Roman"/>
          <w:color w:val="auto"/>
          <w:shd w:val="clear" w:fill="FFFFFF"/>
        </w:rPr>
        <w:t>H</w:t>
      </w:r>
      <w:r>
        <w:rPr>
          <w:rFonts w:hint="default" w:ascii="Times New Roman" w:hAnsi="Times New Roman" w:eastAsia="宋体" w:cs="Times New Roman"/>
          <w:color w:val="auto"/>
          <w:shd w:val="clear" w:fill="FFFFFF"/>
          <w:vertAlign w:val="subscript"/>
        </w:rPr>
        <w:t>n</w:t>
      </w:r>
      <w:r>
        <w:rPr>
          <w:rFonts w:hint="default" w:ascii="Times New Roman" w:hAnsi="Times New Roman" w:eastAsia="宋体" w:cs="Times New Roman"/>
          <w:color w:val="auto"/>
        </w:rPr>
        <w:t>、CO、NOx等。由于本项目为</w:t>
      </w:r>
      <w:r>
        <w:rPr>
          <w:rFonts w:hint="default" w:ascii="Times New Roman" w:hAnsi="Times New Roman" w:eastAsia="宋体" w:cs="Times New Roman"/>
          <w:color w:val="auto"/>
          <w:lang w:eastAsia="zh-CN"/>
        </w:rPr>
        <w:t>天然气管道改建</w:t>
      </w:r>
      <w:r>
        <w:rPr>
          <w:rFonts w:hint="default" w:ascii="Times New Roman" w:hAnsi="Times New Roman" w:eastAsia="宋体" w:cs="Times New Roman"/>
          <w:color w:val="auto"/>
          <w:lang w:val="en-US" w:eastAsia="zh-CN"/>
        </w:rPr>
        <w:t>工程</w:t>
      </w:r>
      <w:r>
        <w:rPr>
          <w:rFonts w:hint="default" w:ascii="Times New Roman" w:hAnsi="Times New Roman" w:eastAsia="宋体" w:cs="Times New Roman"/>
          <w:color w:val="auto"/>
        </w:rPr>
        <w:t>，管道长度较短，施工期较短，产生的废气量较</w:t>
      </w:r>
      <w:r>
        <w:rPr>
          <w:rFonts w:hint="default" w:ascii="Times New Roman" w:hAnsi="Times New Roman" w:eastAsia="宋体" w:cs="Times New Roman"/>
          <w:color w:val="auto"/>
          <w:shd w:val="clear" w:fill="FFFFFF"/>
        </w:rPr>
        <w:t>小</w:t>
      </w:r>
      <w:r>
        <w:rPr>
          <w:rFonts w:hint="default" w:ascii="Times New Roman" w:hAnsi="Times New Roman" w:eastAsia="宋体" w:cs="Times New Roman"/>
          <w:color w:val="auto"/>
        </w:rPr>
        <w:t>。且项目施工现场位于开阔地带，有利于废气扩散，且废气污染源具有间歇性和流动性，因此对局部地区的环境影响较轻。另外，管道工程完工后用干空气或氮气置换管内空气，干空气和氮气均无毒、无害，不会对环境产生影响。</w:t>
      </w:r>
    </w:p>
    <w:p w14:paraId="79CA9C16">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③焊接烟尘：管道焊接过程中会产生少量焊接烟气，焊接工艺在开阔空间完成，焊接时间短，同时使用优质环保焊条，废气排放量小且间断性排放，对环境空气的影响有限。</w:t>
      </w:r>
    </w:p>
    <w:p w14:paraId="1CAACEA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④点火放空废气：本工程管道碰口前</w:t>
      </w:r>
      <w:r>
        <w:rPr>
          <w:rFonts w:hint="default" w:ascii="Times New Roman" w:hAnsi="Times New Roman" w:eastAsia="宋体" w:cs="Times New Roman"/>
          <w:color w:val="auto"/>
          <w:shd w:val="clear" w:fill="FFFFFF"/>
        </w:rPr>
        <w:t>需将</w:t>
      </w:r>
      <w:r>
        <w:rPr>
          <w:rFonts w:hint="default" w:ascii="Times New Roman" w:hAnsi="Times New Roman" w:eastAsia="宋体" w:cs="Times New Roman"/>
          <w:color w:val="auto"/>
        </w:rPr>
        <w:t>采用氮气置换天然气。项目改线管道置换范围为</w:t>
      </w:r>
      <w:r>
        <w:rPr>
          <w:rFonts w:hint="default" w:ascii="Times New Roman" w:hAnsi="Times New Roman" w:eastAsia="宋体" w:cs="Times New Roman"/>
          <w:color w:val="auto"/>
          <w:lang w:val="en-US" w:eastAsia="zh-CN"/>
        </w:rPr>
        <w:t>新盛站</w:t>
      </w:r>
      <w:r>
        <w:rPr>
          <w:rFonts w:hint="default" w:ascii="Times New Roman" w:hAnsi="Times New Roman" w:eastAsia="宋体" w:cs="Times New Roman"/>
          <w:color w:val="auto"/>
        </w:rPr>
        <w:t>和</w:t>
      </w:r>
      <w:r>
        <w:rPr>
          <w:rFonts w:hint="default" w:ascii="Times New Roman" w:hAnsi="Times New Roman" w:eastAsia="宋体" w:cs="Times New Roman"/>
          <w:color w:val="auto"/>
          <w:lang w:val="en-US" w:eastAsia="zh-CN"/>
        </w:rPr>
        <w:t>铁浅1井</w:t>
      </w:r>
      <w:r>
        <w:rPr>
          <w:rFonts w:hint="default" w:ascii="Times New Roman" w:hAnsi="Times New Roman" w:eastAsia="宋体" w:cs="Times New Roman"/>
          <w:color w:val="auto"/>
        </w:rPr>
        <w:t>之间，长约</w:t>
      </w:r>
      <w:r>
        <w:rPr>
          <w:rFonts w:hint="default" w:ascii="Times New Roman" w:hAnsi="Times New Roman" w:eastAsia="宋体" w:cs="Times New Roman"/>
          <w:color w:val="auto"/>
          <w:lang w:val="en-US" w:eastAsia="zh-CN"/>
        </w:rPr>
        <w:t>16</w:t>
      </w:r>
      <w:r>
        <w:rPr>
          <w:rFonts w:hint="default" w:ascii="Times New Roman" w:hAnsi="Times New Roman" w:eastAsia="宋体" w:cs="Times New Roman"/>
          <w:color w:val="auto"/>
        </w:rPr>
        <w:t>km，天然气放空依托</w:t>
      </w:r>
      <w:r>
        <w:rPr>
          <w:rFonts w:hint="default" w:ascii="Times New Roman" w:hAnsi="Times New Roman" w:eastAsia="宋体" w:cs="Times New Roman"/>
          <w:color w:val="auto"/>
          <w:lang w:val="en-US" w:eastAsia="zh-CN"/>
        </w:rPr>
        <w:t>新盛站放空设备</w:t>
      </w:r>
      <w:r>
        <w:rPr>
          <w:rFonts w:hint="default" w:ascii="Times New Roman" w:hAnsi="Times New Roman" w:eastAsia="宋体" w:cs="Times New Roman"/>
          <w:color w:val="auto"/>
        </w:rPr>
        <w:t>进行，放空量约为</w:t>
      </w:r>
      <w:r>
        <w:rPr>
          <w:rFonts w:hint="default" w:ascii="Times New Roman" w:hAnsi="Times New Roman" w:eastAsia="宋体" w:cs="Times New Roman"/>
          <w:color w:val="auto"/>
          <w:lang w:val="en-US" w:eastAsia="zh-CN"/>
        </w:rPr>
        <w:t>224.85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，采用点火放空，燃烧后</w:t>
      </w:r>
      <w:r>
        <w:rPr>
          <w:rFonts w:hint="default" w:ascii="Times New Roman" w:hAnsi="Times New Roman" w:eastAsia="宋体" w:cs="Times New Roman"/>
          <w:color w:val="auto"/>
          <w:shd w:val="clear" w:fill="FFFFFF"/>
          <w:lang w:eastAsia="zh-CN"/>
        </w:rPr>
        <w:t>产物</w:t>
      </w:r>
      <w:r>
        <w:rPr>
          <w:rFonts w:hint="default" w:ascii="Times New Roman" w:hAnsi="Times New Roman" w:eastAsia="宋体" w:cs="Times New Roman"/>
          <w:color w:val="auto"/>
        </w:rPr>
        <w:t>主要为CO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和H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O，对环境影响小。</w:t>
      </w:r>
    </w:p>
    <w:p w14:paraId="7DA31A68">
      <w:pPr>
        <w:adjustRightInd w:val="0"/>
        <w:snapToGrid w:val="0"/>
        <w:spacing w:line="460" w:lineRule="exact"/>
        <w:ind w:firstLine="522" w:firstLineChars="200"/>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（2）废水</w:t>
      </w:r>
    </w:p>
    <w:p w14:paraId="02BE26A5">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val="en-US" w:eastAsia="zh-CN"/>
        </w:rPr>
        <w:t>本项目不设施工营地，</w:t>
      </w:r>
      <w:r>
        <w:rPr>
          <w:rFonts w:hint="default" w:ascii="Times New Roman" w:hAnsi="Times New Roman" w:eastAsia="宋体" w:cs="Times New Roman"/>
          <w:color w:val="auto"/>
          <w:sz w:val="26"/>
          <w:szCs w:val="26"/>
        </w:rPr>
        <w:t>施工期产生的废水主要有</w:t>
      </w:r>
      <w:r>
        <w:rPr>
          <w:rFonts w:hint="default" w:ascii="Times New Roman" w:hAnsi="Times New Roman" w:eastAsia="宋体" w:cs="Times New Roman"/>
          <w:color w:val="auto"/>
          <w:sz w:val="26"/>
          <w:szCs w:val="26"/>
          <w:lang w:val="en-US" w:eastAsia="zh-CN"/>
        </w:rPr>
        <w:t>施工废水、</w:t>
      </w:r>
      <w:r>
        <w:rPr>
          <w:rFonts w:hint="default" w:ascii="Times New Roman" w:hAnsi="Times New Roman" w:eastAsia="宋体" w:cs="Times New Roman"/>
          <w:color w:val="auto"/>
          <w:sz w:val="26"/>
          <w:szCs w:val="26"/>
        </w:rPr>
        <w:t>管道试压废水和施工人员生活污水。</w:t>
      </w:r>
    </w:p>
    <w:p w14:paraId="7F79B371">
      <w:pPr>
        <w:adjustRightInd w:val="0"/>
        <w:snapToGrid w:val="0"/>
        <w:spacing w:line="460" w:lineRule="exact"/>
        <w:ind w:firstLine="520" w:firstLineChars="2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①施工废水：主要为施工机械冲洗废水，管线施工废水产生量约2</w:t>
      </w:r>
      <w:r>
        <w:rPr>
          <w:rFonts w:hint="default" w:ascii="Times New Roman" w:hAnsi="Times New Roman" w:eastAsia="宋体" w:cs="Times New Roman"/>
          <w:color w:val="auto"/>
          <w:sz w:val="26"/>
          <w:szCs w:val="26"/>
        </w:rPr>
        <w:t>m</w:t>
      </w:r>
      <w:r>
        <w:rPr>
          <w:rFonts w:hint="default" w:ascii="Times New Roman" w:hAnsi="Times New Roman" w:eastAsia="宋体" w:cs="Times New Roman"/>
          <w:color w:val="auto"/>
          <w:sz w:val="26"/>
          <w:szCs w:val="26"/>
          <w:vertAlign w:val="superscript"/>
          <w:lang w:val="en-US" w:eastAsia="zh-CN"/>
        </w:rPr>
        <w:t>2</w:t>
      </w:r>
      <w:r>
        <w:rPr>
          <w:rFonts w:hint="default" w:ascii="Times New Roman" w:hAnsi="Times New Roman" w:eastAsia="宋体" w:cs="Times New Roman"/>
          <w:color w:val="auto"/>
          <w:sz w:val="26"/>
          <w:szCs w:val="26"/>
        </w:rPr>
        <w:t>/d</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该类废水主要污染物为SS（2</w:t>
      </w:r>
      <w:r>
        <w:rPr>
          <w:rFonts w:hint="default" w:ascii="Times New Roman" w:hAnsi="Times New Roman" w:eastAsia="宋体" w:cs="Times New Roman"/>
          <w:color w:val="auto"/>
          <w:sz w:val="26"/>
          <w:szCs w:val="26"/>
        </w:rPr>
        <w:t>00</w:t>
      </w:r>
      <w:r>
        <w:rPr>
          <w:rFonts w:hint="default" w:ascii="Times New Roman" w:hAnsi="Times New Roman" w:eastAsia="宋体" w:cs="Times New Roman"/>
          <w:color w:val="auto"/>
          <w:sz w:val="26"/>
          <w:szCs w:val="26"/>
          <w:lang w:val="en-US" w:eastAsia="zh-CN"/>
        </w:rPr>
        <w:t>0</w:t>
      </w:r>
      <w:r>
        <w:rPr>
          <w:rFonts w:hint="default" w:ascii="Times New Roman" w:hAnsi="Times New Roman" w:eastAsia="宋体" w:cs="Times New Roman"/>
          <w:color w:val="auto"/>
          <w:sz w:val="26"/>
          <w:szCs w:val="26"/>
        </w:rPr>
        <w:t>mg/L</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少量石油类（2</w:t>
      </w:r>
      <w:r>
        <w:rPr>
          <w:rFonts w:hint="default" w:ascii="Times New Roman" w:hAnsi="Times New Roman" w:eastAsia="宋体" w:cs="Times New Roman"/>
          <w:color w:val="auto"/>
          <w:sz w:val="26"/>
          <w:szCs w:val="26"/>
        </w:rPr>
        <w:t>00mg/L</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经隔油沉淀处理后回用作为施工用水或施工作业带洒水扬尘。</w:t>
      </w:r>
    </w:p>
    <w:p w14:paraId="63D9A9F0">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val="en-US" w:eastAsia="zh-CN"/>
        </w:rPr>
        <w:t>②</w:t>
      </w:r>
      <w:r>
        <w:rPr>
          <w:rFonts w:hint="default" w:ascii="Times New Roman" w:hAnsi="Times New Roman" w:eastAsia="宋体" w:cs="Times New Roman"/>
          <w:color w:val="auto"/>
          <w:sz w:val="26"/>
          <w:szCs w:val="26"/>
        </w:rPr>
        <w:t>试压废水：本项目管道全线均采用清水试压。本项目试压废水产生量约</w:t>
      </w:r>
      <w:r>
        <w:rPr>
          <w:rFonts w:hint="default" w:ascii="Times New Roman" w:hAnsi="Times New Roman" w:eastAsia="宋体" w:cs="Times New Roman"/>
          <w:color w:val="auto"/>
          <w:sz w:val="26"/>
          <w:szCs w:val="26"/>
          <w:lang w:val="en-US" w:eastAsia="zh-CN"/>
        </w:rPr>
        <w:t>79.48</w:t>
      </w:r>
      <w:r>
        <w:rPr>
          <w:rFonts w:hint="default" w:ascii="Times New Roman" w:hAnsi="Times New Roman" w:eastAsia="宋体" w:cs="Times New Roman"/>
          <w:color w:val="auto"/>
          <w:sz w:val="26"/>
          <w:szCs w:val="26"/>
        </w:rPr>
        <w:t>m</w:t>
      </w:r>
      <w:r>
        <w:rPr>
          <w:rFonts w:hint="default" w:ascii="Times New Roman" w:hAnsi="Times New Roman" w:eastAsia="宋体" w:cs="Times New Roman"/>
          <w:color w:val="auto"/>
          <w:sz w:val="26"/>
          <w:szCs w:val="26"/>
          <w:vertAlign w:val="superscript"/>
        </w:rPr>
        <w:t>3</w:t>
      </w:r>
      <w:r>
        <w:rPr>
          <w:rFonts w:hint="default" w:ascii="Times New Roman" w:hAnsi="Times New Roman" w:eastAsia="宋体" w:cs="Times New Roman"/>
          <w:color w:val="auto"/>
          <w:sz w:val="26"/>
          <w:szCs w:val="26"/>
        </w:rPr>
        <w:t>，主要污染物为SS，包括机械杂质和泥沙等。通过沉淀后回用于设备、车辆冲洗和场地洒水降尘。</w:t>
      </w:r>
    </w:p>
    <w:p w14:paraId="5342B104">
      <w:pPr>
        <w:pStyle w:val="56"/>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val="en-US" w:eastAsia="zh-CN"/>
        </w:rPr>
        <w:t>③</w:t>
      </w:r>
      <w:r>
        <w:rPr>
          <w:rFonts w:hint="default" w:ascii="Times New Roman" w:hAnsi="Times New Roman" w:eastAsia="宋体" w:cs="Times New Roman"/>
          <w:color w:val="auto"/>
          <w:sz w:val="26"/>
          <w:szCs w:val="26"/>
          <w:lang w:eastAsia="ja-JP"/>
        </w:rPr>
        <w:t>生活污水：施工人员生活污水以每人100L/d计，</w:t>
      </w:r>
      <w:r>
        <w:rPr>
          <w:rFonts w:hint="default" w:ascii="Times New Roman" w:hAnsi="Times New Roman" w:eastAsia="宋体" w:cs="Times New Roman"/>
          <w:color w:val="auto"/>
          <w:sz w:val="26"/>
          <w:szCs w:val="26"/>
        </w:rPr>
        <w:t>考虑每天施工人员10人，产污系数为0.85，因此，生活污水产生量约0.85m</w:t>
      </w:r>
      <w:r>
        <w:rPr>
          <w:rFonts w:hint="default" w:ascii="Times New Roman" w:hAnsi="Times New Roman" w:eastAsia="宋体" w:cs="Times New Roman"/>
          <w:color w:val="auto"/>
          <w:sz w:val="26"/>
          <w:szCs w:val="26"/>
          <w:vertAlign w:val="superscript"/>
        </w:rPr>
        <w:t>3</w:t>
      </w:r>
      <w:r>
        <w:rPr>
          <w:rFonts w:hint="default" w:ascii="Times New Roman" w:hAnsi="Times New Roman" w:eastAsia="宋体" w:cs="Times New Roman"/>
          <w:color w:val="auto"/>
          <w:sz w:val="26"/>
          <w:szCs w:val="26"/>
        </w:rPr>
        <w:t>/d，主要污染物为COD、BOD、NH</w:t>
      </w:r>
      <w:r>
        <w:rPr>
          <w:rFonts w:hint="default" w:ascii="Times New Roman" w:hAnsi="Times New Roman" w:eastAsia="宋体" w:cs="Times New Roman"/>
          <w:color w:val="auto"/>
          <w:sz w:val="26"/>
          <w:szCs w:val="26"/>
          <w:vertAlign w:val="subscript"/>
        </w:rPr>
        <w:t>3</w:t>
      </w:r>
      <w:r>
        <w:rPr>
          <w:rFonts w:hint="default" w:ascii="Times New Roman" w:hAnsi="Times New Roman" w:eastAsia="宋体" w:cs="Times New Roman"/>
          <w:color w:val="auto"/>
          <w:sz w:val="26"/>
          <w:szCs w:val="26"/>
        </w:rPr>
        <w:t>-N、动植物油，浓度分别约为300mg/L、180mg/L、30mg/L、20 mg/L，产生量分别为0.255kg/d、0.153kg/d、0.02</w:t>
      </w:r>
      <w:r>
        <w:rPr>
          <w:rFonts w:hint="default" w:ascii="Times New Roman" w:hAnsi="Times New Roman" w:eastAsia="宋体" w:cs="Times New Roman"/>
          <w:color w:val="auto"/>
          <w:sz w:val="26"/>
          <w:szCs w:val="26"/>
          <w:lang w:val="en-US" w:eastAsia="zh-CN"/>
        </w:rPr>
        <w:t>55</w:t>
      </w:r>
      <w:r>
        <w:rPr>
          <w:rFonts w:hint="default" w:ascii="Times New Roman" w:hAnsi="Times New Roman" w:eastAsia="宋体" w:cs="Times New Roman"/>
          <w:color w:val="auto"/>
          <w:sz w:val="26"/>
          <w:szCs w:val="26"/>
        </w:rPr>
        <w:t>kg/d、0.017kg/d。本工程周边社会依托条件较好，不需建设施工营地，施工人员生活依托管线周边的旅馆、居民房等，生活污水依托现有污水处理设施处理，不外排。</w:t>
      </w:r>
    </w:p>
    <w:p w14:paraId="6C91BF46">
      <w:pPr>
        <w:snapToGrid w:val="0"/>
        <w:spacing w:line="480" w:lineRule="exact"/>
        <w:ind w:firstLine="522" w:firstLineChars="200"/>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w:t>
      </w:r>
      <w:r>
        <w:rPr>
          <w:rFonts w:hint="default" w:ascii="Times New Roman" w:hAnsi="Times New Roman" w:eastAsia="宋体" w:cs="Times New Roman"/>
          <w:b/>
          <w:bCs/>
          <w:color w:val="auto"/>
          <w:sz w:val="26"/>
          <w:szCs w:val="26"/>
          <w:lang w:val="en-US" w:eastAsia="zh-CN"/>
        </w:rPr>
        <w:t>3</w:t>
      </w:r>
      <w:r>
        <w:rPr>
          <w:rFonts w:hint="default" w:ascii="Times New Roman" w:hAnsi="Times New Roman" w:eastAsia="宋体" w:cs="Times New Roman"/>
          <w:b/>
          <w:bCs/>
          <w:color w:val="auto"/>
          <w:sz w:val="26"/>
          <w:szCs w:val="26"/>
        </w:rPr>
        <w:t>）噪声</w:t>
      </w:r>
    </w:p>
    <w:p w14:paraId="7DAE5BCF">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噪声源主要来自施工作业机械，如挖掘机、电焊机、运输车辆等，其强度在84~96dB（A）之间；本项目主要施工机械噪声源强见表3.1-1。</w:t>
      </w:r>
    </w:p>
    <w:p w14:paraId="0AEE5F55">
      <w:pPr>
        <w:pStyle w:val="58"/>
        <w:rPr>
          <w:rFonts w:hint="default" w:ascii="Times New Roman" w:hAnsi="Times New Roman" w:eastAsia="宋体" w:cs="Times New Roman"/>
          <w:color w:val="auto"/>
        </w:rPr>
      </w:pPr>
    </w:p>
    <w:p w14:paraId="5F1BF03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表3.1-1    施工期主要施工机具噪声源强</w:t>
      </w:r>
    </w:p>
    <w:tbl>
      <w:tblPr>
        <w:tblStyle w:val="29"/>
        <w:tblW w:w="4997" w:type="pct"/>
        <w:jc w:val="center"/>
        <w:tblLayout w:type="autofit"/>
        <w:tblCellMar>
          <w:top w:w="0" w:type="dxa"/>
          <w:left w:w="28" w:type="dxa"/>
          <w:bottom w:w="0" w:type="dxa"/>
          <w:right w:w="28" w:type="dxa"/>
        </w:tblCellMar>
      </w:tblPr>
      <w:tblGrid>
        <w:gridCol w:w="838"/>
        <w:gridCol w:w="1666"/>
        <w:gridCol w:w="2008"/>
        <w:gridCol w:w="661"/>
        <w:gridCol w:w="1831"/>
        <w:gridCol w:w="1777"/>
      </w:tblGrid>
      <w:tr w14:paraId="34460898">
        <w:tblPrEx>
          <w:tblCellMar>
            <w:top w:w="0" w:type="dxa"/>
            <w:left w:w="28" w:type="dxa"/>
            <w:bottom w:w="0" w:type="dxa"/>
            <w:right w:w="28" w:type="dxa"/>
          </w:tblCellMar>
        </w:tblPrEx>
        <w:trPr>
          <w:trHeight w:val="340" w:hRule="atLeast"/>
          <w:tblHeader/>
          <w:jc w:val="center"/>
        </w:trPr>
        <w:tc>
          <w:tcPr>
            <w:tcW w:w="477" w:type="pct"/>
            <w:tcBorders>
              <w:top w:val="single" w:color="000000" w:sz="6" w:space="0"/>
              <w:left w:val="single" w:color="000000" w:sz="6" w:space="0"/>
              <w:bottom w:val="single" w:color="000000" w:sz="6" w:space="0"/>
              <w:right w:val="single" w:color="000000" w:sz="6" w:space="0"/>
            </w:tcBorders>
            <w:noWrap w:val="0"/>
            <w:vAlign w:val="center"/>
          </w:tcPr>
          <w:p w14:paraId="45CB3ADD">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948" w:type="pct"/>
            <w:tcBorders>
              <w:top w:val="single" w:color="000000" w:sz="6" w:space="0"/>
              <w:left w:val="single" w:color="000000" w:sz="6" w:space="0"/>
              <w:bottom w:val="single" w:color="000000" w:sz="6" w:space="0"/>
              <w:right w:val="single" w:color="000000" w:sz="6" w:space="0"/>
            </w:tcBorders>
            <w:noWrap w:val="0"/>
            <w:vAlign w:val="center"/>
          </w:tcPr>
          <w:p w14:paraId="5F5328DA">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机械设备名称</w:t>
            </w:r>
          </w:p>
        </w:tc>
        <w:tc>
          <w:tcPr>
            <w:tcW w:w="1143" w:type="pct"/>
            <w:tcBorders>
              <w:top w:val="single" w:color="000000" w:sz="6" w:space="0"/>
              <w:left w:val="single" w:color="000000" w:sz="6" w:space="0"/>
              <w:bottom w:val="single" w:color="000000" w:sz="6" w:space="0"/>
              <w:right w:val="single" w:color="000000" w:sz="6" w:space="0"/>
            </w:tcBorders>
            <w:noWrap w:val="0"/>
            <w:vAlign w:val="center"/>
          </w:tcPr>
          <w:p w14:paraId="5663FD5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噪声源强dB(A)</w:t>
            </w:r>
          </w:p>
        </w:tc>
        <w:tc>
          <w:tcPr>
            <w:tcW w:w="376" w:type="pct"/>
            <w:tcBorders>
              <w:top w:val="single" w:color="000000" w:sz="6" w:space="0"/>
              <w:left w:val="single" w:color="000000" w:sz="6" w:space="0"/>
              <w:bottom w:val="single" w:color="000000" w:sz="6" w:space="0"/>
              <w:right w:val="single" w:color="000000" w:sz="6" w:space="0"/>
            </w:tcBorders>
            <w:noWrap w:val="0"/>
            <w:vAlign w:val="top"/>
          </w:tcPr>
          <w:p w14:paraId="7370647A">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1042" w:type="pct"/>
            <w:tcBorders>
              <w:top w:val="single" w:color="000000" w:sz="6" w:space="0"/>
              <w:left w:val="single" w:color="000000" w:sz="6" w:space="0"/>
              <w:bottom w:val="single" w:color="000000" w:sz="6" w:space="0"/>
              <w:right w:val="single" w:color="000000" w:sz="6" w:space="0"/>
            </w:tcBorders>
            <w:noWrap w:val="0"/>
            <w:vAlign w:val="center"/>
          </w:tcPr>
          <w:p w14:paraId="19A71BA7">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机械设备名称</w:t>
            </w:r>
          </w:p>
        </w:tc>
        <w:tc>
          <w:tcPr>
            <w:tcW w:w="1011" w:type="pct"/>
            <w:tcBorders>
              <w:top w:val="single" w:color="000000" w:sz="6" w:space="0"/>
              <w:left w:val="single" w:color="000000" w:sz="6" w:space="0"/>
              <w:bottom w:val="single" w:color="000000" w:sz="6" w:space="0"/>
              <w:right w:val="single" w:color="000000" w:sz="6" w:space="0"/>
            </w:tcBorders>
            <w:noWrap w:val="0"/>
            <w:vAlign w:val="center"/>
          </w:tcPr>
          <w:p w14:paraId="00E84267">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噪声源强dB(A)</w:t>
            </w:r>
          </w:p>
        </w:tc>
      </w:tr>
      <w:tr w14:paraId="0F489724">
        <w:tblPrEx>
          <w:tblCellMar>
            <w:top w:w="0" w:type="dxa"/>
            <w:left w:w="28" w:type="dxa"/>
            <w:bottom w:w="0" w:type="dxa"/>
            <w:right w:w="28" w:type="dxa"/>
          </w:tblCellMar>
        </w:tblPrEx>
        <w:trPr>
          <w:trHeight w:val="340" w:hRule="atLeast"/>
          <w:tblHeader/>
          <w:jc w:val="center"/>
        </w:trPr>
        <w:tc>
          <w:tcPr>
            <w:tcW w:w="477" w:type="pct"/>
            <w:tcBorders>
              <w:top w:val="single" w:color="000000" w:sz="6" w:space="0"/>
              <w:left w:val="single" w:color="000000" w:sz="6" w:space="0"/>
              <w:bottom w:val="single" w:color="000000" w:sz="6" w:space="0"/>
              <w:right w:val="single" w:color="000000" w:sz="6" w:space="0"/>
            </w:tcBorders>
            <w:noWrap w:val="0"/>
            <w:vAlign w:val="center"/>
          </w:tcPr>
          <w:p w14:paraId="304DA637">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948" w:type="pct"/>
            <w:tcBorders>
              <w:top w:val="single" w:color="000000" w:sz="6" w:space="0"/>
              <w:left w:val="single" w:color="000000" w:sz="6" w:space="0"/>
              <w:bottom w:val="single" w:color="000000" w:sz="6" w:space="0"/>
              <w:right w:val="single" w:color="000000" w:sz="6" w:space="0"/>
            </w:tcBorders>
            <w:noWrap w:val="0"/>
            <w:vAlign w:val="center"/>
          </w:tcPr>
          <w:p w14:paraId="717B9012">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挖掘机</w:t>
            </w:r>
          </w:p>
        </w:tc>
        <w:tc>
          <w:tcPr>
            <w:tcW w:w="1143" w:type="pct"/>
            <w:tcBorders>
              <w:top w:val="single" w:color="000000" w:sz="6" w:space="0"/>
              <w:left w:val="single" w:color="000000" w:sz="6" w:space="0"/>
              <w:bottom w:val="single" w:color="000000" w:sz="6" w:space="0"/>
              <w:right w:val="single" w:color="000000" w:sz="6" w:space="0"/>
            </w:tcBorders>
            <w:noWrap w:val="0"/>
            <w:vAlign w:val="center"/>
          </w:tcPr>
          <w:p w14:paraId="3BC46A8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84</w:t>
            </w:r>
          </w:p>
        </w:tc>
        <w:tc>
          <w:tcPr>
            <w:tcW w:w="376" w:type="pct"/>
            <w:tcBorders>
              <w:top w:val="single" w:color="000000" w:sz="6" w:space="0"/>
              <w:left w:val="single" w:color="000000" w:sz="6" w:space="0"/>
              <w:bottom w:val="single" w:color="000000" w:sz="6" w:space="0"/>
              <w:right w:val="single" w:color="000000" w:sz="6" w:space="0"/>
            </w:tcBorders>
            <w:noWrap w:val="0"/>
            <w:vAlign w:val="center"/>
          </w:tcPr>
          <w:p w14:paraId="4FEC2B4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042" w:type="pct"/>
            <w:tcBorders>
              <w:top w:val="single" w:color="000000" w:sz="6" w:space="0"/>
              <w:left w:val="single" w:color="000000" w:sz="6" w:space="0"/>
              <w:bottom w:val="single" w:color="000000" w:sz="6" w:space="0"/>
              <w:right w:val="single" w:color="000000" w:sz="6" w:space="0"/>
            </w:tcBorders>
            <w:noWrap w:val="0"/>
            <w:vAlign w:val="center"/>
          </w:tcPr>
          <w:p w14:paraId="582F61EE">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空压机</w:t>
            </w:r>
          </w:p>
        </w:tc>
        <w:tc>
          <w:tcPr>
            <w:tcW w:w="1011" w:type="pct"/>
            <w:tcBorders>
              <w:top w:val="single" w:color="000000" w:sz="6" w:space="0"/>
              <w:left w:val="single" w:color="000000" w:sz="6" w:space="0"/>
              <w:bottom w:val="single" w:color="000000" w:sz="6" w:space="0"/>
              <w:right w:val="single" w:color="000000" w:sz="6" w:space="0"/>
            </w:tcBorders>
            <w:noWrap w:val="0"/>
            <w:vAlign w:val="center"/>
          </w:tcPr>
          <w:p w14:paraId="7AE2C405">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88</w:t>
            </w:r>
          </w:p>
        </w:tc>
      </w:tr>
      <w:tr w14:paraId="0366C3C8">
        <w:tblPrEx>
          <w:tblCellMar>
            <w:top w:w="0" w:type="dxa"/>
            <w:left w:w="28" w:type="dxa"/>
            <w:bottom w:w="0" w:type="dxa"/>
            <w:right w:w="28" w:type="dxa"/>
          </w:tblCellMar>
        </w:tblPrEx>
        <w:trPr>
          <w:trHeight w:val="340" w:hRule="atLeast"/>
          <w:tblHeader/>
          <w:jc w:val="center"/>
        </w:trPr>
        <w:tc>
          <w:tcPr>
            <w:tcW w:w="477" w:type="pct"/>
            <w:tcBorders>
              <w:top w:val="single" w:color="000000" w:sz="6" w:space="0"/>
              <w:left w:val="single" w:color="000000" w:sz="6" w:space="0"/>
              <w:bottom w:val="single" w:color="000000" w:sz="6" w:space="0"/>
              <w:right w:val="single" w:color="000000" w:sz="6" w:space="0"/>
            </w:tcBorders>
            <w:noWrap w:val="0"/>
            <w:vAlign w:val="center"/>
          </w:tcPr>
          <w:p w14:paraId="4ED587A4">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948" w:type="pct"/>
            <w:tcBorders>
              <w:top w:val="single" w:color="000000" w:sz="6" w:space="0"/>
              <w:left w:val="single" w:color="000000" w:sz="6" w:space="0"/>
              <w:bottom w:val="single" w:color="000000" w:sz="6" w:space="0"/>
              <w:right w:val="single" w:color="000000" w:sz="6" w:space="0"/>
            </w:tcBorders>
            <w:noWrap w:val="0"/>
            <w:vAlign w:val="center"/>
          </w:tcPr>
          <w:p w14:paraId="16804A9C">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推土机</w:t>
            </w:r>
          </w:p>
        </w:tc>
        <w:tc>
          <w:tcPr>
            <w:tcW w:w="1143" w:type="pct"/>
            <w:tcBorders>
              <w:top w:val="single" w:color="000000" w:sz="6" w:space="0"/>
              <w:left w:val="single" w:color="000000" w:sz="6" w:space="0"/>
              <w:bottom w:val="single" w:color="000000" w:sz="6" w:space="0"/>
              <w:right w:val="single" w:color="000000" w:sz="6" w:space="0"/>
            </w:tcBorders>
            <w:noWrap w:val="0"/>
            <w:vAlign w:val="center"/>
          </w:tcPr>
          <w:p w14:paraId="7870A46F">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86</w:t>
            </w:r>
          </w:p>
        </w:tc>
        <w:tc>
          <w:tcPr>
            <w:tcW w:w="376" w:type="pct"/>
            <w:tcBorders>
              <w:top w:val="single" w:color="000000" w:sz="6" w:space="0"/>
              <w:left w:val="single" w:color="000000" w:sz="6" w:space="0"/>
              <w:bottom w:val="single" w:color="000000" w:sz="6" w:space="0"/>
              <w:right w:val="single" w:color="000000" w:sz="6" w:space="0"/>
            </w:tcBorders>
            <w:noWrap w:val="0"/>
            <w:vAlign w:val="center"/>
          </w:tcPr>
          <w:p w14:paraId="0AB8A66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1042" w:type="pct"/>
            <w:tcBorders>
              <w:top w:val="single" w:color="000000" w:sz="6" w:space="0"/>
              <w:left w:val="single" w:color="000000" w:sz="6" w:space="0"/>
              <w:bottom w:val="single" w:color="000000" w:sz="6" w:space="0"/>
              <w:right w:val="single" w:color="000000" w:sz="6" w:space="0"/>
            </w:tcBorders>
            <w:noWrap w:val="0"/>
            <w:vAlign w:val="center"/>
          </w:tcPr>
          <w:p w14:paraId="43E54332">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切割机</w:t>
            </w:r>
          </w:p>
        </w:tc>
        <w:tc>
          <w:tcPr>
            <w:tcW w:w="1011" w:type="pct"/>
            <w:tcBorders>
              <w:top w:val="single" w:color="000000" w:sz="6" w:space="0"/>
              <w:left w:val="single" w:color="000000" w:sz="6" w:space="0"/>
              <w:bottom w:val="single" w:color="000000" w:sz="6" w:space="0"/>
              <w:right w:val="single" w:color="000000" w:sz="6" w:space="0"/>
            </w:tcBorders>
            <w:noWrap w:val="0"/>
            <w:vAlign w:val="center"/>
          </w:tcPr>
          <w:p w14:paraId="5EEDCD0E">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96</w:t>
            </w:r>
          </w:p>
        </w:tc>
      </w:tr>
      <w:tr w14:paraId="1C21A515">
        <w:tblPrEx>
          <w:tblCellMar>
            <w:top w:w="0" w:type="dxa"/>
            <w:left w:w="28" w:type="dxa"/>
            <w:bottom w:w="0" w:type="dxa"/>
            <w:right w:w="28" w:type="dxa"/>
          </w:tblCellMar>
        </w:tblPrEx>
        <w:trPr>
          <w:trHeight w:val="340" w:hRule="atLeast"/>
          <w:tblHeader/>
          <w:jc w:val="center"/>
        </w:trPr>
        <w:tc>
          <w:tcPr>
            <w:tcW w:w="477" w:type="pct"/>
            <w:tcBorders>
              <w:top w:val="single" w:color="000000" w:sz="6" w:space="0"/>
              <w:left w:val="single" w:color="000000" w:sz="6" w:space="0"/>
              <w:bottom w:val="single" w:color="000000" w:sz="6" w:space="0"/>
              <w:right w:val="single" w:color="000000" w:sz="6" w:space="0"/>
            </w:tcBorders>
            <w:noWrap w:val="0"/>
            <w:vAlign w:val="center"/>
          </w:tcPr>
          <w:p w14:paraId="33F6328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948" w:type="pct"/>
            <w:tcBorders>
              <w:top w:val="single" w:color="000000" w:sz="6" w:space="0"/>
              <w:left w:val="single" w:color="000000" w:sz="6" w:space="0"/>
              <w:bottom w:val="single" w:color="000000" w:sz="6" w:space="0"/>
              <w:right w:val="single" w:color="000000" w:sz="6" w:space="0"/>
            </w:tcBorders>
            <w:noWrap w:val="0"/>
            <w:vAlign w:val="center"/>
          </w:tcPr>
          <w:p w14:paraId="24AF1C6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吊管机</w:t>
            </w:r>
          </w:p>
        </w:tc>
        <w:tc>
          <w:tcPr>
            <w:tcW w:w="1143" w:type="pct"/>
            <w:tcBorders>
              <w:top w:val="single" w:color="000000" w:sz="6" w:space="0"/>
              <w:left w:val="single" w:color="000000" w:sz="6" w:space="0"/>
              <w:bottom w:val="single" w:color="000000" w:sz="6" w:space="0"/>
              <w:right w:val="single" w:color="000000" w:sz="6" w:space="0"/>
            </w:tcBorders>
            <w:noWrap w:val="0"/>
            <w:vAlign w:val="center"/>
          </w:tcPr>
          <w:p w14:paraId="3028B007">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86</w:t>
            </w:r>
          </w:p>
        </w:tc>
        <w:tc>
          <w:tcPr>
            <w:tcW w:w="376" w:type="pct"/>
            <w:tcBorders>
              <w:top w:val="single" w:color="000000" w:sz="6" w:space="0"/>
              <w:left w:val="single" w:color="000000" w:sz="6" w:space="0"/>
              <w:bottom w:val="single" w:color="000000" w:sz="6" w:space="0"/>
              <w:right w:val="single" w:color="000000" w:sz="6" w:space="0"/>
            </w:tcBorders>
            <w:noWrap w:val="0"/>
            <w:vAlign w:val="center"/>
          </w:tcPr>
          <w:p w14:paraId="52F7C21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042" w:type="pct"/>
            <w:tcBorders>
              <w:top w:val="single" w:color="000000" w:sz="6" w:space="0"/>
              <w:left w:val="single" w:color="000000" w:sz="6" w:space="0"/>
              <w:bottom w:val="single" w:color="000000" w:sz="6" w:space="0"/>
              <w:right w:val="single" w:color="000000" w:sz="6" w:space="0"/>
            </w:tcBorders>
            <w:noWrap w:val="0"/>
            <w:vAlign w:val="center"/>
          </w:tcPr>
          <w:p w14:paraId="214D2F5D">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载重汽车</w:t>
            </w:r>
          </w:p>
        </w:tc>
        <w:tc>
          <w:tcPr>
            <w:tcW w:w="1011" w:type="pct"/>
            <w:tcBorders>
              <w:top w:val="single" w:color="000000" w:sz="6" w:space="0"/>
              <w:left w:val="single" w:color="000000" w:sz="6" w:space="0"/>
              <w:bottom w:val="single" w:color="000000" w:sz="6" w:space="0"/>
              <w:right w:val="single" w:color="000000" w:sz="6" w:space="0"/>
            </w:tcBorders>
            <w:noWrap w:val="0"/>
            <w:vAlign w:val="center"/>
          </w:tcPr>
          <w:p w14:paraId="0B18CF57">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88</w:t>
            </w:r>
          </w:p>
        </w:tc>
      </w:tr>
      <w:tr w14:paraId="6BA741A2">
        <w:tblPrEx>
          <w:tblCellMar>
            <w:top w:w="0" w:type="dxa"/>
            <w:left w:w="28" w:type="dxa"/>
            <w:bottom w:w="0" w:type="dxa"/>
            <w:right w:w="28" w:type="dxa"/>
          </w:tblCellMar>
        </w:tblPrEx>
        <w:trPr>
          <w:trHeight w:val="340" w:hRule="atLeast"/>
          <w:tblHeader/>
          <w:jc w:val="center"/>
        </w:trPr>
        <w:tc>
          <w:tcPr>
            <w:tcW w:w="477" w:type="pct"/>
            <w:tcBorders>
              <w:top w:val="single" w:color="000000" w:sz="6" w:space="0"/>
              <w:left w:val="single" w:color="000000" w:sz="6" w:space="0"/>
              <w:bottom w:val="single" w:color="000000" w:sz="6" w:space="0"/>
              <w:right w:val="single" w:color="000000" w:sz="6" w:space="0"/>
            </w:tcBorders>
            <w:noWrap w:val="0"/>
            <w:vAlign w:val="center"/>
          </w:tcPr>
          <w:p w14:paraId="1E51B026">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948" w:type="pct"/>
            <w:tcBorders>
              <w:top w:val="single" w:color="000000" w:sz="6" w:space="0"/>
              <w:left w:val="single" w:color="000000" w:sz="6" w:space="0"/>
              <w:bottom w:val="single" w:color="000000" w:sz="6" w:space="0"/>
              <w:right w:val="single" w:color="000000" w:sz="6" w:space="0"/>
            </w:tcBorders>
            <w:noWrap w:val="0"/>
            <w:vAlign w:val="center"/>
          </w:tcPr>
          <w:p w14:paraId="2B420B4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电焊机</w:t>
            </w:r>
          </w:p>
        </w:tc>
        <w:tc>
          <w:tcPr>
            <w:tcW w:w="1143" w:type="pct"/>
            <w:tcBorders>
              <w:top w:val="single" w:color="000000" w:sz="6" w:space="0"/>
              <w:left w:val="single" w:color="000000" w:sz="6" w:space="0"/>
              <w:bottom w:val="single" w:color="000000" w:sz="6" w:space="0"/>
              <w:right w:val="single" w:color="000000" w:sz="6" w:space="0"/>
            </w:tcBorders>
            <w:noWrap w:val="0"/>
            <w:vAlign w:val="center"/>
          </w:tcPr>
          <w:p w14:paraId="1DB574DD">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86</w:t>
            </w:r>
          </w:p>
        </w:tc>
        <w:tc>
          <w:tcPr>
            <w:tcW w:w="376" w:type="pct"/>
            <w:tcBorders>
              <w:top w:val="single" w:color="000000" w:sz="6" w:space="0"/>
              <w:left w:val="single" w:color="000000" w:sz="6" w:space="0"/>
              <w:bottom w:val="single" w:color="000000" w:sz="6" w:space="0"/>
              <w:right w:val="single" w:color="000000" w:sz="6" w:space="0"/>
            </w:tcBorders>
            <w:noWrap w:val="0"/>
            <w:vAlign w:val="center"/>
          </w:tcPr>
          <w:p w14:paraId="43D7449C">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w:t>
            </w:r>
          </w:p>
        </w:tc>
        <w:tc>
          <w:tcPr>
            <w:tcW w:w="1042" w:type="pct"/>
            <w:tcBorders>
              <w:top w:val="single" w:color="000000" w:sz="6" w:space="0"/>
              <w:left w:val="single" w:color="000000" w:sz="6" w:space="0"/>
              <w:bottom w:val="single" w:color="000000" w:sz="6" w:space="0"/>
              <w:right w:val="single" w:color="000000" w:sz="6" w:space="0"/>
            </w:tcBorders>
            <w:noWrap w:val="0"/>
            <w:vAlign w:val="center"/>
          </w:tcPr>
          <w:p w14:paraId="437C8072">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柴油机</w:t>
            </w:r>
          </w:p>
        </w:tc>
        <w:tc>
          <w:tcPr>
            <w:tcW w:w="1011" w:type="pct"/>
            <w:tcBorders>
              <w:top w:val="single" w:color="000000" w:sz="6" w:space="0"/>
              <w:left w:val="single" w:color="000000" w:sz="6" w:space="0"/>
              <w:bottom w:val="single" w:color="000000" w:sz="6" w:space="0"/>
              <w:right w:val="single" w:color="000000" w:sz="6" w:space="0"/>
            </w:tcBorders>
            <w:noWrap w:val="0"/>
            <w:vAlign w:val="center"/>
          </w:tcPr>
          <w:p w14:paraId="0EDB0CDB">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96</w:t>
            </w:r>
          </w:p>
        </w:tc>
      </w:tr>
    </w:tbl>
    <w:p w14:paraId="7B9B4A2A">
      <w:pPr>
        <w:pStyle w:val="58"/>
        <w:rPr>
          <w:rFonts w:hint="default" w:ascii="Times New Roman" w:hAnsi="Times New Roman" w:eastAsia="宋体" w:cs="Times New Roman"/>
          <w:color w:val="auto"/>
        </w:rPr>
      </w:pPr>
    </w:p>
    <w:p w14:paraId="38D58B87">
      <w:pPr>
        <w:snapToGrid w:val="0"/>
        <w:spacing w:line="460" w:lineRule="exact"/>
        <w:ind w:firstLine="522" w:firstLineChars="200"/>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w:t>
      </w:r>
      <w:r>
        <w:rPr>
          <w:rFonts w:hint="default" w:ascii="Times New Roman" w:hAnsi="Times New Roman" w:eastAsia="宋体" w:cs="Times New Roman"/>
          <w:b/>
          <w:bCs/>
          <w:color w:val="auto"/>
          <w:sz w:val="26"/>
          <w:szCs w:val="26"/>
          <w:lang w:val="en-US" w:eastAsia="zh-CN"/>
        </w:rPr>
        <w:t>4</w:t>
      </w:r>
      <w:r>
        <w:rPr>
          <w:rFonts w:hint="default" w:ascii="Times New Roman" w:hAnsi="Times New Roman" w:eastAsia="宋体" w:cs="Times New Roman"/>
          <w:b/>
          <w:bCs/>
          <w:color w:val="auto"/>
          <w:sz w:val="26"/>
          <w:szCs w:val="26"/>
        </w:rPr>
        <w:t>）固体废物</w:t>
      </w:r>
    </w:p>
    <w:p w14:paraId="289BC0D3">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本项目施工期产生的固体废物主要是生活垃圾和施工废料。</w:t>
      </w:r>
    </w:p>
    <w:p w14:paraId="448A044C">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1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生活垃圾</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施工期每人每天生活垃圾按0.5kg计，每天施工人员约10人，生活垃圾产生量约5kg/d；施工人员的生活垃圾依托当地现有设施收集后交环卫部门处理。</w:t>
      </w:r>
    </w:p>
    <w:p w14:paraId="468AF072">
      <w:pPr>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fldChar w:fldCharType="begin"/>
      </w:r>
      <w:r>
        <w:rPr>
          <w:rFonts w:hint="default" w:ascii="Times New Roman" w:hAnsi="Times New Roman" w:eastAsia="宋体" w:cs="Times New Roman"/>
          <w:color w:val="auto"/>
          <w:sz w:val="26"/>
          <w:szCs w:val="26"/>
        </w:rPr>
        <w:instrText xml:space="preserve"> = 2 \* GB3 \* MERGEFORMAT </w:instrText>
      </w:r>
      <w:r>
        <w:rPr>
          <w:rFonts w:hint="default" w:ascii="Times New Roman" w:hAnsi="Times New Roman" w:eastAsia="宋体" w:cs="Times New Roman"/>
          <w:color w:val="auto"/>
          <w:sz w:val="26"/>
          <w:szCs w:val="26"/>
        </w:rPr>
        <w:fldChar w:fldCharType="separate"/>
      </w:r>
      <w:r>
        <w:rPr>
          <w:rFonts w:hint="default" w:ascii="Times New Roman" w:hAnsi="Times New Roman" w:eastAsia="宋体" w:cs="Times New Roman"/>
          <w:color w:val="auto"/>
          <w:sz w:val="26"/>
          <w:szCs w:val="26"/>
        </w:rPr>
        <w:t>②</w:t>
      </w:r>
      <w:r>
        <w:rPr>
          <w:rFonts w:hint="default" w:ascii="Times New Roman" w:hAnsi="Times New Roman" w:eastAsia="宋体" w:cs="Times New Roman"/>
          <w:color w:val="auto"/>
          <w:sz w:val="26"/>
          <w:szCs w:val="26"/>
        </w:rPr>
        <w:fldChar w:fldCharType="end"/>
      </w:r>
      <w:r>
        <w:rPr>
          <w:rFonts w:hint="default" w:ascii="Times New Roman" w:hAnsi="Times New Roman" w:eastAsia="宋体" w:cs="Times New Roman"/>
          <w:color w:val="auto"/>
          <w:sz w:val="26"/>
          <w:szCs w:val="26"/>
        </w:rPr>
        <w:t>施工废料</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本项目管道运至施工现场前，已进行了相应的防腐处理。因此，施工废料主要包括废包装材料、废焊条，清管所产生的少量铁屑、粉尘，以及施工过程中产生的废金属等。根据类比调查，施工废料的产生量约0.2t/km，则本项目施工过程中产生的施工废料量0.3t。可回收施工废料外售废品回收站回收处置，不可回收施工废料收集后送当地环卫部门统一处置。</w:t>
      </w:r>
    </w:p>
    <w:p w14:paraId="640A0FAB">
      <w:pPr>
        <w:adjustRightInd w:val="0"/>
        <w:snapToGrid w:val="0"/>
        <w:spacing w:line="500" w:lineRule="exact"/>
        <w:ind w:firstLine="522" w:firstLineChars="200"/>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w:t>
      </w:r>
      <w:r>
        <w:rPr>
          <w:rFonts w:hint="default" w:ascii="Times New Roman" w:hAnsi="Times New Roman" w:eastAsia="宋体" w:cs="Times New Roman"/>
          <w:b/>
          <w:bCs/>
          <w:color w:val="auto"/>
          <w:sz w:val="26"/>
          <w:szCs w:val="26"/>
          <w:lang w:val="en-US" w:eastAsia="zh-CN"/>
        </w:rPr>
        <w:t>5</w:t>
      </w:r>
      <w:r>
        <w:rPr>
          <w:rFonts w:hint="default" w:ascii="Times New Roman" w:hAnsi="Times New Roman" w:eastAsia="宋体" w:cs="Times New Roman"/>
          <w:b/>
          <w:bCs/>
          <w:color w:val="auto"/>
          <w:sz w:val="26"/>
          <w:szCs w:val="26"/>
        </w:rPr>
        <w:t>）生态环境</w:t>
      </w:r>
    </w:p>
    <w:p w14:paraId="066E65EA">
      <w:pPr>
        <w:adjustRightInd w:val="0"/>
        <w:snapToGrid w:val="0"/>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本工程是以生态环境影响为主的建设项目，施工过程中对生态环境的影响主要是以下几个方面：在工程施工前期准备阶段，施工线路的清理、施工便道的建设等，将对土地利用产生明显的影响</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施工活动对沿线植被、动物以及生态系统的影响；施工过程中挖填活动造成水土流失等。这种破坏通常是短暂的，大部分对生态的影响可随着施工结束、</w:t>
      </w:r>
      <w:r>
        <w:rPr>
          <w:rFonts w:hint="default" w:ascii="Times New Roman" w:hAnsi="Times New Roman" w:eastAsia="宋体" w:cs="Times New Roman"/>
          <w:color w:val="auto"/>
          <w:sz w:val="26"/>
          <w:szCs w:val="26"/>
          <w:lang w:val="en-US" w:eastAsia="zh-CN"/>
        </w:rPr>
        <w:t>迹地恢复和</w:t>
      </w:r>
      <w:r>
        <w:rPr>
          <w:rFonts w:hint="default" w:ascii="Times New Roman" w:hAnsi="Times New Roman" w:eastAsia="宋体" w:cs="Times New Roman"/>
          <w:color w:val="auto"/>
          <w:sz w:val="26"/>
          <w:szCs w:val="26"/>
        </w:rPr>
        <w:t>复垦工作的开展而逐步恢复。</w:t>
      </w:r>
    </w:p>
    <w:p w14:paraId="5F34453E">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3.1.3施工期“三废”及噪声排放</w:t>
      </w:r>
    </w:p>
    <w:p w14:paraId="48E2254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施工期主要污染物产、排情况见表3.1-2。</w:t>
      </w:r>
    </w:p>
    <w:p w14:paraId="4D5329C1">
      <w:pPr>
        <w:pStyle w:val="58"/>
        <w:rPr>
          <w:rFonts w:hint="default" w:ascii="Times New Roman" w:hAnsi="Times New Roman" w:eastAsia="宋体" w:cs="Times New Roman"/>
          <w:color w:val="auto"/>
        </w:rPr>
      </w:pPr>
    </w:p>
    <w:p w14:paraId="5402606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表3.1-2    施工期主要污染物产、排情况一览表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385"/>
        <w:gridCol w:w="1199"/>
        <w:gridCol w:w="825"/>
        <w:gridCol w:w="2167"/>
        <w:gridCol w:w="2550"/>
      </w:tblGrid>
      <w:tr w14:paraId="44FC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noWrap w:val="0"/>
            <w:vAlign w:val="center"/>
          </w:tcPr>
          <w:p w14:paraId="2E2B4C47">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774" w:type="pct"/>
            <w:noWrap w:val="0"/>
            <w:vAlign w:val="center"/>
          </w:tcPr>
          <w:p w14:paraId="7498338E">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670" w:type="pct"/>
            <w:noWrap w:val="0"/>
            <w:vAlign w:val="center"/>
          </w:tcPr>
          <w:p w14:paraId="1FE9F97B">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w:t>
            </w:r>
          </w:p>
        </w:tc>
        <w:tc>
          <w:tcPr>
            <w:tcW w:w="461" w:type="pct"/>
            <w:noWrap w:val="0"/>
            <w:vAlign w:val="center"/>
          </w:tcPr>
          <w:p w14:paraId="57DE3132">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排放方式</w:t>
            </w:r>
          </w:p>
        </w:tc>
        <w:tc>
          <w:tcPr>
            <w:tcW w:w="1211" w:type="pct"/>
            <w:noWrap w:val="0"/>
            <w:vAlign w:val="center"/>
          </w:tcPr>
          <w:p w14:paraId="04FDF26B">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主要污染物</w:t>
            </w:r>
          </w:p>
        </w:tc>
        <w:tc>
          <w:tcPr>
            <w:tcW w:w="1424" w:type="pct"/>
            <w:noWrap w:val="0"/>
            <w:vAlign w:val="center"/>
          </w:tcPr>
          <w:p w14:paraId="31DF51F7">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排放去向</w:t>
            </w:r>
          </w:p>
        </w:tc>
      </w:tr>
      <w:tr w14:paraId="7A3C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restart"/>
            <w:noWrap w:val="0"/>
            <w:vAlign w:val="center"/>
          </w:tcPr>
          <w:p w14:paraId="108927C7">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74" w:type="pct"/>
            <w:noWrap w:val="0"/>
            <w:vAlign w:val="center"/>
          </w:tcPr>
          <w:p w14:paraId="6BE53902">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施工扬尘</w:t>
            </w:r>
          </w:p>
        </w:tc>
        <w:tc>
          <w:tcPr>
            <w:tcW w:w="670" w:type="pct"/>
            <w:noWrap w:val="0"/>
            <w:vAlign w:val="center"/>
          </w:tcPr>
          <w:p w14:paraId="23616386">
            <w:pPr>
              <w:pStyle w:val="6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少量</w:t>
            </w:r>
          </w:p>
        </w:tc>
        <w:tc>
          <w:tcPr>
            <w:tcW w:w="461" w:type="pct"/>
            <w:noWrap w:val="0"/>
            <w:vAlign w:val="center"/>
          </w:tcPr>
          <w:p w14:paraId="45642443">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1211" w:type="pct"/>
            <w:noWrap w:val="0"/>
            <w:vAlign w:val="center"/>
          </w:tcPr>
          <w:p w14:paraId="53A244A5">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1424" w:type="pct"/>
            <w:noWrap w:val="0"/>
            <w:vAlign w:val="center"/>
          </w:tcPr>
          <w:p w14:paraId="083B47FA">
            <w:pPr>
              <w:pStyle w:val="6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环境</w:t>
            </w:r>
          </w:p>
        </w:tc>
      </w:tr>
      <w:tr w14:paraId="4BDB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continue"/>
            <w:noWrap w:val="0"/>
            <w:vAlign w:val="center"/>
          </w:tcPr>
          <w:p w14:paraId="26CD1E24">
            <w:pPr>
              <w:pStyle w:val="60"/>
              <w:rPr>
                <w:rFonts w:hint="default" w:ascii="Times New Roman" w:hAnsi="Times New Roman" w:eastAsia="宋体" w:cs="Times New Roman"/>
                <w:color w:val="auto"/>
                <w:sz w:val="21"/>
                <w:szCs w:val="21"/>
              </w:rPr>
            </w:pPr>
          </w:p>
        </w:tc>
        <w:tc>
          <w:tcPr>
            <w:tcW w:w="774" w:type="pct"/>
            <w:noWrap w:val="0"/>
            <w:vAlign w:val="center"/>
          </w:tcPr>
          <w:p w14:paraId="13B00228">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焊接废气</w:t>
            </w:r>
          </w:p>
        </w:tc>
        <w:tc>
          <w:tcPr>
            <w:tcW w:w="670" w:type="pct"/>
            <w:noWrap w:val="0"/>
            <w:vAlign w:val="center"/>
          </w:tcPr>
          <w:p w14:paraId="39B4371B">
            <w:pPr>
              <w:pStyle w:val="6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少量</w:t>
            </w:r>
          </w:p>
        </w:tc>
        <w:tc>
          <w:tcPr>
            <w:tcW w:w="461" w:type="pct"/>
            <w:noWrap w:val="0"/>
            <w:vAlign w:val="center"/>
          </w:tcPr>
          <w:p w14:paraId="4BE4266C">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1211" w:type="pct"/>
            <w:noWrap w:val="0"/>
            <w:vAlign w:val="center"/>
          </w:tcPr>
          <w:p w14:paraId="17F24A14">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焊接烟尘</w:t>
            </w:r>
          </w:p>
        </w:tc>
        <w:tc>
          <w:tcPr>
            <w:tcW w:w="1424" w:type="pct"/>
            <w:noWrap w:val="0"/>
            <w:vAlign w:val="center"/>
          </w:tcPr>
          <w:p w14:paraId="670A690A">
            <w:pPr>
              <w:pStyle w:val="6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环境</w:t>
            </w:r>
          </w:p>
        </w:tc>
      </w:tr>
      <w:tr w14:paraId="0592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continue"/>
            <w:noWrap w:val="0"/>
            <w:vAlign w:val="center"/>
          </w:tcPr>
          <w:p w14:paraId="4283DDA8">
            <w:pPr>
              <w:pStyle w:val="60"/>
              <w:rPr>
                <w:rFonts w:hint="default" w:ascii="Times New Roman" w:hAnsi="Times New Roman" w:eastAsia="宋体" w:cs="Times New Roman"/>
                <w:color w:val="auto"/>
                <w:sz w:val="21"/>
                <w:szCs w:val="21"/>
              </w:rPr>
            </w:pPr>
          </w:p>
        </w:tc>
        <w:tc>
          <w:tcPr>
            <w:tcW w:w="774" w:type="pct"/>
            <w:noWrap w:val="0"/>
            <w:vAlign w:val="center"/>
          </w:tcPr>
          <w:p w14:paraId="4B44A4B9">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机械尾气</w:t>
            </w:r>
          </w:p>
        </w:tc>
        <w:tc>
          <w:tcPr>
            <w:tcW w:w="670" w:type="pct"/>
            <w:noWrap w:val="0"/>
            <w:vAlign w:val="center"/>
          </w:tcPr>
          <w:p w14:paraId="004E0E14">
            <w:pPr>
              <w:pStyle w:val="6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少量</w:t>
            </w:r>
          </w:p>
        </w:tc>
        <w:tc>
          <w:tcPr>
            <w:tcW w:w="461" w:type="pct"/>
            <w:noWrap w:val="0"/>
            <w:vAlign w:val="center"/>
          </w:tcPr>
          <w:p w14:paraId="7E56C5A3">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1211" w:type="pct"/>
            <w:noWrap w:val="0"/>
            <w:vAlign w:val="center"/>
          </w:tcPr>
          <w:p w14:paraId="02B63F4D">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shd w:val="clear" w:fill="FFFFFF"/>
              </w:rPr>
              <w:t>C</w:t>
            </w:r>
            <w:r>
              <w:rPr>
                <w:rFonts w:hint="default" w:ascii="Times New Roman" w:hAnsi="Times New Roman" w:eastAsia="宋体" w:cs="Times New Roman"/>
                <w:color w:val="auto"/>
                <w:sz w:val="21"/>
                <w:szCs w:val="21"/>
                <w:shd w:val="clear" w:fill="FFFFFF"/>
                <w:vertAlign w:val="subscript"/>
              </w:rPr>
              <w:t>m</w:t>
            </w:r>
            <w:r>
              <w:rPr>
                <w:rFonts w:hint="default" w:ascii="Times New Roman" w:hAnsi="Times New Roman" w:eastAsia="宋体" w:cs="Times New Roman"/>
                <w:color w:val="auto"/>
                <w:sz w:val="21"/>
                <w:szCs w:val="21"/>
                <w:shd w:val="clear" w:fill="FFFFFF"/>
              </w:rPr>
              <w:t>H</w:t>
            </w:r>
            <w:r>
              <w:rPr>
                <w:rFonts w:hint="default" w:ascii="Times New Roman" w:hAnsi="Times New Roman" w:eastAsia="宋体" w:cs="Times New Roman"/>
                <w:color w:val="auto"/>
                <w:sz w:val="21"/>
                <w:szCs w:val="21"/>
                <w:shd w:val="clear" w:fill="FFFFFF"/>
                <w:vertAlign w:val="subscript"/>
              </w:rPr>
              <w:t>n</w:t>
            </w:r>
            <w:r>
              <w:rPr>
                <w:rFonts w:hint="default" w:ascii="Times New Roman" w:hAnsi="Times New Roman" w:eastAsia="宋体" w:cs="Times New Roman"/>
                <w:color w:val="auto"/>
                <w:sz w:val="21"/>
                <w:szCs w:val="21"/>
              </w:rPr>
              <w:t>、CO、NO</w:t>
            </w:r>
            <w:r>
              <w:rPr>
                <w:rFonts w:hint="default" w:ascii="Times New Roman" w:hAnsi="Times New Roman" w:eastAsia="宋体" w:cs="Times New Roman"/>
                <w:color w:val="auto"/>
                <w:sz w:val="21"/>
                <w:szCs w:val="21"/>
                <w:vertAlign w:val="subscript"/>
              </w:rPr>
              <w:t>x</w:t>
            </w:r>
          </w:p>
        </w:tc>
        <w:tc>
          <w:tcPr>
            <w:tcW w:w="1424" w:type="pct"/>
            <w:noWrap w:val="0"/>
            <w:vAlign w:val="center"/>
          </w:tcPr>
          <w:p w14:paraId="3C652FA5">
            <w:pPr>
              <w:pStyle w:val="6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环境</w:t>
            </w:r>
          </w:p>
        </w:tc>
      </w:tr>
      <w:tr w14:paraId="280E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continue"/>
            <w:noWrap w:val="0"/>
            <w:vAlign w:val="center"/>
          </w:tcPr>
          <w:p w14:paraId="3C69EDC5">
            <w:pPr>
              <w:pStyle w:val="60"/>
              <w:rPr>
                <w:rFonts w:hint="default" w:ascii="Times New Roman" w:hAnsi="Times New Roman" w:eastAsia="宋体" w:cs="Times New Roman"/>
                <w:color w:val="auto"/>
                <w:sz w:val="21"/>
                <w:szCs w:val="21"/>
              </w:rPr>
            </w:pPr>
          </w:p>
        </w:tc>
        <w:tc>
          <w:tcPr>
            <w:tcW w:w="774" w:type="pct"/>
            <w:noWrap w:val="0"/>
            <w:vAlign w:val="center"/>
          </w:tcPr>
          <w:p w14:paraId="50C303F3">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点火放空废气</w:t>
            </w:r>
          </w:p>
        </w:tc>
        <w:tc>
          <w:tcPr>
            <w:tcW w:w="670" w:type="pct"/>
            <w:noWrap w:val="0"/>
            <w:vAlign w:val="center"/>
          </w:tcPr>
          <w:p w14:paraId="66CABB99">
            <w:pPr>
              <w:pStyle w:val="6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少量</w:t>
            </w:r>
          </w:p>
        </w:tc>
        <w:tc>
          <w:tcPr>
            <w:tcW w:w="461" w:type="pct"/>
            <w:noWrap w:val="0"/>
            <w:vAlign w:val="center"/>
          </w:tcPr>
          <w:p w14:paraId="0D317E9B">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1211" w:type="pct"/>
            <w:noWrap w:val="0"/>
            <w:vAlign w:val="center"/>
          </w:tcPr>
          <w:p w14:paraId="367960A6">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w:t>
            </w:r>
          </w:p>
        </w:tc>
        <w:tc>
          <w:tcPr>
            <w:tcW w:w="1424" w:type="pct"/>
            <w:noWrap w:val="0"/>
            <w:vAlign w:val="center"/>
          </w:tcPr>
          <w:p w14:paraId="722A9229">
            <w:pPr>
              <w:pStyle w:val="6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环境</w:t>
            </w:r>
          </w:p>
        </w:tc>
      </w:tr>
      <w:tr w14:paraId="46F6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restart"/>
            <w:noWrap w:val="0"/>
            <w:vAlign w:val="center"/>
          </w:tcPr>
          <w:p w14:paraId="0547EEB6">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774" w:type="pct"/>
            <w:noWrap w:val="0"/>
            <w:vAlign w:val="center"/>
          </w:tcPr>
          <w:p w14:paraId="185C3FAE">
            <w:pPr>
              <w:pStyle w:val="6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施工废水</w:t>
            </w:r>
          </w:p>
        </w:tc>
        <w:tc>
          <w:tcPr>
            <w:tcW w:w="670" w:type="pct"/>
            <w:noWrap w:val="0"/>
            <w:vAlign w:val="center"/>
          </w:tcPr>
          <w:p w14:paraId="7F4CF357">
            <w:pPr>
              <w:pStyle w:val="6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/d</w:t>
            </w:r>
          </w:p>
        </w:tc>
        <w:tc>
          <w:tcPr>
            <w:tcW w:w="461" w:type="pct"/>
            <w:noWrap w:val="0"/>
            <w:vAlign w:val="center"/>
          </w:tcPr>
          <w:p w14:paraId="1B9C5348">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1211" w:type="pct"/>
            <w:noWrap w:val="0"/>
            <w:vAlign w:val="center"/>
          </w:tcPr>
          <w:p w14:paraId="2931B4BE">
            <w:pPr>
              <w:pStyle w:val="6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石油类</w:t>
            </w:r>
          </w:p>
        </w:tc>
        <w:tc>
          <w:tcPr>
            <w:tcW w:w="1424" w:type="pct"/>
            <w:noWrap w:val="0"/>
            <w:vAlign w:val="center"/>
          </w:tcPr>
          <w:p w14:paraId="52D304A7">
            <w:pPr>
              <w:pStyle w:val="6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隔油</w:t>
            </w:r>
            <w:r>
              <w:rPr>
                <w:rFonts w:hint="default" w:ascii="Times New Roman" w:hAnsi="Times New Roman" w:eastAsia="宋体" w:cs="Times New Roman"/>
                <w:color w:val="auto"/>
                <w:sz w:val="21"/>
                <w:szCs w:val="21"/>
                <w:lang w:val="en-US" w:eastAsia="zh-CN"/>
              </w:rPr>
              <w:t>沉淀</w:t>
            </w:r>
            <w:r>
              <w:rPr>
                <w:rFonts w:hint="default" w:ascii="Times New Roman" w:hAnsi="Times New Roman" w:eastAsia="宋体" w:cs="Times New Roman"/>
                <w:color w:val="auto"/>
                <w:sz w:val="21"/>
                <w:szCs w:val="21"/>
                <w:lang w:eastAsia="zh-CN"/>
              </w:rPr>
              <w:t>处理后回用于洒水抑尘</w:t>
            </w:r>
          </w:p>
        </w:tc>
      </w:tr>
      <w:tr w14:paraId="6202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continue"/>
            <w:noWrap w:val="0"/>
            <w:vAlign w:val="center"/>
          </w:tcPr>
          <w:p w14:paraId="667D0A5A">
            <w:pPr>
              <w:pStyle w:val="60"/>
              <w:rPr>
                <w:rFonts w:hint="default" w:ascii="Times New Roman" w:hAnsi="Times New Roman" w:eastAsia="宋体" w:cs="Times New Roman"/>
                <w:color w:val="auto"/>
                <w:sz w:val="21"/>
                <w:szCs w:val="21"/>
              </w:rPr>
            </w:pPr>
          </w:p>
        </w:tc>
        <w:tc>
          <w:tcPr>
            <w:tcW w:w="774" w:type="pct"/>
            <w:noWrap w:val="0"/>
            <w:vAlign w:val="center"/>
          </w:tcPr>
          <w:p w14:paraId="5E0D425D">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试压废水</w:t>
            </w:r>
          </w:p>
        </w:tc>
        <w:tc>
          <w:tcPr>
            <w:tcW w:w="670" w:type="pct"/>
            <w:noWrap w:val="0"/>
            <w:vAlign w:val="center"/>
          </w:tcPr>
          <w:p w14:paraId="680EC3B9">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79.48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461" w:type="pct"/>
            <w:noWrap w:val="0"/>
            <w:vAlign w:val="center"/>
          </w:tcPr>
          <w:p w14:paraId="59B091E9">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1211" w:type="pct"/>
            <w:noWrap w:val="0"/>
            <w:vAlign w:val="center"/>
          </w:tcPr>
          <w:p w14:paraId="7E2B80AF">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424" w:type="pct"/>
            <w:noWrap w:val="0"/>
            <w:vAlign w:val="center"/>
          </w:tcPr>
          <w:p w14:paraId="19562D26">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经沉淀后回用于设备、车辆冲洗和场地洒水降尘</w:t>
            </w:r>
          </w:p>
        </w:tc>
      </w:tr>
      <w:tr w14:paraId="6EBF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continue"/>
            <w:noWrap w:val="0"/>
            <w:vAlign w:val="center"/>
          </w:tcPr>
          <w:p w14:paraId="21AA54DE">
            <w:pPr>
              <w:pStyle w:val="60"/>
              <w:rPr>
                <w:rFonts w:hint="default" w:ascii="Times New Roman" w:hAnsi="Times New Roman" w:eastAsia="宋体" w:cs="Times New Roman"/>
                <w:color w:val="auto"/>
                <w:sz w:val="21"/>
                <w:szCs w:val="21"/>
              </w:rPr>
            </w:pPr>
          </w:p>
        </w:tc>
        <w:tc>
          <w:tcPr>
            <w:tcW w:w="774" w:type="pct"/>
            <w:noWrap w:val="0"/>
            <w:vAlign w:val="center"/>
          </w:tcPr>
          <w:p w14:paraId="0ECEBC56">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670" w:type="pct"/>
            <w:noWrap w:val="0"/>
            <w:vAlign w:val="center"/>
          </w:tcPr>
          <w:p w14:paraId="70E9A616">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0.85m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461" w:type="pct"/>
            <w:noWrap w:val="0"/>
            <w:vAlign w:val="center"/>
          </w:tcPr>
          <w:p w14:paraId="3BE5E1A4">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1211" w:type="pct"/>
            <w:noWrap w:val="0"/>
            <w:vAlign w:val="center"/>
          </w:tcPr>
          <w:p w14:paraId="6EBE451B">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COD：300mg/L；</w:t>
            </w:r>
          </w:p>
          <w:p w14:paraId="2678467E">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BOD：180mg/L；</w:t>
            </w:r>
          </w:p>
          <w:p w14:paraId="69D45408">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-N：30mg/L；</w:t>
            </w:r>
          </w:p>
          <w:p w14:paraId="24341E55">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动植物油：20 mg/L</w:t>
            </w:r>
          </w:p>
        </w:tc>
        <w:tc>
          <w:tcPr>
            <w:tcW w:w="1424" w:type="pct"/>
            <w:noWrap w:val="0"/>
            <w:vAlign w:val="center"/>
          </w:tcPr>
          <w:p w14:paraId="4E278AB6">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依托当地已建污水处理设施处理</w:t>
            </w:r>
          </w:p>
        </w:tc>
      </w:tr>
      <w:tr w14:paraId="0392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noWrap w:val="0"/>
            <w:vAlign w:val="center"/>
          </w:tcPr>
          <w:p w14:paraId="2793F7B5">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74" w:type="pct"/>
            <w:noWrap w:val="0"/>
            <w:vAlign w:val="center"/>
          </w:tcPr>
          <w:p w14:paraId="3CF77899">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施工机械、运输车辆等</w:t>
            </w:r>
          </w:p>
        </w:tc>
        <w:tc>
          <w:tcPr>
            <w:tcW w:w="670" w:type="pct"/>
            <w:noWrap w:val="0"/>
            <w:vAlign w:val="center"/>
          </w:tcPr>
          <w:p w14:paraId="7208D171">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84~96dB</w:t>
            </w:r>
          </w:p>
        </w:tc>
        <w:tc>
          <w:tcPr>
            <w:tcW w:w="461" w:type="pct"/>
            <w:noWrap w:val="0"/>
            <w:vAlign w:val="center"/>
          </w:tcPr>
          <w:p w14:paraId="19CC063F">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1211" w:type="pct"/>
            <w:noWrap w:val="0"/>
            <w:vAlign w:val="center"/>
          </w:tcPr>
          <w:p w14:paraId="1D0D2E58">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424" w:type="pct"/>
            <w:noWrap w:val="0"/>
            <w:vAlign w:val="center"/>
          </w:tcPr>
          <w:p w14:paraId="0B717C8A">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tc>
      </w:tr>
      <w:tr w14:paraId="4C11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restart"/>
            <w:noWrap w:val="0"/>
            <w:vAlign w:val="center"/>
          </w:tcPr>
          <w:p w14:paraId="30F17B88">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774" w:type="pct"/>
            <w:noWrap w:val="0"/>
            <w:vAlign w:val="center"/>
          </w:tcPr>
          <w:p w14:paraId="612E6C00">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670" w:type="pct"/>
            <w:noWrap w:val="0"/>
            <w:vAlign w:val="center"/>
          </w:tcPr>
          <w:p w14:paraId="14A6758C">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5kg/d</w:t>
            </w:r>
          </w:p>
        </w:tc>
        <w:tc>
          <w:tcPr>
            <w:tcW w:w="461" w:type="pct"/>
            <w:noWrap w:val="0"/>
            <w:vAlign w:val="center"/>
          </w:tcPr>
          <w:p w14:paraId="4F1F67AD">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1211" w:type="pct"/>
            <w:noWrap w:val="0"/>
            <w:vAlign w:val="center"/>
          </w:tcPr>
          <w:p w14:paraId="1144737E">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24" w:type="pct"/>
            <w:noWrap w:val="0"/>
            <w:vAlign w:val="center"/>
          </w:tcPr>
          <w:p w14:paraId="5AB887A9">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交环卫部门处理</w:t>
            </w:r>
          </w:p>
        </w:tc>
      </w:tr>
      <w:tr w14:paraId="4DA3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continue"/>
            <w:noWrap w:val="0"/>
            <w:vAlign w:val="center"/>
          </w:tcPr>
          <w:p w14:paraId="62F74657">
            <w:pPr>
              <w:pStyle w:val="60"/>
              <w:rPr>
                <w:rFonts w:hint="default" w:ascii="Times New Roman" w:hAnsi="Times New Roman" w:eastAsia="宋体" w:cs="Times New Roman"/>
                <w:color w:val="auto"/>
                <w:sz w:val="21"/>
                <w:szCs w:val="21"/>
              </w:rPr>
            </w:pPr>
          </w:p>
        </w:tc>
        <w:tc>
          <w:tcPr>
            <w:tcW w:w="774" w:type="pct"/>
            <w:noWrap w:val="0"/>
            <w:vAlign w:val="center"/>
          </w:tcPr>
          <w:p w14:paraId="0AC8C29B">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施工废料</w:t>
            </w:r>
          </w:p>
        </w:tc>
        <w:tc>
          <w:tcPr>
            <w:tcW w:w="670" w:type="pct"/>
            <w:noWrap w:val="0"/>
            <w:vAlign w:val="center"/>
          </w:tcPr>
          <w:p w14:paraId="3EEA652D">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0.3t</w:t>
            </w:r>
          </w:p>
        </w:tc>
        <w:tc>
          <w:tcPr>
            <w:tcW w:w="461" w:type="pct"/>
            <w:noWrap w:val="0"/>
            <w:vAlign w:val="center"/>
          </w:tcPr>
          <w:p w14:paraId="0DCCE748">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c>
          <w:tcPr>
            <w:tcW w:w="1211" w:type="pct"/>
            <w:noWrap w:val="0"/>
            <w:vAlign w:val="center"/>
          </w:tcPr>
          <w:p w14:paraId="0AD13382">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废包装材料、废焊条等</w:t>
            </w:r>
          </w:p>
        </w:tc>
        <w:tc>
          <w:tcPr>
            <w:tcW w:w="1424" w:type="pct"/>
            <w:noWrap w:val="0"/>
            <w:vAlign w:val="center"/>
          </w:tcPr>
          <w:p w14:paraId="6D8A56CC">
            <w:pPr>
              <w:pStyle w:val="6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可回收施工废料外售废品回收站回收处置，不可回收施工废料收集后交当地环卫部门统一处置</w:t>
            </w:r>
          </w:p>
        </w:tc>
      </w:tr>
      <w:tr w14:paraId="33B7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noWrap w:val="0"/>
            <w:vAlign w:val="center"/>
          </w:tcPr>
          <w:p w14:paraId="0306803A">
            <w:pPr>
              <w:pStyle w:val="60"/>
              <w:rPr>
                <w:rFonts w:hint="default" w:ascii="Times New Roman" w:hAnsi="Times New Roman" w:eastAsia="宋体" w:cs="Times New Roman"/>
                <w:color w:val="auto"/>
                <w:sz w:val="21"/>
                <w:szCs w:val="21"/>
                <w:lang w:val="en-US" w:eastAsia="zh-CN"/>
              </w:rPr>
            </w:pPr>
            <w:bookmarkStart w:id="266" w:name="_Toc45551080"/>
            <w:bookmarkStart w:id="267" w:name="_Toc17395"/>
            <w:bookmarkStart w:id="268" w:name="_Toc60144394"/>
            <w:r>
              <w:rPr>
                <w:rFonts w:hint="default" w:ascii="Times New Roman" w:hAnsi="Times New Roman" w:eastAsia="宋体" w:cs="Times New Roman"/>
                <w:color w:val="auto"/>
                <w:sz w:val="21"/>
                <w:szCs w:val="21"/>
                <w:lang w:val="en-US" w:eastAsia="zh-CN"/>
              </w:rPr>
              <w:t>生态环境</w:t>
            </w:r>
          </w:p>
        </w:tc>
        <w:tc>
          <w:tcPr>
            <w:tcW w:w="4541" w:type="pct"/>
            <w:gridSpan w:val="5"/>
            <w:noWrap w:val="0"/>
            <w:vAlign w:val="center"/>
          </w:tcPr>
          <w:p w14:paraId="7480ACBA">
            <w:pPr>
              <w:pStyle w:val="6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占地、植被破坏、局部水土流失，短期影响，施工结束后逐步恢复</w:t>
            </w:r>
          </w:p>
        </w:tc>
      </w:tr>
    </w:tbl>
    <w:p w14:paraId="260AF0B6">
      <w:pPr>
        <w:pStyle w:val="58"/>
        <w:rPr>
          <w:rFonts w:hint="default" w:ascii="Times New Roman" w:hAnsi="Times New Roman" w:eastAsia="宋体" w:cs="Times New Roman"/>
          <w:color w:val="auto"/>
        </w:rPr>
      </w:pPr>
    </w:p>
    <w:p w14:paraId="148A255E">
      <w:pPr>
        <w:adjustRightInd w:val="0"/>
        <w:snapToGrid w:val="0"/>
        <w:spacing w:line="500" w:lineRule="exact"/>
        <w:ind w:firstLine="522" w:firstLineChars="200"/>
        <w:outlineLvl w:val="1"/>
        <w:rPr>
          <w:rFonts w:hint="default" w:ascii="Times New Roman" w:hAnsi="Times New Roman" w:eastAsia="宋体" w:cs="Times New Roman"/>
          <w:b/>
          <w:color w:val="auto"/>
          <w:sz w:val="26"/>
          <w:szCs w:val="26"/>
        </w:rPr>
      </w:pPr>
      <w:bookmarkStart w:id="269" w:name="_Toc18423"/>
      <w:r>
        <w:rPr>
          <w:rFonts w:hint="default" w:ascii="Times New Roman" w:hAnsi="Times New Roman" w:eastAsia="宋体" w:cs="Times New Roman"/>
          <w:b/>
          <w:color w:val="auto"/>
          <w:sz w:val="26"/>
          <w:szCs w:val="26"/>
        </w:rPr>
        <w:t>3.2运营期环境影响因素分析</w:t>
      </w:r>
      <w:bookmarkEnd w:id="266"/>
      <w:bookmarkEnd w:id="267"/>
      <w:bookmarkEnd w:id="268"/>
      <w:bookmarkEnd w:id="269"/>
    </w:p>
    <w:p w14:paraId="45C7F69A">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本工程为</w:t>
      </w:r>
      <w:r>
        <w:rPr>
          <w:rFonts w:hint="default" w:ascii="Times New Roman" w:hAnsi="Times New Roman" w:eastAsia="宋体" w:cs="Times New Roman"/>
          <w:color w:val="auto"/>
          <w:sz w:val="26"/>
          <w:szCs w:val="26"/>
          <w:lang w:val="en-US" w:eastAsia="zh-CN"/>
        </w:rPr>
        <w:t>天然气管道</w:t>
      </w:r>
      <w:r>
        <w:rPr>
          <w:rFonts w:hint="default" w:ascii="Times New Roman" w:hAnsi="Times New Roman" w:eastAsia="宋体" w:cs="Times New Roman"/>
          <w:color w:val="auto"/>
          <w:sz w:val="26"/>
          <w:szCs w:val="26"/>
        </w:rPr>
        <w:t>改建</w:t>
      </w:r>
      <w:r>
        <w:rPr>
          <w:rFonts w:hint="default" w:ascii="Times New Roman" w:hAnsi="Times New Roman" w:eastAsia="宋体" w:cs="Times New Roman"/>
          <w:color w:val="auto"/>
          <w:sz w:val="26"/>
          <w:szCs w:val="26"/>
          <w:lang w:val="en-US" w:eastAsia="zh-CN"/>
        </w:rPr>
        <w:t>工程</w:t>
      </w:r>
      <w:r>
        <w:rPr>
          <w:rFonts w:hint="default" w:ascii="Times New Roman" w:hAnsi="Times New Roman" w:eastAsia="宋体" w:cs="Times New Roman"/>
          <w:color w:val="auto"/>
          <w:sz w:val="26"/>
          <w:szCs w:val="26"/>
        </w:rPr>
        <w:t>，不涉及站场、阀室建设</w:t>
      </w:r>
      <w:r>
        <w:rPr>
          <w:rFonts w:hint="default" w:ascii="Times New Roman" w:hAnsi="Times New Roman" w:eastAsia="宋体" w:cs="Times New Roman"/>
          <w:sz w:val="26"/>
          <w:szCs w:val="26"/>
        </w:rPr>
        <w:t>，投入运营后</w:t>
      </w:r>
      <w:r>
        <w:rPr>
          <w:rFonts w:hint="default" w:ascii="Times New Roman" w:hAnsi="Times New Roman" w:eastAsia="宋体" w:cs="Times New Roman"/>
          <w:sz w:val="26"/>
          <w:szCs w:val="26"/>
          <w:lang w:eastAsia="zh-CN"/>
        </w:rPr>
        <w:t>与原项目一样，用于运输</w:t>
      </w:r>
      <w:r>
        <w:rPr>
          <w:rFonts w:hint="default" w:ascii="Times New Roman" w:hAnsi="Times New Roman" w:eastAsia="宋体" w:cs="Times New Roman"/>
          <w:sz w:val="26"/>
          <w:szCs w:val="26"/>
          <w:lang w:val="en-US" w:eastAsia="zh-CN"/>
        </w:rPr>
        <w:t>天然气</w:t>
      </w:r>
      <w:r>
        <w:rPr>
          <w:rFonts w:hint="default" w:ascii="Times New Roman" w:hAnsi="Times New Roman" w:eastAsia="宋体" w:cs="Times New Roman"/>
          <w:sz w:val="26"/>
          <w:szCs w:val="26"/>
          <w:lang w:eastAsia="zh-CN"/>
        </w:rPr>
        <w:t>。</w:t>
      </w:r>
      <w:r>
        <w:rPr>
          <w:rFonts w:hint="default" w:ascii="Times New Roman" w:hAnsi="Times New Roman" w:eastAsia="宋体" w:cs="Times New Roman"/>
          <w:color w:val="auto"/>
          <w:sz w:val="26"/>
          <w:szCs w:val="26"/>
        </w:rPr>
        <w:t>根据天然气集输特性，天然气采用密闭、埋地运输，</w:t>
      </w:r>
      <w:r>
        <w:rPr>
          <w:rFonts w:hint="default" w:ascii="Times New Roman" w:hAnsi="Times New Roman" w:eastAsia="宋体" w:cs="Times New Roman"/>
          <w:sz w:val="26"/>
          <w:szCs w:val="26"/>
          <w:lang w:eastAsia="zh-CN"/>
        </w:rPr>
        <w:t>运营过程中无废水、废气、固体废物、噪声产生；</w:t>
      </w:r>
      <w:r>
        <w:rPr>
          <w:rFonts w:hint="default" w:ascii="Times New Roman" w:hAnsi="Times New Roman" w:eastAsia="宋体" w:cs="Times New Roman"/>
          <w:color w:val="auto"/>
          <w:sz w:val="26"/>
          <w:szCs w:val="26"/>
        </w:rPr>
        <w:t>同时管道巡检由</w:t>
      </w:r>
      <w:r>
        <w:rPr>
          <w:rFonts w:hint="default" w:ascii="Times New Roman" w:hAnsi="Times New Roman" w:eastAsia="宋体" w:cs="Times New Roman"/>
          <w:color w:val="auto"/>
          <w:sz w:val="26"/>
          <w:szCs w:val="26"/>
          <w:lang w:val="en-US" w:eastAsia="zh-CN"/>
        </w:rPr>
        <w:t>现有管理机构-</w:t>
      </w:r>
      <w:r>
        <w:rPr>
          <w:rFonts w:hint="default" w:ascii="Times New Roman" w:hAnsi="Times New Roman" w:eastAsia="宋体" w:cs="Times New Roman"/>
          <w:color w:val="auto"/>
          <w:sz w:val="26"/>
          <w:szCs w:val="26"/>
        </w:rPr>
        <w:t>重庆气矿江北采输气作业区调配，不新增人员，</w:t>
      </w:r>
      <w:r>
        <w:rPr>
          <w:rFonts w:hint="default" w:ascii="Times New Roman" w:hAnsi="Times New Roman" w:eastAsia="宋体" w:cs="Times New Roman"/>
          <w:color w:val="auto"/>
          <w:sz w:val="26"/>
          <w:szCs w:val="26"/>
          <w:lang w:val="en-US" w:eastAsia="zh-CN"/>
        </w:rPr>
        <w:t>因此无新增废水、废气、固体废物、噪声产生</w:t>
      </w:r>
      <w:r>
        <w:rPr>
          <w:rFonts w:hint="default" w:ascii="Times New Roman" w:hAnsi="Times New Roman" w:eastAsia="宋体" w:cs="Times New Roman"/>
          <w:color w:val="auto"/>
          <w:sz w:val="26"/>
          <w:szCs w:val="26"/>
        </w:rPr>
        <w:t>。</w:t>
      </w:r>
    </w:p>
    <w:p w14:paraId="51F15F02">
      <w:pPr>
        <w:adjustRightInd w:val="0"/>
        <w:snapToGrid w:val="0"/>
        <w:spacing w:line="480" w:lineRule="exact"/>
        <w:ind w:firstLine="480" w:firstLineChars="200"/>
        <w:rPr>
          <w:rFonts w:hint="default" w:ascii="Times New Roman" w:hAnsi="Times New Roman" w:eastAsia="宋体" w:cs="Times New Roman"/>
          <w:color w:val="auto"/>
        </w:rPr>
      </w:pPr>
    </w:p>
    <w:p w14:paraId="2951E5EA">
      <w:pPr>
        <w:adjustRightInd w:val="0"/>
        <w:snapToGrid w:val="0"/>
        <w:spacing w:after="120" w:afterLines="50"/>
        <w:jc w:val="center"/>
        <w:outlineLvl w:val="0"/>
        <w:rPr>
          <w:rFonts w:hint="default" w:ascii="Times New Roman" w:hAnsi="Times New Roman" w:eastAsia="宋体" w:cs="Times New Roman"/>
          <w:b/>
          <w:color w:val="auto"/>
          <w:sz w:val="32"/>
          <w:szCs w:val="32"/>
        </w:rPr>
      </w:pPr>
      <w:bookmarkStart w:id="270" w:name="_Toc411432523"/>
      <w:bookmarkStart w:id="271" w:name="_Toc406692210"/>
      <w:bookmarkStart w:id="272" w:name="_Toc22072"/>
      <w:bookmarkStart w:id="273" w:name="_Toc398107510"/>
      <w:bookmarkStart w:id="274" w:name="_Toc45551081"/>
      <w:bookmarkStart w:id="275" w:name="_Toc60144395"/>
      <w:r>
        <w:rPr>
          <w:rFonts w:hint="default" w:ascii="Times New Roman" w:hAnsi="Times New Roman" w:eastAsia="宋体" w:cs="Times New Roman"/>
          <w:b/>
          <w:color w:val="auto"/>
          <w:sz w:val="32"/>
          <w:szCs w:val="32"/>
        </w:rPr>
        <w:br w:type="page"/>
      </w:r>
      <w:bookmarkStart w:id="276" w:name="_Toc8967"/>
      <w:r>
        <w:rPr>
          <w:rFonts w:hint="default" w:ascii="Times New Roman" w:hAnsi="Times New Roman" w:eastAsia="宋体" w:cs="Times New Roman"/>
          <w:b/>
          <w:color w:val="auto"/>
          <w:sz w:val="32"/>
          <w:szCs w:val="32"/>
        </w:rPr>
        <w:t>4 区域环境概况</w:t>
      </w:r>
      <w:bookmarkEnd w:id="270"/>
      <w:bookmarkEnd w:id="271"/>
      <w:bookmarkEnd w:id="272"/>
      <w:bookmarkEnd w:id="273"/>
      <w:bookmarkEnd w:id="274"/>
      <w:bookmarkEnd w:id="275"/>
      <w:bookmarkEnd w:id="276"/>
    </w:p>
    <w:p w14:paraId="413F182A">
      <w:pPr>
        <w:adjustRightInd w:val="0"/>
        <w:snapToGrid w:val="0"/>
        <w:spacing w:line="460" w:lineRule="exact"/>
        <w:ind w:firstLine="522"/>
        <w:outlineLvl w:val="1"/>
        <w:rPr>
          <w:rFonts w:hint="default" w:ascii="Times New Roman" w:hAnsi="Times New Roman" w:eastAsia="宋体" w:cs="Times New Roman"/>
          <w:b/>
          <w:color w:val="auto"/>
          <w:sz w:val="26"/>
          <w:szCs w:val="26"/>
        </w:rPr>
      </w:pPr>
      <w:bookmarkStart w:id="277" w:name="_Toc411432524"/>
      <w:bookmarkStart w:id="278" w:name="_Toc45551082"/>
      <w:bookmarkStart w:id="279" w:name="_Toc406692211"/>
      <w:bookmarkStart w:id="280" w:name="_Toc60144396"/>
      <w:bookmarkStart w:id="281" w:name="_Toc14511"/>
      <w:bookmarkStart w:id="282" w:name="_Toc30172"/>
      <w:bookmarkStart w:id="283" w:name="_Toc398107511"/>
      <w:r>
        <w:rPr>
          <w:rFonts w:hint="default" w:ascii="Times New Roman" w:hAnsi="Times New Roman" w:eastAsia="宋体" w:cs="Times New Roman"/>
          <w:b/>
          <w:color w:val="auto"/>
          <w:sz w:val="26"/>
          <w:szCs w:val="26"/>
        </w:rPr>
        <w:t>4.1自然环境概况</w:t>
      </w:r>
      <w:bookmarkEnd w:id="277"/>
      <w:bookmarkEnd w:id="278"/>
      <w:bookmarkEnd w:id="279"/>
      <w:bookmarkEnd w:id="280"/>
      <w:bookmarkEnd w:id="281"/>
      <w:bookmarkEnd w:id="282"/>
      <w:bookmarkEnd w:id="283"/>
    </w:p>
    <w:p w14:paraId="7BA2C266">
      <w:pPr>
        <w:adjustRightInd w:val="0"/>
        <w:snapToGrid w:val="0"/>
        <w:spacing w:line="46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4.1.1 地理位置</w:t>
      </w:r>
    </w:p>
    <w:p w14:paraId="30F83D56">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綦江区</w:t>
      </w:r>
      <w:r>
        <w:rPr>
          <w:rFonts w:hint="default" w:ascii="Times New Roman" w:hAnsi="Times New Roman" w:eastAsia="宋体" w:cs="Times New Roman"/>
          <w:color w:val="auto"/>
          <w:shd w:val="clear" w:fill="FFFFFF"/>
          <w:lang w:eastAsia="zh-CN"/>
        </w:rPr>
        <w:t>地处</w:t>
      </w:r>
      <w:r>
        <w:rPr>
          <w:rFonts w:hint="default" w:ascii="Times New Roman" w:hAnsi="Times New Roman" w:eastAsia="宋体" w:cs="Times New Roman"/>
          <w:color w:val="auto"/>
        </w:rPr>
        <w:t>重庆市南部，介于东经106°23′-106°55′、北纬28°27′-29°11′之间。东邻南川区，南接贵州省习水、桐梓两县，西连江津区，北靠巴南区，东西宽48千米，南北长82千米，</w:t>
      </w:r>
      <w:r>
        <w:rPr>
          <w:rFonts w:hint="default" w:ascii="Times New Roman" w:hAnsi="Times New Roman" w:eastAsia="宋体" w:cs="Times New Roman"/>
          <w:color w:val="auto"/>
          <w:shd w:val="clear" w:fill="FFFFFF"/>
        </w:rPr>
        <w:t>幅员面积</w:t>
      </w:r>
      <w:r>
        <w:rPr>
          <w:rFonts w:hint="default" w:ascii="Times New Roman" w:hAnsi="Times New Roman" w:eastAsia="宋体" w:cs="Times New Roman"/>
          <w:color w:val="auto"/>
        </w:rPr>
        <w:t>2185.84平方千米。</w:t>
      </w:r>
    </w:p>
    <w:p w14:paraId="2D50834F">
      <w:pPr>
        <w:pStyle w:val="93"/>
        <w:ind w:firstLine="520"/>
        <w:rPr>
          <w:rFonts w:hint="default" w:ascii="Times New Roman" w:hAnsi="Times New Roman" w:eastAsia="宋体" w:cs="Times New Roman"/>
          <w:bCs/>
          <w:color w:val="auto"/>
          <w:lang w:val="en-US"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改建管道</w:t>
      </w:r>
      <w:r>
        <w:rPr>
          <w:rFonts w:hint="default" w:ascii="Times New Roman" w:hAnsi="Times New Roman" w:eastAsia="宋体" w:cs="Times New Roman"/>
          <w:color w:val="auto"/>
        </w:rPr>
        <w:t>位于</w:t>
      </w:r>
      <w:r>
        <w:rPr>
          <w:rFonts w:hint="default" w:ascii="Times New Roman" w:hAnsi="Times New Roman" w:eastAsia="宋体" w:cs="Times New Roman"/>
          <w:color w:val="auto"/>
          <w:shd w:val="clear" w:fill="FFFFFF"/>
          <w:lang w:val="en-US" w:eastAsia="zh-CN"/>
        </w:rPr>
        <w:t>綦江区</w:t>
      </w:r>
      <w:r>
        <w:rPr>
          <w:rFonts w:hint="default" w:ascii="Times New Roman" w:hAnsi="Times New Roman" w:eastAsia="宋体" w:cs="Times New Roman"/>
          <w:color w:val="auto"/>
          <w:lang w:val="en-US" w:eastAsia="zh-CN"/>
        </w:rPr>
        <w:t>文龙街道</w:t>
      </w:r>
      <w:bookmarkStart w:id="284" w:name="_Hlk131686842"/>
      <w:r>
        <w:rPr>
          <w:rFonts w:hint="default" w:ascii="Times New Roman" w:hAnsi="Times New Roman" w:eastAsia="宋体" w:cs="Times New Roman"/>
          <w:bCs/>
          <w:color w:val="auto"/>
        </w:rPr>
        <w:t>。</w:t>
      </w:r>
      <w:r>
        <w:rPr>
          <w:rFonts w:hint="default" w:ascii="Times New Roman" w:hAnsi="Times New Roman" w:eastAsia="宋体" w:cs="Times New Roman"/>
          <w:bCs/>
          <w:color w:val="auto"/>
          <w:lang w:val="en-US" w:eastAsia="zh-CN"/>
        </w:rPr>
        <w:t>项目地理位置见</w:t>
      </w:r>
      <w:r>
        <w:rPr>
          <w:rFonts w:hint="default" w:ascii="Times New Roman" w:hAnsi="Times New Roman" w:eastAsia="宋体" w:cs="Times New Roman"/>
          <w:b/>
          <w:bCs w:val="0"/>
          <w:color w:val="auto"/>
          <w:lang w:val="en-US" w:eastAsia="zh-CN"/>
        </w:rPr>
        <w:t>附图1</w:t>
      </w:r>
      <w:r>
        <w:rPr>
          <w:rFonts w:hint="default" w:ascii="Times New Roman" w:hAnsi="Times New Roman" w:eastAsia="宋体" w:cs="Times New Roman"/>
          <w:bCs/>
          <w:color w:val="auto"/>
          <w:lang w:val="en-US" w:eastAsia="zh-CN"/>
        </w:rPr>
        <w:t>。</w:t>
      </w:r>
    </w:p>
    <w:bookmarkEnd w:id="284"/>
    <w:p w14:paraId="79D08D15">
      <w:pPr>
        <w:adjustRightInd w:val="0"/>
        <w:snapToGrid w:val="0"/>
        <w:spacing w:line="46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4.1.2 地形地貌</w:t>
      </w:r>
    </w:p>
    <w:p w14:paraId="7164144A">
      <w:pPr>
        <w:pStyle w:val="93"/>
        <w:ind w:firstLine="520"/>
        <w:rPr>
          <w:rFonts w:hint="default" w:ascii="Times New Roman" w:hAnsi="Times New Roman" w:eastAsia="宋体" w:cs="Times New Roman"/>
          <w:color w:val="auto"/>
          <w:lang w:val="en-US" w:eastAsia="zh-CN"/>
        </w:rPr>
      </w:pPr>
      <w:bookmarkStart w:id="285" w:name="_Toc2929"/>
      <w:bookmarkStart w:id="286" w:name="_Hlk131686876"/>
      <w:r>
        <w:rPr>
          <w:rFonts w:hint="default" w:ascii="Times New Roman" w:hAnsi="Times New Roman" w:eastAsia="宋体" w:cs="Times New Roman"/>
          <w:color w:val="auto"/>
        </w:rPr>
        <w:t>綦江区地处四川盆地东南边缘，介于华蓥山帚状山脉向南</w:t>
      </w:r>
      <w:r>
        <w:rPr>
          <w:rFonts w:hint="default" w:ascii="Times New Roman" w:hAnsi="Times New Roman" w:eastAsia="宋体" w:cs="Times New Roman"/>
          <w:color w:val="auto"/>
          <w:shd w:val="clear" w:fill="FFFFFF"/>
        </w:rPr>
        <w:t>倾没</w:t>
      </w:r>
      <w:r>
        <w:rPr>
          <w:rFonts w:hint="default" w:ascii="Times New Roman" w:hAnsi="Times New Roman" w:eastAsia="宋体" w:cs="Times New Roman"/>
          <w:color w:val="auto"/>
        </w:rPr>
        <w:t>、大娄山脉向北延伸之间，属喀斯特地貌。地貌特点是：南西高、北东低，边缘高、腹地低，以山地为主，地形破碎，地势高差大。最高海拔1973米（黑山镇狮子槽东侧山峰），最低海拔188米（永新镇升平木瓜溪口），平均海拔254.8米</w:t>
      </w:r>
      <w:r>
        <w:rPr>
          <w:rFonts w:hint="default" w:ascii="Times New Roman" w:hAnsi="Times New Roman" w:eastAsia="宋体" w:cs="Times New Roman"/>
          <w:color w:val="auto"/>
          <w:lang w:eastAsia="zh-CN"/>
        </w:rPr>
        <w:t>。地质构造</w:t>
      </w:r>
      <w:r>
        <w:rPr>
          <w:rFonts w:hint="default" w:ascii="Times New Roman" w:hAnsi="Times New Roman" w:eastAsia="宋体" w:cs="Times New Roman"/>
          <w:color w:val="auto"/>
        </w:rPr>
        <w:t>位于扬子陆块区、上扬子陆块，跨越川中前陆盆地与扬子陆块南部被动边缘褶冲带，涉及华蓥山帚状穹褶束、金佛山穹褶束等构造单元。地貌类型</w:t>
      </w:r>
      <w:r>
        <w:rPr>
          <w:rFonts w:hint="default" w:ascii="Times New Roman" w:hAnsi="Times New Roman" w:eastAsia="宋体" w:cs="Times New Roman"/>
          <w:color w:val="auto"/>
          <w:lang w:val="en-US" w:eastAsia="zh-CN"/>
        </w:rPr>
        <w:t>以山地丘陵为主，山地占全区面积73.35%，分为中山（海拔＞1000米，分布于东南部和西部边缘）和低山（海拔＜1000米，分布于东西、西南部和北部），</w:t>
      </w:r>
      <w:r>
        <w:rPr>
          <w:rFonts w:hint="default" w:ascii="Times New Roman" w:hAnsi="Times New Roman" w:eastAsia="宋体" w:cs="Times New Roman"/>
          <w:color w:val="auto"/>
          <w:sz w:val="26"/>
          <w:lang w:val="en-US" w:eastAsia="zh-CN" w:bidi="ar-SA"/>
        </w:rPr>
        <w:t>丘陵占26.5%，主要分布在綦江河干流两侧及平坝边缘，分为深丘（海拔400-700米）和中浅丘（海拔＜400米）</w:t>
      </w:r>
      <w:r>
        <w:rPr>
          <w:rFonts w:hint="default" w:ascii="Times New Roman" w:hAnsi="Times New Roman" w:eastAsia="宋体" w:cs="Times New Roman"/>
          <w:color w:val="auto"/>
          <w:lang w:val="en-US" w:eastAsia="zh-CN"/>
        </w:rPr>
        <w:t>；区域特殊地貌，如丹霞地貌分布于老瀛山、古剑山等地，面积约160平方公里，成景岩层为白垩系红色砂砾岩。</w:t>
      </w:r>
    </w:p>
    <w:p w14:paraId="677C4F95">
      <w:pPr>
        <w:pStyle w:val="93"/>
        <w:ind w:firstLine="520"/>
        <w:rPr>
          <w:rFonts w:hint="default" w:ascii="Times New Roman" w:hAnsi="Times New Roman" w:eastAsia="宋体" w:cs="Times New Roman"/>
          <w:color w:val="auto"/>
          <w:lang w:val="en-US" w:eastAsia="ja-JP"/>
        </w:rPr>
      </w:pPr>
      <w:r>
        <w:rPr>
          <w:rFonts w:hint="default" w:ascii="Times New Roman" w:hAnsi="Times New Roman" w:eastAsia="宋体" w:cs="Times New Roman"/>
          <w:color w:val="auto"/>
          <w:lang w:val="en-US" w:eastAsia="zh-CN"/>
        </w:rPr>
        <w:t>线路所经地貌单元主要为川东平行岭谷，浅切低山与丘陵地貌，沿线高程最低点为661.27m，最高点720.74m，平均高程为689.46m。沿线具有圆丘、波状丘、脊状丘，坡度较陡等多种形态，阶梯状台坎和 “S” 型沟谷为典型地貌特征。</w:t>
      </w:r>
      <w:bookmarkEnd w:id="285"/>
    </w:p>
    <w:bookmarkEnd w:id="286"/>
    <w:p w14:paraId="5786E6B0">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4.1.3 地层结构及岩性</w:t>
      </w:r>
    </w:p>
    <w:p w14:paraId="7B385D78">
      <w:pPr>
        <w:pStyle w:val="93"/>
        <w:ind w:firstLine="520"/>
        <w:rPr>
          <w:rFonts w:hint="default" w:ascii="Times New Roman" w:hAnsi="Times New Roman" w:eastAsia="宋体" w:cs="Times New Roman"/>
          <w:color w:val="auto"/>
        </w:rPr>
      </w:pPr>
      <w:bookmarkStart w:id="287" w:name="_Hlk131687595"/>
      <w:r>
        <w:rPr>
          <w:rFonts w:hint="default" w:ascii="Times New Roman" w:hAnsi="Times New Roman" w:eastAsia="宋体" w:cs="Times New Roman"/>
          <w:color w:val="auto"/>
        </w:rPr>
        <w:t>地处川东褶皱带，属扬子地台次级构造单元，区域构造线以北东—南西向为主，发育梳状褶皱（如背斜窄陡、向斜宽缓），断裂不发育。其构造位置介于华蓥山帚状穹褶束与金佛山穹褶束之间，整体稳定性较好，历史地震活动弱（最大震级3.1级</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w:t>
      </w:r>
    </w:p>
    <w:p w14:paraId="76EDFBAD">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本项目所在区域属扬子地台、川东褶皱带。</w:t>
      </w:r>
    </w:p>
    <w:p w14:paraId="10FA782F">
      <w:pPr>
        <w:pStyle w:val="93"/>
        <w:ind w:firstLine="520"/>
        <w:rPr>
          <w:rFonts w:hint="default" w:ascii="Times New Roman" w:hAnsi="Times New Roman" w:eastAsia="宋体" w:cs="Times New Roman"/>
          <w:color w:val="auto"/>
        </w:rPr>
      </w:pPr>
      <w:bookmarkStart w:id="288" w:name="_Hlk131687461"/>
      <w:r>
        <w:rPr>
          <w:rFonts w:hint="default" w:ascii="Times New Roman" w:hAnsi="Times New Roman" w:eastAsia="宋体" w:cs="Times New Roman"/>
          <w:color w:val="auto"/>
        </w:rPr>
        <w:t>根据天然和人工露头地质调查，拟选线路沿线地层主要包括第四系全</w:t>
      </w:r>
      <w:r>
        <w:rPr>
          <w:rFonts w:hint="default" w:ascii="Times New Roman" w:hAnsi="Times New Roman" w:eastAsia="宋体" w:cs="Times New Roman"/>
          <w:color w:val="auto"/>
          <w:shd w:val="clear" w:fill="FFFFFF"/>
        </w:rPr>
        <w:t>新统</w:t>
      </w:r>
      <w:r>
        <w:rPr>
          <w:rFonts w:hint="default" w:ascii="Times New Roman" w:hAnsi="Times New Roman" w:eastAsia="宋体" w:cs="Times New Roman"/>
          <w:color w:val="auto"/>
        </w:rPr>
        <w:t>残坡积（Q</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vertAlign w:val="superscript"/>
        </w:rPr>
        <w:t>el+dl</w:t>
      </w:r>
      <w:r>
        <w:rPr>
          <w:rFonts w:hint="default" w:ascii="Times New Roman" w:hAnsi="Times New Roman" w:eastAsia="宋体" w:cs="Times New Roman"/>
          <w:color w:val="auto"/>
        </w:rPr>
        <w:t>）粉质粘土、冲洪</w:t>
      </w:r>
      <w:r>
        <w:rPr>
          <w:rFonts w:hint="default" w:ascii="Times New Roman" w:hAnsi="Times New Roman" w:eastAsia="宋体" w:cs="Times New Roman"/>
          <w:color w:val="auto"/>
          <w:spacing w:val="-4"/>
        </w:rPr>
        <w:t>积（</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vertAlign w:val="superscript"/>
        </w:rPr>
        <w:t>al+pl</w:t>
      </w:r>
      <w:r>
        <w:rPr>
          <w:rFonts w:hint="default" w:ascii="Times New Roman" w:hAnsi="Times New Roman" w:eastAsia="宋体" w:cs="Times New Roman"/>
          <w:color w:val="auto"/>
          <w:spacing w:val="-4"/>
        </w:rPr>
        <w:t>）细砂、</w:t>
      </w:r>
      <w:r>
        <w:rPr>
          <w:rFonts w:hint="default" w:ascii="Times New Roman" w:hAnsi="Times New Roman" w:eastAsia="宋体" w:cs="Times New Roman"/>
          <w:color w:val="auto"/>
        </w:rPr>
        <w:t>冲洪</w:t>
      </w:r>
      <w:r>
        <w:rPr>
          <w:rFonts w:hint="default" w:ascii="Times New Roman" w:hAnsi="Times New Roman" w:eastAsia="宋体" w:cs="Times New Roman"/>
          <w:color w:val="auto"/>
          <w:spacing w:val="-4"/>
        </w:rPr>
        <w:t>积（</w:t>
      </w:r>
      <w:r>
        <w:rPr>
          <w:rFonts w:hint="default" w:ascii="Times New Roman" w:hAnsi="Times New Roman" w:eastAsia="宋体" w:cs="Times New Roman"/>
          <w:color w:val="auto"/>
        </w:rPr>
        <w:t>Q</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vertAlign w:val="superscript"/>
        </w:rPr>
        <w:t>al+pl</w:t>
      </w:r>
      <w:r>
        <w:rPr>
          <w:rFonts w:hint="default" w:ascii="Times New Roman" w:hAnsi="Times New Roman" w:eastAsia="宋体" w:cs="Times New Roman"/>
          <w:color w:val="auto"/>
          <w:spacing w:val="-4"/>
        </w:rPr>
        <w:t>）</w:t>
      </w:r>
      <w:r>
        <w:rPr>
          <w:rFonts w:hint="default" w:ascii="Times New Roman" w:hAnsi="Times New Roman" w:eastAsia="宋体" w:cs="Times New Roman"/>
          <w:color w:val="auto"/>
        </w:rPr>
        <w:t>粉质粘土</w:t>
      </w:r>
      <w:r>
        <w:rPr>
          <w:rFonts w:hint="default" w:ascii="Times New Roman" w:hAnsi="Times New Roman" w:eastAsia="宋体" w:cs="Times New Roman"/>
          <w:color w:val="auto"/>
          <w:spacing w:val="-4"/>
        </w:rPr>
        <w:t>、</w:t>
      </w:r>
      <w:r>
        <w:rPr>
          <w:rFonts w:hint="default" w:ascii="Times New Roman" w:hAnsi="Times New Roman" w:eastAsia="宋体" w:cs="Times New Roman"/>
          <w:color w:val="auto"/>
        </w:rPr>
        <w:t>侏罗系自流井组（J</w:t>
      </w:r>
      <w:r>
        <w:rPr>
          <w:rFonts w:hint="default" w:ascii="Times New Roman" w:hAnsi="Times New Roman" w:eastAsia="宋体" w:cs="Times New Roman"/>
          <w:color w:val="auto"/>
          <w:vertAlign w:val="subscript"/>
        </w:rPr>
        <w:t>1zl</w:t>
      </w:r>
      <w:r>
        <w:rPr>
          <w:rFonts w:hint="default" w:ascii="Times New Roman" w:hAnsi="Times New Roman" w:eastAsia="宋体" w:cs="Times New Roman"/>
          <w:color w:val="auto"/>
        </w:rPr>
        <w:t>）泥岩、砂岩。地层由新至老分别描述如下：</w:t>
      </w:r>
    </w:p>
    <w:p w14:paraId="10C0C6C1">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（1）第四系全</w:t>
      </w:r>
      <w:r>
        <w:rPr>
          <w:rFonts w:hint="default" w:ascii="Times New Roman" w:hAnsi="Times New Roman" w:eastAsia="宋体" w:cs="Times New Roman"/>
          <w:color w:val="auto"/>
          <w:shd w:val="clear" w:fill="FFFFFF"/>
        </w:rPr>
        <w:t>新统</w:t>
      </w:r>
      <w:r>
        <w:rPr>
          <w:rFonts w:hint="default" w:ascii="Times New Roman" w:hAnsi="Times New Roman" w:eastAsia="宋体" w:cs="Times New Roman"/>
          <w:color w:val="auto"/>
        </w:rPr>
        <w:t>冲洪积（Q</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vertAlign w:val="superscript"/>
        </w:rPr>
        <w:t>al+pl</w:t>
      </w:r>
      <w:r>
        <w:rPr>
          <w:rFonts w:hint="default" w:ascii="Times New Roman" w:hAnsi="Times New Roman" w:eastAsia="宋体" w:cs="Times New Roman"/>
          <w:color w:val="auto"/>
        </w:rPr>
        <w:t>）粉质粘土</w:t>
      </w:r>
    </w:p>
    <w:p w14:paraId="1371BACE">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粉质粘土：褐色～黄褐色，可塑，稍具光泽，摇震反应无，干强度中等～低，韧性中等～低，局部含少量细砂。厚度0.7～3m，局部大于 4m，主要分布于綦江河及其支流河谷、冲沟。</w:t>
      </w:r>
    </w:p>
    <w:p w14:paraId="263AABC8">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（2）第四系全</w:t>
      </w:r>
      <w:r>
        <w:rPr>
          <w:rFonts w:hint="default" w:ascii="Times New Roman" w:hAnsi="Times New Roman" w:eastAsia="宋体" w:cs="Times New Roman"/>
          <w:color w:val="auto"/>
          <w:shd w:val="clear" w:fill="FFFFFF"/>
        </w:rPr>
        <w:t>新统</w:t>
      </w:r>
      <w:r>
        <w:rPr>
          <w:rFonts w:hint="default" w:ascii="Times New Roman" w:hAnsi="Times New Roman" w:eastAsia="宋体" w:cs="Times New Roman"/>
          <w:color w:val="auto"/>
        </w:rPr>
        <w:t>残坡积（Q</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vertAlign w:val="superscript"/>
        </w:rPr>
        <w:t>el+dl</w:t>
      </w:r>
      <w:r>
        <w:rPr>
          <w:rFonts w:hint="default" w:ascii="Times New Roman" w:hAnsi="Times New Roman" w:eastAsia="宋体" w:cs="Times New Roman"/>
          <w:color w:val="auto"/>
        </w:rPr>
        <w:t>）粉质粘土</w:t>
      </w:r>
    </w:p>
    <w:p w14:paraId="1DD6B719">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粉质粘土：褐色～黄褐色，可塑，稍具光泽，摇震反应无，干强度中等，韧性中等，含少量砾石。厚度0.9～2.5m，局部大于 3m，广泛覆盖于丘陵坡地及阶地，是地表主要覆盖层。</w:t>
      </w:r>
    </w:p>
    <w:p w14:paraId="69E37B35">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（3）第四系全</w:t>
      </w:r>
      <w:r>
        <w:rPr>
          <w:rFonts w:hint="default" w:ascii="Times New Roman" w:hAnsi="Times New Roman" w:eastAsia="宋体" w:cs="Times New Roman"/>
          <w:color w:val="auto"/>
          <w:shd w:val="clear" w:fill="FFFFFF"/>
        </w:rPr>
        <w:t>新统</w:t>
      </w:r>
      <w:r>
        <w:rPr>
          <w:rFonts w:hint="default" w:ascii="Times New Roman" w:hAnsi="Times New Roman" w:eastAsia="宋体" w:cs="Times New Roman"/>
          <w:color w:val="auto"/>
        </w:rPr>
        <w:t>冲洪积（Q</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vertAlign w:val="superscript"/>
        </w:rPr>
        <w:t>al+pl</w:t>
      </w:r>
      <w:r>
        <w:rPr>
          <w:rFonts w:hint="default" w:ascii="Times New Roman" w:hAnsi="Times New Roman" w:eastAsia="宋体" w:cs="Times New Roman"/>
          <w:color w:val="auto"/>
        </w:rPr>
        <w:t>）细砂</w:t>
      </w:r>
    </w:p>
    <w:p w14:paraId="48369E2A">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细砂：灰色，湿～饱和，松散，</w:t>
      </w:r>
      <w:r>
        <w:rPr>
          <w:rFonts w:hint="default" w:ascii="Times New Roman" w:hAnsi="Times New Roman" w:eastAsia="宋体" w:cs="Times New Roman"/>
          <w:color w:val="auto"/>
          <w:shd w:val="clear" w:fill="FFFFFF"/>
        </w:rPr>
        <w:t>摇震反应</w:t>
      </w:r>
      <w:r>
        <w:rPr>
          <w:rFonts w:hint="default" w:ascii="Times New Roman" w:hAnsi="Times New Roman" w:eastAsia="宋体" w:cs="Times New Roman"/>
          <w:color w:val="auto"/>
        </w:rPr>
        <w:t>快，干强度中等，无韧性。厚度0.2～0.3m，仅零星分布于河谷底部。</w:t>
      </w:r>
    </w:p>
    <w:p w14:paraId="5BEA2216">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（4）侏罗系自流井组（J</w:t>
      </w:r>
      <w:r>
        <w:rPr>
          <w:rFonts w:hint="default" w:ascii="Times New Roman" w:hAnsi="Times New Roman" w:eastAsia="宋体" w:cs="Times New Roman"/>
          <w:color w:val="auto"/>
          <w:vertAlign w:val="subscript"/>
        </w:rPr>
        <w:t>1zl</w:t>
      </w:r>
      <w:r>
        <w:rPr>
          <w:rFonts w:hint="default" w:ascii="Times New Roman" w:hAnsi="Times New Roman" w:eastAsia="宋体" w:cs="Times New Roman"/>
          <w:color w:val="auto"/>
        </w:rPr>
        <w:t>）</w:t>
      </w:r>
    </w:p>
    <w:p w14:paraId="3E54DAED">
      <w:pPr>
        <w:pStyle w:val="93"/>
        <w:ind w:firstLine="52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泥岩：</w:t>
      </w:r>
      <w:r>
        <w:rPr>
          <w:rFonts w:hint="default" w:ascii="Times New Roman" w:hAnsi="Times New Roman" w:eastAsia="宋体" w:cs="Times New Roman"/>
          <w:color w:val="auto"/>
          <w:lang w:val="ru-RU" w:bidi="en-US"/>
        </w:rPr>
        <w:t>紫红色，泥质结构，厚层状构造，矿物以伊利石、蒙脱石等</w:t>
      </w:r>
      <w:r>
        <w:rPr>
          <w:rFonts w:hint="default" w:ascii="Times New Roman" w:hAnsi="Times New Roman" w:eastAsia="宋体" w:cs="Times New Roman"/>
          <w:color w:val="auto"/>
          <w:shd w:val="clear" w:fill="FFFFFF"/>
          <w:lang w:val="ru-RU" w:bidi="en-US"/>
        </w:rPr>
        <w:t>粘土矿物</w:t>
      </w:r>
      <w:r>
        <w:rPr>
          <w:rFonts w:hint="default" w:ascii="Times New Roman" w:hAnsi="Times New Roman" w:eastAsia="宋体" w:cs="Times New Roman"/>
          <w:color w:val="auto"/>
          <w:lang w:val="ru-RU" w:bidi="en-US"/>
        </w:rPr>
        <w:t>为主。岩体破碎～较破碎，发育垂直节理，抗风化能力较弱，多分布于丘陵坡顶及斜坡中上部，易形成缓坡或平台地貌</w:t>
      </w:r>
      <w:r>
        <w:rPr>
          <w:rFonts w:hint="default" w:ascii="Times New Roman" w:hAnsi="Times New Roman" w:eastAsia="宋体" w:cs="Times New Roman"/>
          <w:color w:val="auto"/>
        </w:rPr>
        <w:t>。局部夹薄层粉砂岩或钙质结核，部分层位含煤线（如綦江段底部）或赤铁矿、菱铁矿透镜体</w:t>
      </w:r>
      <w:r>
        <w:rPr>
          <w:rFonts w:hint="default" w:ascii="Times New Roman" w:hAnsi="Times New Roman" w:eastAsia="宋体" w:cs="Times New Roman"/>
          <w:color w:val="auto"/>
          <w:lang w:eastAsia="zh-CN"/>
        </w:rPr>
        <w:t>。</w:t>
      </w:r>
    </w:p>
    <w:bookmarkEnd w:id="288"/>
    <w:p w14:paraId="0C33BB5C">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灰色～灰黄色，中砂结构，厚层状构造，由长石、石英颗粒经钙质胶结而成。岩体较破碎～较完整，发育斜层理和交错层理，抗风化能力较强，常形成陡崖或山脊，多分布于丘陵坡顶及斜坡中下部。</w:t>
      </w:r>
    </w:p>
    <w:bookmarkEnd w:id="287"/>
    <w:p w14:paraId="4A1056AA">
      <w:pPr>
        <w:adjustRightInd w:val="0"/>
        <w:snapToGrid w:val="0"/>
        <w:spacing w:line="500" w:lineRule="exact"/>
        <w:ind w:firstLine="522"/>
        <w:outlineLvl w:val="2"/>
        <w:rPr>
          <w:rFonts w:hint="default" w:ascii="Times New Roman" w:hAnsi="Times New Roman" w:eastAsia="宋体" w:cs="Times New Roman"/>
          <w:b/>
          <w:color w:val="auto"/>
          <w:sz w:val="26"/>
          <w:szCs w:val="26"/>
          <w:lang w:val="en-US" w:eastAsia="zh-CN"/>
        </w:rPr>
      </w:pPr>
      <w:r>
        <w:rPr>
          <w:rFonts w:hint="default" w:ascii="Times New Roman" w:hAnsi="Times New Roman" w:eastAsia="宋体" w:cs="Times New Roman"/>
          <w:b/>
          <w:color w:val="auto"/>
          <w:sz w:val="26"/>
          <w:szCs w:val="26"/>
        </w:rPr>
        <w:t>4.1.4 水文</w:t>
      </w:r>
      <w:r>
        <w:rPr>
          <w:rFonts w:hint="default" w:ascii="Times New Roman" w:hAnsi="Times New Roman" w:eastAsia="宋体" w:cs="Times New Roman"/>
          <w:b/>
          <w:color w:val="auto"/>
          <w:sz w:val="26"/>
          <w:szCs w:val="26"/>
          <w:lang w:val="en-US" w:eastAsia="zh-CN"/>
        </w:rPr>
        <w:t>地质条件</w:t>
      </w:r>
    </w:p>
    <w:p w14:paraId="757EE132">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按地下水的含水介质、水力特征，拟建管道通过地区地下水类型主要为区域地下水主要分为第四系松散层孔隙上层滞水、潜水及碎屑岩类基岩风化裂隙水。</w:t>
      </w:r>
    </w:p>
    <w:p w14:paraId="0EDB8206">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①上层滞水</w:t>
      </w:r>
    </w:p>
    <w:p w14:paraId="3D315193">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线路分布的沟谷粉质粘土层中局部具有上层滞水，主要依赖大气降雨入渗补给，少量接受斜坡区地表径流漫灌补给，因粉质粘土透水性较弱，降水仅能在局部孔隙富集，无法形成连续含水层，对管道敷设施工影响较小。</w:t>
      </w:r>
    </w:p>
    <w:p w14:paraId="1C5D19BC">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②潜水</w:t>
      </w:r>
    </w:p>
    <w:p w14:paraId="2CB04CB9">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主要分布于拟选线路的冲沟、河流、河谷及阶地，赋存于第四系冲洪积粉质粘土</w:t>
      </w:r>
      <w:r>
        <w:rPr>
          <w:rFonts w:hint="default" w:ascii="Times New Roman" w:hAnsi="Times New Roman" w:eastAsia="宋体" w:cs="Times New Roman"/>
          <w:color w:val="auto"/>
          <w:lang w:val="en-US" w:eastAsia="zh-CN"/>
        </w:rPr>
        <w:t>与</w:t>
      </w:r>
      <w:r>
        <w:rPr>
          <w:rFonts w:hint="default" w:ascii="Times New Roman" w:hAnsi="Times New Roman" w:eastAsia="宋体" w:cs="Times New Roman"/>
          <w:color w:val="auto"/>
        </w:rPr>
        <w:t>细砂中，直接接受上游河水、冲沟地表水倒灌补给，同时接收周边斜坡区上层滞水、残坡积层渗水的径流补给，补给源稳定且充沛，水位埋深较浅地段对管道敷设施工、运营影响大，需采取必要的降排水及防腐措施。</w:t>
      </w:r>
    </w:p>
    <w:p w14:paraId="4C3881CA">
      <w:pPr>
        <w:pStyle w:val="93"/>
        <w:numPr>
          <w:ilvl w:val="0"/>
          <w:numId w:val="0"/>
        </w:numPr>
        <w:ind w:left="880" w:leftChars="0" w:hanging="360" w:firstLineChars="0"/>
        <w:rPr>
          <w:rFonts w:hint="default" w:ascii="Times New Roman" w:hAnsi="Times New Roman" w:eastAsia="宋体" w:cs="Times New Roman"/>
          <w:color w:val="auto"/>
        </w:rPr>
      </w:pPr>
      <w:r>
        <w:rPr>
          <w:rFonts w:hint="default" w:ascii="Times New Roman" w:hAnsi="Times New Roman" w:eastAsia="宋体" w:cs="Times New Roman"/>
          <w:color w:val="auto"/>
          <w:sz w:val="26"/>
          <w:lang w:val="en-US" w:eastAsia="zh-CN" w:bidi="ar-SA"/>
        </w:rPr>
        <w:t>③</w:t>
      </w:r>
      <w:r>
        <w:rPr>
          <w:rFonts w:hint="default" w:ascii="Times New Roman" w:hAnsi="Times New Roman" w:eastAsia="宋体" w:cs="Times New Roman"/>
          <w:color w:val="auto"/>
        </w:rPr>
        <w:t>基岩裂隙水</w:t>
      </w:r>
    </w:p>
    <w:p w14:paraId="2CF7A73A">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主要赋存于场地区下伏、出露的基岩风化裂隙与构造裂隙中。根据本次勘察，勘察深度内未见该类地下水出露。该类地下水主要接受第四系潜水的下渗补给及基岩出露区（街道东南边缘低山）的大气降雨入渗补给，裂隙贯通性差，补给范围有限。该类地下水对管道敷设施工、运营影响较小。</w:t>
      </w:r>
    </w:p>
    <w:p w14:paraId="259F6D3D">
      <w:pPr>
        <w:pStyle w:val="93"/>
        <w:ind w:firstLine="520"/>
        <w:rPr>
          <w:rFonts w:hint="default" w:ascii="Times New Roman" w:hAnsi="Times New Roman" w:eastAsia="宋体" w:cs="Times New Roman"/>
        </w:rPr>
      </w:pPr>
      <w:r>
        <w:rPr>
          <w:rFonts w:hint="default" w:ascii="Times New Roman" w:hAnsi="Times New Roman" w:eastAsia="宋体" w:cs="Times New Roman"/>
        </w:rPr>
        <w:t>评价范围内地下水的开采利用方式与当地居民所居住地的地形地貌条件、水资源分布特征及居住密度等因素有着密切的关系。本次评价范围内，当地</w:t>
      </w:r>
      <w:r>
        <w:rPr>
          <w:rFonts w:hint="default" w:ascii="Times New Roman" w:hAnsi="Times New Roman" w:eastAsia="宋体" w:cs="Times New Roman"/>
          <w:lang w:val="en-US" w:eastAsia="zh-CN"/>
        </w:rPr>
        <w:t>大部分</w:t>
      </w:r>
      <w:r>
        <w:rPr>
          <w:rFonts w:hint="default" w:ascii="Times New Roman" w:hAnsi="Times New Roman" w:eastAsia="宋体" w:cs="Times New Roman"/>
        </w:rPr>
        <w:t>居民生活用水</w:t>
      </w:r>
      <w:r>
        <w:rPr>
          <w:rFonts w:hint="default" w:ascii="Times New Roman" w:hAnsi="Times New Roman" w:eastAsia="宋体" w:cs="Times New Roman"/>
          <w:shd w:val="clear" w:fill="FFFFFF"/>
        </w:rPr>
        <w:t>来自</w:t>
      </w:r>
      <w:r>
        <w:rPr>
          <w:rFonts w:hint="default" w:ascii="Times New Roman" w:hAnsi="Times New Roman" w:eastAsia="宋体" w:cs="Times New Roman"/>
          <w:shd w:val="clear" w:fill="FFFFFF"/>
          <w:lang w:val="en-US" w:eastAsia="zh-CN"/>
        </w:rPr>
        <w:t>于</w:t>
      </w:r>
      <w:r>
        <w:rPr>
          <w:rFonts w:hint="default" w:ascii="Times New Roman" w:hAnsi="Times New Roman" w:eastAsia="宋体" w:cs="Times New Roman"/>
          <w:lang w:val="en-US" w:eastAsia="zh-CN"/>
        </w:rPr>
        <w:t>堰塘泉点</w:t>
      </w:r>
      <w:r>
        <w:rPr>
          <w:rFonts w:hint="default" w:ascii="Times New Roman" w:hAnsi="Times New Roman" w:eastAsia="宋体" w:cs="Times New Roman"/>
        </w:rPr>
        <w:t>，部分居民</w:t>
      </w:r>
      <w:r>
        <w:rPr>
          <w:rFonts w:hint="default" w:ascii="Times New Roman" w:hAnsi="Times New Roman" w:eastAsia="宋体" w:cs="Times New Roman"/>
          <w:lang w:val="en-US" w:eastAsia="zh-CN"/>
        </w:rPr>
        <w:t>以</w:t>
      </w:r>
      <w:r>
        <w:rPr>
          <w:rFonts w:hint="default" w:ascii="Times New Roman" w:hAnsi="Times New Roman" w:eastAsia="宋体" w:cs="Times New Roman"/>
        </w:rPr>
        <w:t>分散式水井作为备用生活用水水源</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因此，</w:t>
      </w:r>
      <w:r>
        <w:rPr>
          <w:rFonts w:hint="default" w:ascii="Times New Roman" w:hAnsi="Times New Roman" w:eastAsia="宋体" w:cs="Times New Roman"/>
        </w:rPr>
        <w:t>项目所在区域内，地下水现状开发利用程度低。</w:t>
      </w:r>
    </w:p>
    <w:p w14:paraId="47E4B9CB">
      <w:pPr>
        <w:adjustRightInd w:val="0"/>
        <w:snapToGrid w:val="0"/>
        <w:spacing w:line="50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4.1.5 气候与气象</w:t>
      </w:r>
    </w:p>
    <w:p w14:paraId="3DF22B9E">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綦江区</w:t>
      </w:r>
      <w:r>
        <w:rPr>
          <w:rFonts w:hint="default" w:ascii="Times New Roman" w:hAnsi="Times New Roman" w:eastAsia="宋体" w:cs="Times New Roman"/>
          <w:color w:val="auto"/>
        </w:rPr>
        <w:t>境属亚热带湿润季风性气候，受东亚季风环流影响，气候湿润，四季分明，雨热同期特征显著。</w:t>
      </w:r>
      <w:r>
        <w:rPr>
          <w:rFonts w:hint="default" w:ascii="Times New Roman" w:hAnsi="Times New Roman" w:eastAsia="宋体" w:cs="Times New Roman"/>
          <w:color w:val="auto"/>
          <w:lang w:val="en-US" w:eastAsia="zh-CN"/>
        </w:rPr>
        <w:t>四季气候特征为</w:t>
      </w:r>
      <w:r>
        <w:rPr>
          <w:rFonts w:hint="default" w:ascii="Times New Roman" w:hAnsi="Times New Roman" w:eastAsia="宋体" w:cs="Times New Roman"/>
          <w:color w:val="auto"/>
        </w:rPr>
        <w:t>初春气温回升不稳定、波动大</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夏有酷暑</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秋季绵雨不明显</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隆冬无严寒。年内易发生暴雨、高温、伏旱、寒潮等气象灾害，其中暴雨和高温造成的危害最为严重</w:t>
      </w:r>
      <w:r>
        <w:rPr>
          <w:rFonts w:hint="default" w:ascii="Times New Roman" w:hAnsi="Times New Roman" w:eastAsia="宋体" w:cs="Times New Roman"/>
          <w:color w:val="auto"/>
          <w:lang w:eastAsia="zh-CN"/>
        </w:rPr>
        <w:t>，暴雨集中发生于7-8月，短时强降水特征突出，7-8月高温与干旱常伴随发生，持续高温天气易导致电力负荷激增，伏旱则影响农作物生长，初春和深秋偶发寒潮，气温骤降幅度可达8℃以上；夏季暴雨过程中常伴随雷电、阵性大风。綦江区</w:t>
      </w:r>
      <w:r>
        <w:rPr>
          <w:rFonts w:hint="default" w:ascii="Times New Roman" w:hAnsi="Times New Roman" w:eastAsia="宋体" w:cs="Times New Roman"/>
          <w:color w:val="auto"/>
        </w:rPr>
        <w:t>累年年总降水量平均为</w:t>
      </w:r>
      <w:r>
        <w:rPr>
          <w:rFonts w:hint="default" w:ascii="Times New Roman" w:hAnsi="Times New Roman" w:eastAsia="宋体" w:cs="Times New Roman"/>
          <w:color w:val="auto"/>
          <w:lang w:val="en-US" w:eastAsia="zh-CN"/>
        </w:rPr>
        <w:t>1100</w:t>
      </w:r>
      <w:r>
        <w:rPr>
          <w:rFonts w:hint="default" w:ascii="Times New Roman" w:hAnsi="Times New Roman" w:eastAsia="宋体" w:cs="Times New Roman"/>
          <w:color w:val="auto"/>
        </w:rPr>
        <w:t>mm。降水高度集中于5-10月（汛期），占全年降水量的70%~80%，其中7、8月降水最多，单月暴雨日数可达</w:t>
      </w:r>
      <w:r>
        <w:rPr>
          <w:rFonts w:hint="default" w:ascii="Times New Roman" w:hAnsi="Times New Roman" w:eastAsia="宋体" w:cs="Times New Roman"/>
          <w:color w:val="auto"/>
          <w:shd w:val="clear" w:fill="FFFFFF"/>
        </w:rPr>
        <w:t>3~5</w:t>
      </w:r>
      <w:r>
        <w:rPr>
          <w:rFonts w:hint="default" w:ascii="Times New Roman" w:hAnsi="Times New Roman" w:eastAsia="宋体" w:cs="Times New Roman"/>
          <w:color w:val="auto"/>
        </w:rPr>
        <w:t>天；1、12月降水最少，均不足20mm。年最多降水量为14</w:t>
      </w:r>
      <w:r>
        <w:rPr>
          <w:rFonts w:hint="default" w:ascii="Times New Roman" w:hAnsi="Times New Roman" w:eastAsia="宋体" w:cs="Times New Roman"/>
          <w:color w:val="auto"/>
          <w:lang w:val="en-US" w:eastAsia="zh-CN"/>
        </w:rPr>
        <w:t>00</w:t>
      </w:r>
      <w:r>
        <w:rPr>
          <w:rFonts w:hint="default" w:ascii="Times New Roman" w:hAnsi="Times New Roman" w:eastAsia="宋体" w:cs="Times New Roman"/>
          <w:color w:val="auto"/>
        </w:rPr>
        <w:t>mm</w:t>
      </w:r>
      <w:r>
        <w:rPr>
          <w:rFonts w:hint="default" w:ascii="Times New Roman" w:hAnsi="Times New Roman" w:eastAsia="宋体" w:cs="Times New Roman"/>
          <w:color w:val="auto"/>
          <w:lang w:val="en-US" w:eastAsia="zh-CN"/>
        </w:rPr>
        <w:t>以上</w:t>
      </w:r>
      <w:r>
        <w:rPr>
          <w:rFonts w:hint="default" w:ascii="Times New Roman" w:hAnsi="Times New Roman" w:eastAsia="宋体" w:cs="Times New Roman"/>
          <w:color w:val="auto"/>
        </w:rPr>
        <w:t>，月最多降水量在8月</w:t>
      </w:r>
      <w:r>
        <w:rPr>
          <w:rFonts w:hint="default" w:ascii="Times New Roman" w:hAnsi="Times New Roman" w:eastAsia="宋体" w:cs="Times New Roman"/>
          <w:color w:val="auto"/>
          <w:lang w:eastAsia="zh-CN"/>
        </w:rPr>
        <w:t>，单次强降水过程累计雨量可超140毫米</w:t>
      </w:r>
      <w:r>
        <w:rPr>
          <w:rFonts w:hint="default" w:ascii="Times New Roman" w:hAnsi="Times New Roman" w:eastAsia="宋体" w:cs="Times New Roman"/>
          <w:color w:val="auto"/>
        </w:rPr>
        <w:t>。月最少降水量不足5毫米，多出现于12月，部分干旱年份甚至接近无降水状态。</w:t>
      </w:r>
    </w:p>
    <w:p w14:paraId="69A32C08">
      <w:pPr>
        <w:adjustRightInd w:val="0"/>
        <w:snapToGrid w:val="0"/>
        <w:spacing w:line="50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4.1.6地表水系</w:t>
      </w:r>
    </w:p>
    <w:p w14:paraId="6CD3D5CD">
      <w:pPr>
        <w:pStyle w:val="93"/>
        <w:ind w:firstLine="520"/>
        <w:rPr>
          <w:rFonts w:hint="default" w:ascii="Times New Roman" w:hAnsi="Times New Roman" w:eastAsia="宋体" w:cs="Times New Roman"/>
          <w:color w:val="auto"/>
          <w:lang w:eastAsia="zh-CN"/>
        </w:rPr>
      </w:pPr>
      <w:bookmarkStart w:id="289" w:name="undefined"/>
      <w:r>
        <w:rPr>
          <w:rFonts w:hint="default" w:ascii="Times New Roman" w:hAnsi="Times New Roman" w:eastAsia="宋体" w:cs="Times New Roman"/>
          <w:color w:val="auto"/>
        </w:rPr>
        <w:t>綦江区境内溪河纵横，水系发达。全区多年平均水资源总量为34.72亿</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其中地表水</w:t>
      </w:r>
      <w:r>
        <w:rPr>
          <w:rFonts w:hint="default" w:ascii="Times New Roman" w:hAnsi="Times New Roman" w:eastAsia="宋体" w:cs="Times New Roman"/>
          <w:color w:val="auto"/>
          <w:lang w:val="en-US" w:eastAsia="zh-CN"/>
        </w:rPr>
        <w:t>14.02</w:t>
      </w:r>
      <w:r>
        <w:rPr>
          <w:rFonts w:hint="default" w:ascii="Times New Roman" w:hAnsi="Times New Roman" w:eastAsia="宋体" w:cs="Times New Roman"/>
          <w:color w:val="auto"/>
        </w:rPr>
        <w:t>亿</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，地下水资源总量为</w:t>
      </w:r>
      <w:r>
        <w:rPr>
          <w:rFonts w:hint="default" w:ascii="Times New Roman" w:hAnsi="Times New Roman" w:eastAsia="宋体" w:cs="Times New Roman"/>
          <w:color w:val="auto"/>
          <w:lang w:val="en-US" w:eastAsia="zh-CN"/>
        </w:rPr>
        <w:t>1.40</w:t>
      </w:r>
      <w:r>
        <w:rPr>
          <w:rFonts w:hint="default" w:ascii="Times New Roman" w:hAnsi="Times New Roman" w:eastAsia="宋体" w:cs="Times New Roman"/>
          <w:color w:val="auto"/>
        </w:rPr>
        <w:t>亿</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，多年平均过境水资源总量为</w:t>
      </w:r>
      <w:r>
        <w:rPr>
          <w:rFonts w:hint="default" w:ascii="Times New Roman" w:hAnsi="Times New Roman" w:eastAsia="宋体" w:cs="Times New Roman"/>
          <w:color w:val="auto"/>
          <w:lang w:val="en-US" w:eastAsia="zh-CN"/>
        </w:rPr>
        <w:t>19.3</w:t>
      </w:r>
      <w:r>
        <w:rPr>
          <w:rFonts w:hint="default" w:ascii="Times New Roman" w:hAnsi="Times New Roman" w:eastAsia="宋体" w:cs="Times New Roman"/>
          <w:color w:val="auto"/>
        </w:rPr>
        <w:t>亿</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綦江</w:t>
      </w:r>
      <w:r>
        <w:rPr>
          <w:rFonts w:hint="default" w:ascii="Times New Roman" w:hAnsi="Times New Roman" w:eastAsia="宋体" w:cs="Times New Roman"/>
          <w:color w:val="auto"/>
        </w:rPr>
        <w:t>区境内河流属长江流域河流，共有225条。全区河流总长度1713.54km，河网密度0.12km/km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lang w:eastAsia="zh-CN"/>
        </w:rPr>
        <w:t>。</w:t>
      </w:r>
    </w:p>
    <w:p w14:paraId="4FE9FECE">
      <w:pPr>
        <w:pStyle w:val="93"/>
        <w:ind w:firstLine="5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綦江区</w:t>
      </w:r>
      <w:r>
        <w:rPr>
          <w:rFonts w:hint="default" w:ascii="Times New Roman" w:hAnsi="Times New Roman" w:eastAsia="宋体" w:cs="Times New Roman"/>
          <w:color w:val="auto"/>
        </w:rPr>
        <w:t>境内河流属长江上游南岸一级支流綦江水系，</w:t>
      </w:r>
      <w:r>
        <w:rPr>
          <w:rFonts w:hint="default" w:ascii="Times New Roman" w:hAnsi="Times New Roman" w:eastAsia="宋体" w:cs="Times New Roman"/>
          <w:color w:val="auto"/>
          <w:lang w:eastAsia="zh-CN"/>
        </w:rPr>
        <w:t>綦江是区境内最大河流，发源于乌蒙山西北麓贵州省遵义市桐梓县北大娄山系，</w:t>
      </w:r>
      <w:r>
        <w:rPr>
          <w:rFonts w:hint="default" w:ascii="Times New Roman" w:hAnsi="Times New Roman" w:eastAsia="宋体" w:cs="Times New Roman"/>
          <w:color w:val="auto"/>
        </w:rPr>
        <w:t>境内以綦江干流为骨架，支流呈树枝状分布，受川东平行岭谷地形控制，河道总体由南向北径流，</w:t>
      </w:r>
      <w:r>
        <w:rPr>
          <w:rFonts w:hint="default" w:ascii="Times New Roman" w:hAnsi="Times New Roman" w:eastAsia="宋体" w:cs="Times New Roman"/>
          <w:color w:val="auto"/>
          <w:lang w:eastAsia="zh-CN"/>
        </w:rPr>
        <w:t>经区境内赶水、东溪、篆塘、三江、文龙、古南等街镇，</w:t>
      </w:r>
      <w:r>
        <w:rPr>
          <w:rFonts w:hint="default" w:ascii="Times New Roman" w:hAnsi="Times New Roman" w:eastAsia="宋体" w:cs="Times New Roman"/>
          <w:color w:val="auto"/>
        </w:rPr>
        <w:t>最终于江津区注入长江</w:t>
      </w:r>
      <w:r>
        <w:rPr>
          <w:rFonts w:hint="default" w:ascii="Times New Roman" w:hAnsi="Times New Roman" w:eastAsia="宋体" w:cs="Times New Roman"/>
          <w:color w:val="auto"/>
          <w:lang w:eastAsia="zh-CN"/>
        </w:rPr>
        <w:t>，全长234.7km，流域面积7140km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eastAsia="zh-CN"/>
        </w:rPr>
        <w:t>，落差1535m，年平均流量125.8m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eastAsia="zh-CN"/>
        </w:rPr>
        <w:t>/s。</w:t>
      </w:r>
      <w:r>
        <w:rPr>
          <w:rFonts w:hint="default" w:ascii="Times New Roman" w:hAnsi="Times New Roman" w:eastAsia="宋体" w:cs="Times New Roman"/>
          <w:color w:val="auto"/>
        </w:rPr>
        <w:t>街道内共有大小溪河10余条，其中流域面积大于30平方千米的支流2条，分别为通惠河和登瀛河。綦江干流（文龙街道段）：街道段长约15千米，属綦江中游河段，河道宽度60~100米，平均坡降1.3‰，河床以砂卵石为主，局部发育基岩浅滩</w:t>
      </w:r>
      <w:r>
        <w:rPr>
          <w:rFonts w:hint="default" w:ascii="Times New Roman" w:hAnsi="Times New Roman" w:eastAsia="宋体" w:cs="Times New Roman"/>
          <w:color w:val="auto"/>
          <w:lang w:eastAsia="zh-CN"/>
        </w:rPr>
        <w:t>。该河段年平均流量约122.1</w:t>
      </w:r>
      <w:r>
        <w:rPr>
          <w:rFonts w:hint="default" w:ascii="Times New Roman" w:hAnsi="Times New Roman" w:eastAsia="宋体" w:cs="Times New Roman"/>
          <w:color w:val="auto"/>
          <w:shd w:val="clear" w:fill="FFFFFF"/>
          <w:lang w:eastAsia="zh-CN"/>
        </w:rPr>
        <w:t>立方米/秒</w:t>
      </w:r>
      <w:r>
        <w:rPr>
          <w:rFonts w:hint="default" w:ascii="Times New Roman" w:hAnsi="Times New Roman" w:eastAsia="宋体" w:cs="Times New Roman"/>
          <w:color w:val="auto"/>
          <w:lang w:eastAsia="zh-CN"/>
        </w:rPr>
        <w:t>，年径流总量38.5亿立方米，最大洪峰流量达4930</w:t>
      </w:r>
      <w:r>
        <w:rPr>
          <w:rFonts w:hint="default" w:ascii="Times New Roman" w:hAnsi="Times New Roman" w:eastAsia="宋体" w:cs="Times New Roman"/>
          <w:color w:val="auto"/>
          <w:shd w:val="clear" w:fill="FFFFFF"/>
          <w:lang w:eastAsia="zh-CN"/>
        </w:rPr>
        <w:t>立方米/秒</w:t>
      </w:r>
      <w:r>
        <w:rPr>
          <w:rFonts w:hint="default" w:ascii="Times New Roman" w:hAnsi="Times New Roman" w:eastAsia="宋体" w:cs="Times New Roman"/>
          <w:color w:val="auto"/>
          <w:lang w:eastAsia="zh-CN"/>
        </w:rPr>
        <w:t>（1963年实测），枯水期最小流量约5</w:t>
      </w:r>
      <w:r>
        <w:rPr>
          <w:rFonts w:hint="default" w:ascii="Times New Roman" w:hAnsi="Times New Roman" w:eastAsia="宋体" w:cs="Times New Roman"/>
          <w:color w:val="auto"/>
          <w:shd w:val="clear" w:fill="FFFFFF"/>
          <w:lang w:eastAsia="zh-CN"/>
        </w:rPr>
        <w:t>立方米/秒</w:t>
      </w:r>
      <w:r>
        <w:rPr>
          <w:rFonts w:hint="default" w:ascii="Times New Roman" w:hAnsi="Times New Roman" w:eastAsia="宋体" w:cs="Times New Roman"/>
          <w:color w:val="auto"/>
        </w:rPr>
        <w:t>。人工水体</w:t>
      </w:r>
      <w:r>
        <w:rPr>
          <w:rFonts w:hint="default" w:ascii="Times New Roman" w:hAnsi="Times New Roman" w:eastAsia="宋体" w:cs="Times New Roman"/>
          <w:color w:val="auto"/>
          <w:lang w:eastAsia="zh-CN"/>
        </w:rPr>
        <w:t>（金钗湖水库）：位于文龙街道，是一座以城乡供水为主的小（1）型水库，</w:t>
      </w:r>
      <w:r>
        <w:rPr>
          <w:rFonts w:hint="default" w:ascii="Times New Roman" w:hAnsi="Times New Roman" w:eastAsia="宋体" w:cs="Times New Roman"/>
          <w:color w:val="auto"/>
          <w:lang w:val="en-US" w:eastAsia="zh-CN"/>
        </w:rPr>
        <w:t>拟建</w:t>
      </w:r>
      <w:r>
        <w:rPr>
          <w:rFonts w:hint="default" w:ascii="Times New Roman" w:hAnsi="Times New Roman" w:eastAsia="宋体" w:cs="Times New Roman"/>
          <w:color w:val="auto"/>
          <w:lang w:eastAsia="zh-CN"/>
        </w:rPr>
        <w:t>总库容110.5万立方米，设计年供水量108万立方米，服务人口2.6万人；薄刀岭水库</w:t>
      </w:r>
      <w:r>
        <w:rPr>
          <w:rFonts w:hint="default" w:ascii="Times New Roman" w:hAnsi="Times New Roman" w:eastAsia="宋体" w:cs="Times New Roman"/>
          <w:color w:val="auto"/>
          <w:lang w:val="en-US" w:eastAsia="zh-CN"/>
        </w:rPr>
        <w:t>属城镇集中式饮用水源地，小型水库，总库容60.827万立方米。</w:t>
      </w:r>
    </w:p>
    <w:p w14:paraId="21CDE25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本工程无大中型江、河、湖、溪等地表水系通过。</w:t>
      </w:r>
    </w:p>
    <w:bookmarkEnd w:id="289"/>
    <w:p w14:paraId="55CC33E0">
      <w:pPr>
        <w:adjustRightInd w:val="0"/>
        <w:snapToGrid w:val="0"/>
        <w:spacing w:line="50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4.1.7 地震</w:t>
      </w:r>
    </w:p>
    <w:p w14:paraId="3D01B86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根据项目初步设计文件，管线所在区域属抗震一般地段、不利地段，场地类别为I1～Ⅱ类，线路抗震设防烈度为6度，设计分组为第一组，地震动峰值加速度为0.05g，地震反应谱特征周期值0.25s～0.35s。</w:t>
      </w:r>
    </w:p>
    <w:p w14:paraId="3794C12D">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290" w:name="_Toc8027"/>
      <w:bookmarkStart w:id="291" w:name="_Toc60144398"/>
      <w:bookmarkStart w:id="292" w:name="_Toc45551084"/>
      <w:bookmarkStart w:id="293" w:name="_Toc8607"/>
      <w:r>
        <w:rPr>
          <w:rFonts w:hint="default" w:ascii="Times New Roman" w:hAnsi="Times New Roman" w:eastAsia="宋体" w:cs="Times New Roman"/>
          <w:b/>
          <w:color w:val="auto"/>
          <w:sz w:val="26"/>
          <w:szCs w:val="26"/>
        </w:rPr>
        <w:t>4.2环境质量现状</w:t>
      </w:r>
      <w:bookmarkEnd w:id="290"/>
      <w:bookmarkEnd w:id="291"/>
      <w:bookmarkEnd w:id="292"/>
      <w:bookmarkEnd w:id="293"/>
    </w:p>
    <w:p w14:paraId="2283D84E">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4.2.1环境空气质量现状</w:t>
      </w:r>
    </w:p>
    <w:p w14:paraId="201B72EE">
      <w:pPr>
        <w:spacing w:line="500" w:lineRule="exact"/>
        <w:ind w:firstLine="520" w:firstLineChars="200"/>
        <w:rPr>
          <w:rFonts w:hint="default" w:ascii="Times New Roman" w:hAnsi="Times New Roman" w:eastAsia="宋体" w:cs="Times New Roman"/>
          <w:color w:val="auto"/>
          <w:sz w:val="26"/>
          <w:szCs w:val="26"/>
          <w:lang w:val="en-US" w:eastAsia="zh-CN" w:bidi="ar-SA"/>
        </w:rPr>
      </w:pPr>
      <w:r>
        <w:rPr>
          <w:rFonts w:hint="default" w:ascii="Times New Roman" w:hAnsi="Times New Roman" w:eastAsia="宋体" w:cs="Times New Roman"/>
          <w:color w:val="auto"/>
          <w:sz w:val="26"/>
          <w:szCs w:val="26"/>
          <w:lang w:val="en-US" w:eastAsia="zh-CN" w:bidi="ar-SA"/>
        </w:rPr>
        <w:t>（1）达标区判定</w:t>
      </w:r>
    </w:p>
    <w:p w14:paraId="66451A96">
      <w:pPr>
        <w:pStyle w:val="56"/>
        <w:rPr>
          <w:rFonts w:hint="default" w:ascii="Times New Roman" w:hAnsi="Times New Roman" w:eastAsia="宋体" w:cs="Times New Roman"/>
          <w:color w:val="auto"/>
          <w:sz w:val="26"/>
          <w:szCs w:val="26"/>
          <w:lang w:val="en-US" w:eastAsia="zh-CN" w:bidi="ar-SA"/>
        </w:rPr>
      </w:pPr>
      <w:r>
        <w:rPr>
          <w:rFonts w:hint="default" w:ascii="Times New Roman" w:hAnsi="Times New Roman" w:eastAsia="宋体" w:cs="Times New Roman"/>
          <w:color w:val="auto"/>
          <w:sz w:val="26"/>
          <w:szCs w:val="26"/>
          <w:lang w:val="en-US" w:eastAsia="zh-CN" w:bidi="ar-SA"/>
        </w:rPr>
        <w:t>本次区域环境空气质量基本污染物引用《2024年重庆市生态环境状况公报》中有关数据进行评价。</w:t>
      </w:r>
    </w:p>
    <w:p w14:paraId="7312606E">
      <w:pPr>
        <w:pStyle w:val="85"/>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表4.2-1 </w:t>
      </w:r>
      <w:r>
        <w:rPr>
          <w:rFonts w:hint="default" w:ascii="Times New Roman" w:hAnsi="Times New Roman" w:eastAsia="宋体" w:cs="Times New Roman"/>
          <w:color w:val="auto"/>
          <w:lang w:val="en-US" w:eastAsia="zh-CN"/>
        </w:rPr>
        <w:t>綦江区</w:t>
      </w:r>
      <w:r>
        <w:rPr>
          <w:rFonts w:hint="default" w:ascii="Times New Roman" w:hAnsi="Times New Roman" w:eastAsia="宋体" w:cs="Times New Roman"/>
          <w:color w:val="auto"/>
        </w:rPr>
        <w:t>空气质量监测及评价结果</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81"/>
        <w:gridCol w:w="3271"/>
        <w:gridCol w:w="1125"/>
        <w:gridCol w:w="930"/>
        <w:gridCol w:w="1155"/>
        <w:gridCol w:w="676"/>
        <w:gridCol w:w="801"/>
      </w:tblGrid>
      <w:tr w14:paraId="727E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98" w:type="pct"/>
            <w:tcBorders>
              <w:tl2br w:val="nil"/>
              <w:tr2bl w:val="nil"/>
            </w:tcBorders>
            <w:noWrap w:val="0"/>
            <w:vAlign w:val="center"/>
          </w:tcPr>
          <w:p w14:paraId="1C7E58CE">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污染物</w:t>
            </w:r>
          </w:p>
        </w:tc>
        <w:tc>
          <w:tcPr>
            <w:tcW w:w="1849" w:type="pct"/>
            <w:tcBorders>
              <w:tl2br w:val="nil"/>
              <w:tr2bl w:val="nil"/>
            </w:tcBorders>
            <w:noWrap w:val="0"/>
            <w:vAlign w:val="center"/>
          </w:tcPr>
          <w:p w14:paraId="3ED3C4B9">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评价指标</w:t>
            </w:r>
          </w:p>
        </w:tc>
        <w:tc>
          <w:tcPr>
            <w:tcW w:w="636" w:type="pct"/>
            <w:tcBorders>
              <w:tl2br w:val="nil"/>
              <w:tr2bl w:val="nil"/>
            </w:tcBorders>
            <w:noWrap w:val="0"/>
            <w:vAlign w:val="center"/>
          </w:tcPr>
          <w:p w14:paraId="28646906">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监测结果</w:t>
            </w:r>
          </w:p>
        </w:tc>
        <w:tc>
          <w:tcPr>
            <w:tcW w:w="526" w:type="pct"/>
            <w:tcBorders>
              <w:tl2br w:val="nil"/>
              <w:tr2bl w:val="nil"/>
            </w:tcBorders>
            <w:noWrap w:val="0"/>
            <w:vAlign w:val="center"/>
          </w:tcPr>
          <w:p w14:paraId="1956CF43">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标准值</w:t>
            </w:r>
          </w:p>
        </w:tc>
        <w:tc>
          <w:tcPr>
            <w:tcW w:w="653" w:type="pct"/>
            <w:tcBorders>
              <w:tl2br w:val="nil"/>
              <w:tr2bl w:val="nil"/>
            </w:tcBorders>
            <w:noWrap w:val="0"/>
            <w:vAlign w:val="center"/>
          </w:tcPr>
          <w:p w14:paraId="5A58CF09">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占标率</w:t>
            </w:r>
            <w:r>
              <w:rPr>
                <w:rFonts w:hint="default" w:ascii="Times New Roman" w:hAnsi="Times New Roman" w:eastAsia="宋体" w:cs="Times New Roman"/>
                <w:color w:val="auto"/>
                <w:sz w:val="22"/>
                <w:highlight w:val="none"/>
                <w:lang w:val="en-US" w:eastAsia="zh-CN"/>
              </w:rPr>
              <w:t>/%</w:t>
            </w:r>
          </w:p>
        </w:tc>
        <w:tc>
          <w:tcPr>
            <w:tcW w:w="382" w:type="pct"/>
            <w:tcBorders>
              <w:tl2br w:val="nil"/>
              <w:tr2bl w:val="nil"/>
            </w:tcBorders>
            <w:noWrap w:val="0"/>
            <w:vAlign w:val="center"/>
          </w:tcPr>
          <w:p w14:paraId="69B6DE61">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超标</w:t>
            </w:r>
          </w:p>
          <w:p w14:paraId="1CBAFD4D">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倍数</w:t>
            </w:r>
          </w:p>
        </w:tc>
        <w:tc>
          <w:tcPr>
            <w:tcW w:w="453" w:type="pct"/>
            <w:tcBorders>
              <w:tl2br w:val="nil"/>
              <w:tr2bl w:val="nil"/>
            </w:tcBorders>
            <w:noWrap w:val="0"/>
            <w:vAlign w:val="center"/>
          </w:tcPr>
          <w:p w14:paraId="0C7865B5">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达标</w:t>
            </w:r>
          </w:p>
          <w:p w14:paraId="1CF0F7DB">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情况</w:t>
            </w:r>
          </w:p>
        </w:tc>
      </w:tr>
      <w:tr w14:paraId="6410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98" w:type="pct"/>
            <w:tcBorders>
              <w:tl2br w:val="nil"/>
              <w:tr2bl w:val="nil"/>
            </w:tcBorders>
            <w:noWrap w:val="0"/>
            <w:vAlign w:val="center"/>
          </w:tcPr>
          <w:p w14:paraId="3C253449">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PM</w:t>
            </w:r>
            <w:r>
              <w:rPr>
                <w:rFonts w:hint="default" w:ascii="Times New Roman" w:hAnsi="Times New Roman" w:eastAsia="宋体" w:cs="Times New Roman"/>
                <w:color w:val="auto"/>
                <w:sz w:val="22"/>
                <w:highlight w:val="none"/>
                <w:vertAlign w:val="subscript"/>
              </w:rPr>
              <w:t>10</w:t>
            </w:r>
          </w:p>
        </w:tc>
        <w:tc>
          <w:tcPr>
            <w:tcW w:w="1849" w:type="pct"/>
            <w:vMerge w:val="restart"/>
            <w:tcBorders>
              <w:tl2br w:val="nil"/>
              <w:tr2bl w:val="nil"/>
            </w:tcBorders>
            <w:noWrap w:val="0"/>
            <w:vAlign w:val="center"/>
          </w:tcPr>
          <w:p w14:paraId="606296E2">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年平均质量浓度</w:t>
            </w:r>
          </w:p>
          <w:p w14:paraId="37C5E59B">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lang w:eastAsia="zh-CN"/>
              </w:rPr>
              <w:t>(μg/m</w:t>
            </w:r>
            <w:r>
              <w:rPr>
                <w:rFonts w:hint="default" w:ascii="Times New Roman" w:hAnsi="Times New Roman" w:eastAsia="宋体" w:cs="Times New Roman"/>
                <w:color w:val="auto"/>
                <w:sz w:val="22"/>
                <w:highlight w:val="none"/>
                <w:vertAlign w:val="superscript"/>
                <w:lang w:eastAsia="zh-CN"/>
              </w:rPr>
              <w:t>3</w:t>
            </w:r>
            <w:r>
              <w:rPr>
                <w:rFonts w:hint="default" w:ascii="Times New Roman" w:hAnsi="Times New Roman" w:eastAsia="宋体" w:cs="Times New Roman"/>
                <w:color w:val="auto"/>
                <w:sz w:val="22"/>
                <w:highlight w:val="none"/>
                <w:lang w:eastAsia="zh-CN"/>
              </w:rPr>
              <w:t>)</w:t>
            </w:r>
          </w:p>
        </w:tc>
        <w:tc>
          <w:tcPr>
            <w:tcW w:w="636" w:type="pct"/>
            <w:tcBorders>
              <w:tl2br w:val="nil"/>
              <w:tr2bl w:val="nil"/>
            </w:tcBorders>
            <w:noWrap w:val="0"/>
            <w:vAlign w:val="center"/>
          </w:tcPr>
          <w:p w14:paraId="5E573391">
            <w:pPr>
              <w:pStyle w:val="17"/>
              <w:adjustRightInd w:val="0"/>
              <w:snapToGrid w:val="0"/>
              <w:jc w:val="center"/>
              <w:rPr>
                <w:rFonts w:hint="default" w:ascii="Times New Roman" w:hAnsi="Times New Roman" w:eastAsia="宋体" w:cs="Times New Roman"/>
                <w:color w:val="auto"/>
                <w:sz w:val="22"/>
                <w:highlight w:val="none"/>
                <w:lang w:val="en-US" w:eastAsia="zh-CN"/>
              </w:rPr>
            </w:pPr>
            <w:r>
              <w:rPr>
                <w:rFonts w:hint="default" w:ascii="Times New Roman" w:hAnsi="Times New Roman" w:eastAsia="宋体" w:cs="Times New Roman"/>
                <w:color w:val="auto"/>
                <w:sz w:val="22"/>
                <w:highlight w:val="none"/>
                <w:lang w:val="en-US" w:eastAsia="zh-CN"/>
              </w:rPr>
              <w:t>54</w:t>
            </w:r>
          </w:p>
        </w:tc>
        <w:tc>
          <w:tcPr>
            <w:tcW w:w="526" w:type="pct"/>
            <w:tcBorders>
              <w:tl2br w:val="nil"/>
              <w:tr2bl w:val="nil"/>
            </w:tcBorders>
            <w:noWrap w:val="0"/>
            <w:vAlign w:val="center"/>
          </w:tcPr>
          <w:p w14:paraId="763D46B6">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70</w:t>
            </w:r>
          </w:p>
        </w:tc>
        <w:tc>
          <w:tcPr>
            <w:tcW w:w="653" w:type="pct"/>
            <w:tcBorders>
              <w:tl2br w:val="nil"/>
              <w:tr2bl w:val="nil"/>
            </w:tcBorders>
            <w:noWrap w:val="0"/>
            <w:vAlign w:val="center"/>
          </w:tcPr>
          <w:p w14:paraId="15616A33">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lang w:val="en-US" w:eastAsia="zh-CN"/>
              </w:rPr>
              <w:t>77.14</w:t>
            </w:r>
          </w:p>
        </w:tc>
        <w:tc>
          <w:tcPr>
            <w:tcW w:w="382" w:type="pct"/>
            <w:tcBorders>
              <w:tl2br w:val="nil"/>
              <w:tr2bl w:val="nil"/>
            </w:tcBorders>
            <w:noWrap w:val="0"/>
            <w:vAlign w:val="center"/>
          </w:tcPr>
          <w:p w14:paraId="1D95382E">
            <w:pPr>
              <w:pStyle w:val="17"/>
              <w:adjustRightInd w:val="0"/>
              <w:snapToGrid w:val="0"/>
              <w:jc w:val="center"/>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lang w:val="en-US" w:eastAsia="zh-CN"/>
              </w:rPr>
              <w:t>/</w:t>
            </w:r>
          </w:p>
        </w:tc>
        <w:tc>
          <w:tcPr>
            <w:tcW w:w="453" w:type="pct"/>
            <w:tcBorders>
              <w:tl2br w:val="nil"/>
              <w:tr2bl w:val="nil"/>
            </w:tcBorders>
            <w:noWrap w:val="0"/>
            <w:vAlign w:val="center"/>
          </w:tcPr>
          <w:p w14:paraId="189FDC70">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达标</w:t>
            </w:r>
          </w:p>
        </w:tc>
      </w:tr>
      <w:tr w14:paraId="76F8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98" w:type="pct"/>
            <w:tcBorders>
              <w:tl2br w:val="nil"/>
              <w:tr2bl w:val="nil"/>
            </w:tcBorders>
            <w:noWrap w:val="0"/>
            <w:vAlign w:val="center"/>
          </w:tcPr>
          <w:p w14:paraId="7611035A">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SO</w:t>
            </w:r>
            <w:r>
              <w:rPr>
                <w:rFonts w:hint="default" w:ascii="Times New Roman" w:hAnsi="Times New Roman" w:eastAsia="宋体" w:cs="Times New Roman"/>
                <w:color w:val="auto"/>
                <w:sz w:val="22"/>
                <w:highlight w:val="none"/>
                <w:vertAlign w:val="subscript"/>
              </w:rPr>
              <w:t>2</w:t>
            </w:r>
          </w:p>
        </w:tc>
        <w:tc>
          <w:tcPr>
            <w:tcW w:w="1849" w:type="pct"/>
            <w:vMerge w:val="continue"/>
            <w:tcBorders>
              <w:tl2br w:val="nil"/>
              <w:tr2bl w:val="nil"/>
            </w:tcBorders>
            <w:noWrap w:val="0"/>
            <w:vAlign w:val="center"/>
          </w:tcPr>
          <w:p w14:paraId="07CA0DD0">
            <w:pPr>
              <w:pStyle w:val="17"/>
              <w:adjustRightInd w:val="0"/>
              <w:snapToGrid w:val="0"/>
              <w:jc w:val="center"/>
              <w:rPr>
                <w:rFonts w:hint="default" w:ascii="Times New Roman" w:hAnsi="Times New Roman" w:eastAsia="宋体" w:cs="Times New Roman"/>
                <w:color w:val="auto"/>
                <w:sz w:val="22"/>
                <w:highlight w:val="none"/>
              </w:rPr>
            </w:pPr>
          </w:p>
        </w:tc>
        <w:tc>
          <w:tcPr>
            <w:tcW w:w="636" w:type="pct"/>
            <w:tcBorders>
              <w:tl2br w:val="nil"/>
              <w:tr2bl w:val="nil"/>
            </w:tcBorders>
            <w:noWrap w:val="0"/>
            <w:vAlign w:val="center"/>
          </w:tcPr>
          <w:p w14:paraId="391A628C">
            <w:pPr>
              <w:pStyle w:val="17"/>
              <w:adjustRightInd w:val="0"/>
              <w:snapToGrid w:val="0"/>
              <w:jc w:val="center"/>
              <w:rPr>
                <w:rFonts w:hint="default" w:ascii="Times New Roman" w:hAnsi="Times New Roman" w:eastAsia="宋体" w:cs="Times New Roman"/>
                <w:color w:val="auto"/>
                <w:sz w:val="22"/>
                <w:highlight w:val="none"/>
                <w:lang w:val="en-US" w:eastAsia="zh-CN"/>
              </w:rPr>
            </w:pPr>
            <w:r>
              <w:rPr>
                <w:rFonts w:hint="default" w:ascii="Times New Roman" w:hAnsi="Times New Roman" w:eastAsia="宋体" w:cs="Times New Roman"/>
                <w:color w:val="auto"/>
                <w:sz w:val="22"/>
                <w:highlight w:val="none"/>
                <w:lang w:val="en-US" w:eastAsia="zh-CN"/>
              </w:rPr>
              <w:t>10</w:t>
            </w:r>
          </w:p>
        </w:tc>
        <w:tc>
          <w:tcPr>
            <w:tcW w:w="526" w:type="pct"/>
            <w:tcBorders>
              <w:tl2br w:val="nil"/>
              <w:tr2bl w:val="nil"/>
            </w:tcBorders>
            <w:noWrap w:val="0"/>
            <w:vAlign w:val="center"/>
          </w:tcPr>
          <w:p w14:paraId="38684961">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60</w:t>
            </w:r>
          </w:p>
        </w:tc>
        <w:tc>
          <w:tcPr>
            <w:tcW w:w="653" w:type="pct"/>
            <w:tcBorders>
              <w:tl2br w:val="nil"/>
              <w:tr2bl w:val="nil"/>
            </w:tcBorders>
            <w:noWrap w:val="0"/>
            <w:vAlign w:val="center"/>
          </w:tcPr>
          <w:p w14:paraId="1ABBA22A">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lang w:val="en-US" w:eastAsia="zh-CN"/>
              </w:rPr>
              <w:t>16.67</w:t>
            </w:r>
          </w:p>
        </w:tc>
        <w:tc>
          <w:tcPr>
            <w:tcW w:w="382" w:type="pct"/>
            <w:tcBorders>
              <w:tl2br w:val="nil"/>
              <w:tr2bl w:val="nil"/>
            </w:tcBorders>
            <w:noWrap w:val="0"/>
            <w:vAlign w:val="center"/>
          </w:tcPr>
          <w:p w14:paraId="7B592192">
            <w:pPr>
              <w:pStyle w:val="17"/>
              <w:adjustRightInd w:val="0"/>
              <w:snapToGrid w:val="0"/>
              <w:jc w:val="center"/>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lang w:val="en-US" w:eastAsia="zh-CN"/>
              </w:rPr>
              <w:t>/</w:t>
            </w:r>
          </w:p>
        </w:tc>
        <w:tc>
          <w:tcPr>
            <w:tcW w:w="453" w:type="pct"/>
            <w:tcBorders>
              <w:tl2br w:val="nil"/>
              <w:tr2bl w:val="nil"/>
            </w:tcBorders>
            <w:noWrap w:val="0"/>
            <w:vAlign w:val="center"/>
          </w:tcPr>
          <w:p w14:paraId="229458A6">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达标</w:t>
            </w:r>
          </w:p>
        </w:tc>
      </w:tr>
      <w:tr w14:paraId="601C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98" w:type="pct"/>
            <w:tcBorders>
              <w:tl2br w:val="nil"/>
              <w:tr2bl w:val="nil"/>
            </w:tcBorders>
            <w:noWrap w:val="0"/>
            <w:vAlign w:val="center"/>
          </w:tcPr>
          <w:p w14:paraId="6A0468BE">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NO</w:t>
            </w:r>
            <w:r>
              <w:rPr>
                <w:rFonts w:hint="default" w:ascii="Times New Roman" w:hAnsi="Times New Roman" w:eastAsia="宋体" w:cs="Times New Roman"/>
                <w:color w:val="auto"/>
                <w:sz w:val="22"/>
                <w:highlight w:val="none"/>
                <w:vertAlign w:val="subscript"/>
              </w:rPr>
              <w:t>2</w:t>
            </w:r>
          </w:p>
        </w:tc>
        <w:tc>
          <w:tcPr>
            <w:tcW w:w="1849" w:type="pct"/>
            <w:vMerge w:val="continue"/>
            <w:tcBorders>
              <w:tl2br w:val="nil"/>
              <w:tr2bl w:val="nil"/>
            </w:tcBorders>
            <w:noWrap w:val="0"/>
            <w:vAlign w:val="center"/>
          </w:tcPr>
          <w:p w14:paraId="5960E17D">
            <w:pPr>
              <w:pStyle w:val="17"/>
              <w:adjustRightInd w:val="0"/>
              <w:snapToGrid w:val="0"/>
              <w:jc w:val="center"/>
              <w:rPr>
                <w:rFonts w:hint="default" w:ascii="Times New Roman" w:hAnsi="Times New Roman" w:eastAsia="宋体" w:cs="Times New Roman"/>
                <w:color w:val="auto"/>
                <w:sz w:val="22"/>
                <w:highlight w:val="none"/>
              </w:rPr>
            </w:pPr>
          </w:p>
        </w:tc>
        <w:tc>
          <w:tcPr>
            <w:tcW w:w="636" w:type="pct"/>
            <w:tcBorders>
              <w:tl2br w:val="nil"/>
              <w:tr2bl w:val="nil"/>
            </w:tcBorders>
            <w:noWrap w:val="0"/>
            <w:vAlign w:val="center"/>
          </w:tcPr>
          <w:p w14:paraId="7071B444">
            <w:pPr>
              <w:pStyle w:val="17"/>
              <w:adjustRightInd w:val="0"/>
              <w:snapToGrid w:val="0"/>
              <w:jc w:val="center"/>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rPr>
              <w:t>2</w:t>
            </w:r>
            <w:r>
              <w:rPr>
                <w:rFonts w:hint="default" w:ascii="Times New Roman" w:hAnsi="Times New Roman" w:eastAsia="宋体" w:cs="Times New Roman"/>
                <w:color w:val="auto"/>
                <w:sz w:val="22"/>
                <w:highlight w:val="none"/>
                <w:lang w:val="en-US" w:eastAsia="zh-CN"/>
              </w:rPr>
              <w:t>0</w:t>
            </w:r>
          </w:p>
        </w:tc>
        <w:tc>
          <w:tcPr>
            <w:tcW w:w="526" w:type="pct"/>
            <w:tcBorders>
              <w:tl2br w:val="nil"/>
              <w:tr2bl w:val="nil"/>
            </w:tcBorders>
            <w:noWrap w:val="0"/>
            <w:vAlign w:val="center"/>
          </w:tcPr>
          <w:p w14:paraId="2837A221">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40</w:t>
            </w:r>
          </w:p>
        </w:tc>
        <w:tc>
          <w:tcPr>
            <w:tcW w:w="653" w:type="pct"/>
            <w:tcBorders>
              <w:tl2br w:val="nil"/>
              <w:tr2bl w:val="nil"/>
            </w:tcBorders>
            <w:noWrap w:val="0"/>
            <w:vAlign w:val="center"/>
          </w:tcPr>
          <w:p w14:paraId="76019C5B">
            <w:pPr>
              <w:pStyle w:val="17"/>
              <w:adjustRightInd w:val="0"/>
              <w:snapToGrid w:val="0"/>
              <w:jc w:val="center"/>
              <w:rPr>
                <w:rFonts w:hint="default" w:ascii="Times New Roman" w:hAnsi="Times New Roman" w:eastAsia="宋体" w:cs="Times New Roman"/>
                <w:color w:val="auto"/>
                <w:sz w:val="22"/>
                <w:highlight w:val="none"/>
                <w:lang w:val="en-US"/>
              </w:rPr>
            </w:pPr>
            <w:r>
              <w:rPr>
                <w:rFonts w:hint="default" w:ascii="Times New Roman" w:hAnsi="Times New Roman" w:eastAsia="宋体" w:cs="Times New Roman"/>
                <w:color w:val="auto"/>
                <w:sz w:val="22"/>
                <w:highlight w:val="none"/>
                <w:lang w:val="en-US" w:eastAsia="zh-CN"/>
              </w:rPr>
              <w:t>50.00</w:t>
            </w:r>
          </w:p>
        </w:tc>
        <w:tc>
          <w:tcPr>
            <w:tcW w:w="382" w:type="pct"/>
            <w:tcBorders>
              <w:tl2br w:val="nil"/>
              <w:tr2bl w:val="nil"/>
            </w:tcBorders>
            <w:noWrap w:val="0"/>
            <w:vAlign w:val="center"/>
          </w:tcPr>
          <w:p w14:paraId="635C70CE">
            <w:pPr>
              <w:pStyle w:val="17"/>
              <w:adjustRightInd w:val="0"/>
              <w:snapToGrid w:val="0"/>
              <w:jc w:val="center"/>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lang w:val="en-US" w:eastAsia="zh-CN"/>
              </w:rPr>
              <w:t>/</w:t>
            </w:r>
          </w:p>
        </w:tc>
        <w:tc>
          <w:tcPr>
            <w:tcW w:w="453" w:type="pct"/>
            <w:tcBorders>
              <w:tl2br w:val="nil"/>
              <w:tr2bl w:val="nil"/>
            </w:tcBorders>
            <w:noWrap w:val="0"/>
            <w:vAlign w:val="center"/>
          </w:tcPr>
          <w:p w14:paraId="0390F324">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达标</w:t>
            </w:r>
          </w:p>
        </w:tc>
      </w:tr>
      <w:tr w14:paraId="320C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98" w:type="pct"/>
            <w:tcBorders>
              <w:tl2br w:val="nil"/>
              <w:tr2bl w:val="nil"/>
            </w:tcBorders>
            <w:noWrap w:val="0"/>
            <w:vAlign w:val="center"/>
          </w:tcPr>
          <w:p w14:paraId="62B2A07C">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PM</w:t>
            </w:r>
            <w:r>
              <w:rPr>
                <w:rFonts w:hint="default" w:ascii="Times New Roman" w:hAnsi="Times New Roman" w:eastAsia="宋体" w:cs="Times New Roman"/>
                <w:color w:val="auto"/>
                <w:sz w:val="22"/>
                <w:highlight w:val="none"/>
                <w:vertAlign w:val="subscript"/>
              </w:rPr>
              <w:t>2.5</w:t>
            </w:r>
          </w:p>
        </w:tc>
        <w:tc>
          <w:tcPr>
            <w:tcW w:w="1849" w:type="pct"/>
            <w:vMerge w:val="continue"/>
            <w:tcBorders>
              <w:tl2br w:val="nil"/>
              <w:tr2bl w:val="nil"/>
            </w:tcBorders>
            <w:noWrap w:val="0"/>
            <w:vAlign w:val="center"/>
          </w:tcPr>
          <w:p w14:paraId="025535CB">
            <w:pPr>
              <w:pStyle w:val="17"/>
              <w:adjustRightInd w:val="0"/>
              <w:snapToGrid w:val="0"/>
              <w:jc w:val="center"/>
              <w:rPr>
                <w:rFonts w:hint="default" w:ascii="Times New Roman" w:hAnsi="Times New Roman" w:eastAsia="宋体" w:cs="Times New Roman"/>
                <w:color w:val="auto"/>
                <w:sz w:val="22"/>
                <w:highlight w:val="none"/>
              </w:rPr>
            </w:pPr>
          </w:p>
        </w:tc>
        <w:tc>
          <w:tcPr>
            <w:tcW w:w="636" w:type="pct"/>
            <w:tcBorders>
              <w:tl2br w:val="nil"/>
              <w:tr2bl w:val="nil"/>
            </w:tcBorders>
            <w:noWrap w:val="0"/>
            <w:vAlign w:val="center"/>
          </w:tcPr>
          <w:p w14:paraId="76E7A493">
            <w:pPr>
              <w:pStyle w:val="17"/>
              <w:adjustRightInd w:val="0"/>
              <w:snapToGrid w:val="0"/>
              <w:jc w:val="center"/>
              <w:rPr>
                <w:rFonts w:hint="default" w:ascii="Times New Roman" w:hAnsi="Times New Roman" w:eastAsia="宋体" w:cs="Times New Roman"/>
                <w:color w:val="auto"/>
                <w:sz w:val="22"/>
                <w:highlight w:val="none"/>
                <w:lang w:val="en-US" w:eastAsia="zh-CN"/>
              </w:rPr>
            </w:pPr>
            <w:r>
              <w:rPr>
                <w:rFonts w:hint="default" w:ascii="Times New Roman" w:hAnsi="Times New Roman" w:eastAsia="宋体" w:cs="Times New Roman"/>
                <w:color w:val="auto"/>
                <w:sz w:val="22"/>
                <w:highlight w:val="none"/>
                <w:lang w:val="en-US" w:eastAsia="zh-CN"/>
              </w:rPr>
              <w:t>41.6</w:t>
            </w:r>
          </w:p>
        </w:tc>
        <w:tc>
          <w:tcPr>
            <w:tcW w:w="526" w:type="pct"/>
            <w:tcBorders>
              <w:tl2br w:val="nil"/>
              <w:tr2bl w:val="nil"/>
            </w:tcBorders>
            <w:noWrap w:val="0"/>
            <w:vAlign w:val="center"/>
          </w:tcPr>
          <w:p w14:paraId="4A82317A">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35</w:t>
            </w:r>
          </w:p>
        </w:tc>
        <w:tc>
          <w:tcPr>
            <w:tcW w:w="653" w:type="pct"/>
            <w:tcBorders>
              <w:tl2br w:val="nil"/>
              <w:tr2bl w:val="nil"/>
            </w:tcBorders>
            <w:noWrap w:val="0"/>
            <w:vAlign w:val="center"/>
          </w:tcPr>
          <w:p w14:paraId="7C6140B9">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lang w:val="en-US" w:eastAsia="zh-CN"/>
              </w:rPr>
              <w:t>118.86</w:t>
            </w:r>
          </w:p>
        </w:tc>
        <w:tc>
          <w:tcPr>
            <w:tcW w:w="382" w:type="pct"/>
            <w:tcBorders>
              <w:tl2br w:val="nil"/>
              <w:tr2bl w:val="nil"/>
            </w:tcBorders>
            <w:noWrap w:val="0"/>
            <w:vAlign w:val="center"/>
          </w:tcPr>
          <w:p w14:paraId="04FE0116">
            <w:pPr>
              <w:pStyle w:val="17"/>
              <w:adjustRightInd w:val="0"/>
              <w:snapToGrid w:val="0"/>
              <w:jc w:val="center"/>
              <w:rPr>
                <w:rFonts w:hint="default" w:ascii="Times New Roman" w:hAnsi="Times New Roman" w:eastAsia="宋体" w:cs="Times New Roman"/>
                <w:color w:val="auto"/>
                <w:sz w:val="22"/>
                <w:highlight w:val="none"/>
                <w:lang w:val="en-US" w:eastAsia="zh-CN"/>
              </w:rPr>
            </w:pPr>
            <w:r>
              <w:rPr>
                <w:rFonts w:hint="default" w:ascii="Times New Roman" w:hAnsi="Times New Roman" w:eastAsia="宋体" w:cs="Times New Roman"/>
                <w:color w:val="auto"/>
                <w:sz w:val="22"/>
                <w:highlight w:val="none"/>
                <w:lang w:val="en-US" w:eastAsia="zh-CN"/>
              </w:rPr>
              <w:t>1.18</w:t>
            </w:r>
          </w:p>
        </w:tc>
        <w:tc>
          <w:tcPr>
            <w:tcW w:w="453" w:type="pct"/>
            <w:tcBorders>
              <w:tl2br w:val="nil"/>
              <w:tr2bl w:val="nil"/>
            </w:tcBorders>
            <w:noWrap w:val="0"/>
            <w:vAlign w:val="center"/>
          </w:tcPr>
          <w:p w14:paraId="26FCD5DF">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lang w:val="en-US" w:eastAsia="zh-CN"/>
              </w:rPr>
              <w:t>超</w:t>
            </w:r>
            <w:r>
              <w:rPr>
                <w:rFonts w:hint="default" w:ascii="Times New Roman" w:hAnsi="Times New Roman" w:eastAsia="宋体" w:cs="Times New Roman"/>
                <w:color w:val="auto"/>
                <w:sz w:val="22"/>
                <w:highlight w:val="none"/>
              </w:rPr>
              <w:t>标</w:t>
            </w:r>
          </w:p>
        </w:tc>
      </w:tr>
      <w:tr w14:paraId="6DC8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98" w:type="pct"/>
            <w:tcBorders>
              <w:tl2br w:val="nil"/>
              <w:tr2bl w:val="nil"/>
            </w:tcBorders>
            <w:noWrap w:val="0"/>
            <w:vAlign w:val="center"/>
          </w:tcPr>
          <w:p w14:paraId="4575A990">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CO</w:t>
            </w:r>
          </w:p>
        </w:tc>
        <w:tc>
          <w:tcPr>
            <w:tcW w:w="1849" w:type="pct"/>
            <w:tcBorders>
              <w:tl2br w:val="nil"/>
              <w:tr2bl w:val="nil"/>
            </w:tcBorders>
            <w:noWrap w:val="0"/>
            <w:vAlign w:val="center"/>
          </w:tcPr>
          <w:p w14:paraId="6BC1F1D5">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24小时平均第95百分位数（mg/m</w:t>
            </w:r>
            <w:r>
              <w:rPr>
                <w:rFonts w:hint="default" w:ascii="Times New Roman" w:hAnsi="Times New Roman" w:eastAsia="宋体" w:cs="Times New Roman"/>
                <w:color w:val="auto"/>
                <w:sz w:val="22"/>
                <w:highlight w:val="none"/>
                <w:vertAlign w:val="superscript"/>
              </w:rPr>
              <w:t>3</w:t>
            </w:r>
            <w:r>
              <w:rPr>
                <w:rFonts w:hint="default" w:ascii="Times New Roman" w:hAnsi="Times New Roman" w:eastAsia="宋体" w:cs="Times New Roman"/>
                <w:color w:val="auto"/>
                <w:sz w:val="22"/>
                <w:highlight w:val="none"/>
              </w:rPr>
              <w:t>）</w:t>
            </w:r>
          </w:p>
        </w:tc>
        <w:tc>
          <w:tcPr>
            <w:tcW w:w="636" w:type="pct"/>
            <w:tcBorders>
              <w:tl2br w:val="nil"/>
              <w:tr2bl w:val="nil"/>
            </w:tcBorders>
            <w:noWrap w:val="0"/>
            <w:vAlign w:val="center"/>
          </w:tcPr>
          <w:p w14:paraId="78624721">
            <w:pPr>
              <w:pStyle w:val="17"/>
              <w:adjustRightInd w:val="0"/>
              <w:snapToGrid w:val="0"/>
              <w:jc w:val="center"/>
              <w:rPr>
                <w:rFonts w:hint="default" w:ascii="Times New Roman" w:hAnsi="Times New Roman" w:eastAsia="宋体" w:cs="Times New Roman"/>
                <w:color w:val="auto"/>
                <w:sz w:val="22"/>
                <w:highlight w:val="none"/>
                <w:lang w:val="en-US" w:eastAsia="zh-CN"/>
              </w:rPr>
            </w:pPr>
            <w:r>
              <w:rPr>
                <w:rFonts w:hint="default" w:ascii="Times New Roman" w:hAnsi="Times New Roman" w:eastAsia="宋体" w:cs="Times New Roman"/>
                <w:color w:val="auto"/>
                <w:sz w:val="22"/>
                <w:highlight w:val="none"/>
              </w:rPr>
              <w:t>1</w:t>
            </w:r>
            <w:r>
              <w:rPr>
                <w:rFonts w:hint="default" w:ascii="Times New Roman" w:hAnsi="Times New Roman" w:eastAsia="宋体" w:cs="Times New Roman"/>
                <w:color w:val="auto"/>
                <w:sz w:val="22"/>
                <w:highlight w:val="none"/>
                <w:lang w:val="en-US" w:eastAsia="zh-CN"/>
              </w:rPr>
              <w:t>.0</w:t>
            </w:r>
          </w:p>
        </w:tc>
        <w:tc>
          <w:tcPr>
            <w:tcW w:w="526" w:type="pct"/>
            <w:tcBorders>
              <w:tl2br w:val="nil"/>
              <w:tr2bl w:val="nil"/>
            </w:tcBorders>
            <w:noWrap w:val="0"/>
            <w:vAlign w:val="center"/>
          </w:tcPr>
          <w:p w14:paraId="05AC0418">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4</w:t>
            </w:r>
          </w:p>
        </w:tc>
        <w:tc>
          <w:tcPr>
            <w:tcW w:w="653" w:type="pct"/>
            <w:tcBorders>
              <w:tl2br w:val="nil"/>
              <w:tr2bl w:val="nil"/>
            </w:tcBorders>
            <w:noWrap w:val="0"/>
            <w:vAlign w:val="center"/>
          </w:tcPr>
          <w:p w14:paraId="5949A382">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lang w:val="en-US" w:eastAsia="zh-CN"/>
              </w:rPr>
              <w:t>25.00</w:t>
            </w:r>
          </w:p>
        </w:tc>
        <w:tc>
          <w:tcPr>
            <w:tcW w:w="382" w:type="pct"/>
            <w:tcBorders>
              <w:tl2br w:val="nil"/>
              <w:tr2bl w:val="nil"/>
            </w:tcBorders>
            <w:noWrap w:val="0"/>
            <w:vAlign w:val="center"/>
          </w:tcPr>
          <w:p w14:paraId="47305870">
            <w:pPr>
              <w:pStyle w:val="17"/>
              <w:adjustRightInd w:val="0"/>
              <w:snapToGrid w:val="0"/>
              <w:jc w:val="center"/>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lang w:val="en-US" w:eastAsia="zh-CN"/>
              </w:rPr>
              <w:t>/</w:t>
            </w:r>
          </w:p>
        </w:tc>
        <w:tc>
          <w:tcPr>
            <w:tcW w:w="453" w:type="pct"/>
            <w:tcBorders>
              <w:tl2br w:val="nil"/>
              <w:tr2bl w:val="nil"/>
            </w:tcBorders>
            <w:noWrap w:val="0"/>
            <w:vAlign w:val="center"/>
          </w:tcPr>
          <w:p w14:paraId="269726ED">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达标</w:t>
            </w:r>
          </w:p>
        </w:tc>
      </w:tr>
      <w:tr w14:paraId="2C4B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98" w:type="pct"/>
            <w:tcBorders>
              <w:tl2br w:val="nil"/>
              <w:tr2bl w:val="nil"/>
            </w:tcBorders>
            <w:noWrap w:val="0"/>
            <w:vAlign w:val="center"/>
          </w:tcPr>
          <w:p w14:paraId="747DF5FE">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O</w:t>
            </w:r>
            <w:r>
              <w:rPr>
                <w:rFonts w:hint="default" w:ascii="Times New Roman" w:hAnsi="Times New Roman" w:eastAsia="宋体" w:cs="Times New Roman"/>
                <w:color w:val="auto"/>
                <w:sz w:val="22"/>
                <w:highlight w:val="none"/>
                <w:vertAlign w:val="subscript"/>
              </w:rPr>
              <w:t>3</w:t>
            </w:r>
          </w:p>
        </w:tc>
        <w:tc>
          <w:tcPr>
            <w:tcW w:w="1849" w:type="pct"/>
            <w:tcBorders>
              <w:tl2br w:val="nil"/>
              <w:tr2bl w:val="nil"/>
            </w:tcBorders>
            <w:noWrap w:val="0"/>
            <w:vAlign w:val="center"/>
          </w:tcPr>
          <w:p w14:paraId="3E020500">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日最大8h滑动平均值第90百分位数（</w:t>
            </w:r>
            <w:r>
              <w:rPr>
                <w:rFonts w:hint="default" w:ascii="Times New Roman" w:hAnsi="Times New Roman" w:eastAsia="宋体" w:cs="Times New Roman"/>
                <w:color w:val="auto"/>
                <w:sz w:val="22"/>
                <w:highlight w:val="none"/>
                <w:lang w:eastAsia="zh-CN"/>
              </w:rPr>
              <w:t>μg/m</w:t>
            </w:r>
            <w:r>
              <w:rPr>
                <w:rFonts w:hint="default" w:ascii="Times New Roman" w:hAnsi="Times New Roman" w:eastAsia="宋体" w:cs="Times New Roman"/>
                <w:color w:val="auto"/>
                <w:sz w:val="22"/>
                <w:highlight w:val="none"/>
                <w:vertAlign w:val="superscript"/>
                <w:lang w:eastAsia="zh-CN"/>
              </w:rPr>
              <w:t>3</w:t>
            </w:r>
            <w:r>
              <w:rPr>
                <w:rFonts w:hint="default" w:ascii="Times New Roman" w:hAnsi="Times New Roman" w:eastAsia="宋体" w:cs="Times New Roman"/>
                <w:color w:val="auto"/>
                <w:sz w:val="22"/>
                <w:highlight w:val="none"/>
              </w:rPr>
              <w:t>）</w:t>
            </w:r>
          </w:p>
        </w:tc>
        <w:tc>
          <w:tcPr>
            <w:tcW w:w="636" w:type="pct"/>
            <w:tcBorders>
              <w:tl2br w:val="nil"/>
              <w:tr2bl w:val="nil"/>
            </w:tcBorders>
            <w:noWrap w:val="0"/>
            <w:vAlign w:val="center"/>
          </w:tcPr>
          <w:p w14:paraId="4E1FCAD8">
            <w:pPr>
              <w:pStyle w:val="17"/>
              <w:adjustRightInd w:val="0"/>
              <w:snapToGrid w:val="0"/>
              <w:jc w:val="center"/>
              <w:rPr>
                <w:rFonts w:hint="default" w:ascii="Times New Roman" w:hAnsi="Times New Roman" w:eastAsia="宋体" w:cs="Times New Roman"/>
                <w:color w:val="auto"/>
                <w:sz w:val="22"/>
                <w:highlight w:val="none"/>
                <w:lang w:val="en-US" w:eastAsia="zh-CN"/>
              </w:rPr>
            </w:pPr>
            <w:r>
              <w:rPr>
                <w:rFonts w:hint="default" w:ascii="Times New Roman" w:hAnsi="Times New Roman" w:eastAsia="宋体" w:cs="Times New Roman"/>
                <w:color w:val="auto"/>
                <w:sz w:val="22"/>
                <w:highlight w:val="none"/>
              </w:rPr>
              <w:t>1</w:t>
            </w:r>
            <w:r>
              <w:rPr>
                <w:rFonts w:hint="default" w:ascii="Times New Roman" w:hAnsi="Times New Roman" w:eastAsia="宋体" w:cs="Times New Roman"/>
                <w:color w:val="auto"/>
                <w:sz w:val="22"/>
                <w:highlight w:val="none"/>
                <w:lang w:val="en-US" w:eastAsia="zh-CN"/>
              </w:rPr>
              <w:t>32</w:t>
            </w:r>
          </w:p>
        </w:tc>
        <w:tc>
          <w:tcPr>
            <w:tcW w:w="526" w:type="pct"/>
            <w:tcBorders>
              <w:tl2br w:val="nil"/>
              <w:tr2bl w:val="nil"/>
            </w:tcBorders>
            <w:noWrap w:val="0"/>
            <w:vAlign w:val="center"/>
          </w:tcPr>
          <w:p w14:paraId="183B6FB7">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160</w:t>
            </w:r>
          </w:p>
        </w:tc>
        <w:tc>
          <w:tcPr>
            <w:tcW w:w="653" w:type="pct"/>
            <w:tcBorders>
              <w:tl2br w:val="nil"/>
              <w:tr2bl w:val="nil"/>
            </w:tcBorders>
            <w:noWrap w:val="0"/>
            <w:vAlign w:val="center"/>
          </w:tcPr>
          <w:p w14:paraId="2F6B365C">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lang w:val="en-US" w:eastAsia="zh-CN"/>
              </w:rPr>
              <w:t>82.50</w:t>
            </w:r>
          </w:p>
        </w:tc>
        <w:tc>
          <w:tcPr>
            <w:tcW w:w="382" w:type="pct"/>
            <w:tcBorders>
              <w:tl2br w:val="nil"/>
              <w:tr2bl w:val="nil"/>
            </w:tcBorders>
            <w:noWrap w:val="0"/>
            <w:vAlign w:val="center"/>
          </w:tcPr>
          <w:p w14:paraId="42C984E2">
            <w:pPr>
              <w:pStyle w:val="17"/>
              <w:adjustRightInd w:val="0"/>
              <w:snapToGrid w:val="0"/>
              <w:jc w:val="center"/>
              <w:rPr>
                <w:rFonts w:hint="default" w:ascii="Times New Roman" w:hAnsi="Times New Roman" w:eastAsia="宋体" w:cs="Times New Roman"/>
                <w:color w:val="auto"/>
                <w:sz w:val="22"/>
                <w:highlight w:val="none"/>
                <w:lang w:eastAsia="zh-CN"/>
              </w:rPr>
            </w:pPr>
            <w:r>
              <w:rPr>
                <w:rFonts w:hint="default" w:ascii="Times New Roman" w:hAnsi="Times New Roman" w:eastAsia="宋体" w:cs="Times New Roman"/>
                <w:color w:val="auto"/>
                <w:sz w:val="22"/>
                <w:highlight w:val="none"/>
                <w:lang w:val="en-US" w:eastAsia="zh-CN"/>
              </w:rPr>
              <w:t>/</w:t>
            </w:r>
          </w:p>
        </w:tc>
        <w:tc>
          <w:tcPr>
            <w:tcW w:w="453" w:type="pct"/>
            <w:tcBorders>
              <w:tl2br w:val="nil"/>
              <w:tr2bl w:val="nil"/>
            </w:tcBorders>
            <w:noWrap w:val="0"/>
            <w:vAlign w:val="center"/>
          </w:tcPr>
          <w:p w14:paraId="65DB9842">
            <w:pPr>
              <w:pStyle w:val="17"/>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达标</w:t>
            </w:r>
          </w:p>
        </w:tc>
      </w:tr>
    </w:tbl>
    <w:p w14:paraId="3FC97539">
      <w:pPr>
        <w:snapToGrid w:val="0"/>
        <w:rPr>
          <w:rFonts w:hint="default" w:ascii="Times New Roman" w:hAnsi="Times New Roman" w:eastAsia="宋体" w:cs="Times New Roman"/>
          <w:color w:val="auto"/>
          <w:sz w:val="26"/>
          <w:szCs w:val="26"/>
          <w:highlight w:val="none"/>
        </w:rPr>
      </w:pPr>
    </w:p>
    <w:p w14:paraId="32F1C3C8">
      <w:pPr>
        <w:pStyle w:val="56"/>
        <w:rPr>
          <w:rFonts w:hint="default" w:ascii="Times New Roman" w:hAnsi="Times New Roman" w:eastAsia="宋体" w:cs="Times New Roman"/>
          <w:color w:val="auto"/>
        </w:rPr>
      </w:pPr>
      <w:r>
        <w:rPr>
          <w:rFonts w:hint="default" w:ascii="Times New Roman" w:hAnsi="Times New Roman" w:eastAsia="宋体" w:cs="Times New Roman"/>
          <w:color w:val="auto"/>
          <w:sz w:val="26"/>
          <w:szCs w:val="26"/>
          <w:highlight w:val="none"/>
        </w:rPr>
        <w:t>根据上表可知，</w:t>
      </w:r>
      <w:r>
        <w:rPr>
          <w:rFonts w:hint="default" w:ascii="Times New Roman" w:hAnsi="Times New Roman" w:eastAsia="宋体" w:cs="Times New Roman"/>
          <w:color w:val="auto"/>
          <w:sz w:val="26"/>
          <w:szCs w:val="26"/>
          <w:highlight w:val="none"/>
          <w:lang w:val="en-US" w:eastAsia="zh-CN"/>
        </w:rPr>
        <w:t>綦江区2024年</w:t>
      </w:r>
      <w:r>
        <w:rPr>
          <w:rFonts w:hint="default" w:ascii="Times New Roman" w:hAnsi="Times New Roman" w:eastAsia="宋体" w:cs="Times New Roman"/>
          <w:color w:val="auto"/>
          <w:sz w:val="26"/>
          <w:szCs w:val="26"/>
          <w:highlight w:val="none"/>
        </w:rPr>
        <w:t>属于不达标区，超标因子为PM</w:t>
      </w:r>
      <w:r>
        <w:rPr>
          <w:rFonts w:hint="default" w:ascii="Times New Roman" w:hAnsi="Times New Roman" w:eastAsia="宋体" w:cs="Times New Roman"/>
          <w:color w:val="auto"/>
          <w:sz w:val="26"/>
          <w:szCs w:val="26"/>
          <w:highlight w:val="none"/>
          <w:vertAlign w:val="subscript"/>
        </w:rPr>
        <w:t>2.5</w:t>
      </w:r>
      <w:r>
        <w:rPr>
          <w:rFonts w:hint="default" w:ascii="Times New Roman" w:hAnsi="Times New Roman" w:eastAsia="宋体" w:cs="Times New Roman"/>
          <w:color w:val="auto"/>
        </w:rPr>
        <w:t>。</w:t>
      </w:r>
    </w:p>
    <w:p w14:paraId="567AE907">
      <w:pPr>
        <w:pStyle w:val="56"/>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lang w:val="en-US" w:eastAsia="zh-CN"/>
        </w:rPr>
        <w:t>本次评价</w:t>
      </w:r>
      <w:r>
        <w:rPr>
          <w:rFonts w:hint="default" w:ascii="Times New Roman" w:hAnsi="Times New Roman" w:eastAsia="宋体" w:cs="Times New Roman"/>
          <w:color w:val="auto"/>
          <w:sz w:val="26"/>
          <w:szCs w:val="26"/>
          <w:highlight w:val="none"/>
        </w:rPr>
        <w:t>根据重庆市</w:t>
      </w:r>
      <w:r>
        <w:rPr>
          <w:rFonts w:hint="default" w:ascii="Times New Roman" w:hAnsi="Times New Roman" w:eastAsia="宋体" w:cs="Times New Roman"/>
          <w:color w:val="auto"/>
          <w:sz w:val="26"/>
          <w:szCs w:val="26"/>
          <w:highlight w:val="none"/>
          <w:lang w:val="en-US" w:eastAsia="zh-CN"/>
        </w:rPr>
        <w:t>綦江区</w:t>
      </w:r>
      <w:r>
        <w:rPr>
          <w:rFonts w:hint="default" w:ascii="Times New Roman" w:hAnsi="Times New Roman" w:eastAsia="宋体" w:cs="Times New Roman"/>
          <w:color w:val="auto"/>
          <w:sz w:val="26"/>
          <w:szCs w:val="26"/>
          <w:highlight w:val="none"/>
        </w:rPr>
        <w:t>发布的《重庆市綦江区生态环境保护“十四五”规划（2021-2025）》（</w:t>
      </w:r>
      <w:r>
        <w:rPr>
          <w:rFonts w:hint="default" w:ascii="Times New Roman" w:hAnsi="Times New Roman" w:eastAsia="宋体" w:cs="Times New Roman"/>
          <w:color w:val="auto"/>
          <w:sz w:val="26"/>
          <w:szCs w:val="26"/>
          <w:highlight w:val="none"/>
          <w:lang w:val="en-US" w:eastAsia="zh-CN"/>
        </w:rPr>
        <w:t>綦</w:t>
      </w:r>
      <w:r>
        <w:rPr>
          <w:rFonts w:hint="default" w:ascii="Times New Roman" w:hAnsi="Times New Roman" w:eastAsia="宋体" w:cs="Times New Roman"/>
          <w:color w:val="auto"/>
          <w:sz w:val="26"/>
          <w:szCs w:val="26"/>
          <w:highlight w:val="none"/>
        </w:rPr>
        <w:t>府发〔2021〕</w:t>
      </w:r>
      <w:r>
        <w:rPr>
          <w:rFonts w:hint="default" w:ascii="Times New Roman" w:hAnsi="Times New Roman" w:eastAsia="宋体" w:cs="Times New Roman"/>
          <w:color w:val="auto"/>
          <w:sz w:val="26"/>
          <w:szCs w:val="26"/>
          <w:highlight w:val="none"/>
          <w:lang w:val="en-US" w:eastAsia="zh-CN"/>
        </w:rPr>
        <w:t>28</w:t>
      </w:r>
      <w:r>
        <w:rPr>
          <w:rFonts w:hint="default" w:ascii="Times New Roman" w:hAnsi="Times New Roman" w:eastAsia="宋体" w:cs="Times New Roman"/>
          <w:color w:val="auto"/>
          <w:sz w:val="26"/>
          <w:szCs w:val="26"/>
          <w:highlight w:val="none"/>
        </w:rPr>
        <w:t>号）中生态环境保护措施</w:t>
      </w:r>
      <w:r>
        <w:rPr>
          <w:rFonts w:hint="default" w:ascii="Times New Roman" w:hAnsi="Times New Roman" w:eastAsia="宋体" w:cs="Times New Roman"/>
          <w:color w:val="auto"/>
          <w:sz w:val="26"/>
          <w:szCs w:val="26"/>
          <w:highlight w:val="none"/>
          <w:lang w:val="en-US" w:eastAsia="zh-CN"/>
        </w:rPr>
        <w:t>和《綦江区空气质量改善行动计划》方案，在綦江区范围内执行相应的整治措施后，可改善区域环境质量达标情况</w:t>
      </w:r>
      <w:r>
        <w:rPr>
          <w:rFonts w:hint="default" w:ascii="Times New Roman" w:hAnsi="Times New Roman" w:eastAsia="宋体" w:cs="Times New Roman"/>
          <w:color w:val="auto"/>
          <w:sz w:val="26"/>
          <w:szCs w:val="26"/>
          <w:highlight w:val="none"/>
        </w:rPr>
        <w:t>：</w:t>
      </w:r>
    </w:p>
    <w:p w14:paraId="09B0C8BF">
      <w:pPr>
        <w:pStyle w:val="56"/>
        <w:rPr>
          <w:rFonts w:hint="default" w:ascii="Times New Roman" w:hAnsi="Times New Roman" w:eastAsia="宋体" w:cs="Times New Roman"/>
          <w:color w:val="auto"/>
          <w:sz w:val="26"/>
          <w:szCs w:val="26"/>
          <w:highlight w:val="none"/>
          <w:lang w:eastAsia="zh-CN"/>
        </w:rPr>
      </w:pP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lang w:val="en-US" w:eastAsia="zh-CN"/>
        </w:rPr>
        <w:t>1</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建立綦江区环境空气质量分类管理体系</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进一步改善大气环境质量，通过精细管控共建共享“綦江蓝”。强化对城区可吸入颗粒物、二氧化硫、氮氧化物等污染物数据的监测、分析和预警，增强重点区域、重点时段、重点行业、重点污染源的控制。协同控制细颗粒物（PM</w:t>
      </w:r>
      <w:r>
        <w:rPr>
          <w:rFonts w:hint="default" w:ascii="Times New Roman" w:hAnsi="Times New Roman" w:eastAsia="宋体" w:cs="Times New Roman"/>
          <w:color w:val="auto"/>
          <w:sz w:val="26"/>
          <w:szCs w:val="26"/>
          <w:highlight w:val="none"/>
          <w:vertAlign w:val="subscript"/>
        </w:rPr>
        <w:t>2.5</w:t>
      </w:r>
      <w:r>
        <w:rPr>
          <w:rFonts w:hint="default" w:ascii="Times New Roman" w:hAnsi="Times New Roman" w:eastAsia="宋体" w:cs="Times New Roman"/>
          <w:color w:val="auto"/>
          <w:sz w:val="26"/>
          <w:szCs w:val="26"/>
          <w:highlight w:val="none"/>
        </w:rPr>
        <w:t>）和臭氧（O</w:t>
      </w:r>
      <w:r>
        <w:rPr>
          <w:rFonts w:hint="default" w:ascii="Times New Roman" w:hAnsi="Times New Roman" w:eastAsia="宋体" w:cs="Times New Roman"/>
          <w:color w:val="auto"/>
          <w:sz w:val="26"/>
          <w:szCs w:val="26"/>
          <w:highlight w:val="none"/>
          <w:vertAlign w:val="subscript"/>
        </w:rPr>
        <w:t>3</w:t>
      </w:r>
      <w:r>
        <w:rPr>
          <w:rFonts w:hint="default" w:ascii="Times New Roman" w:hAnsi="Times New Roman" w:eastAsia="宋体" w:cs="Times New Roman"/>
          <w:color w:val="auto"/>
          <w:sz w:val="26"/>
          <w:szCs w:val="26"/>
          <w:highlight w:val="none"/>
        </w:rPr>
        <w:t>），确保到2025年O</w:t>
      </w:r>
      <w:r>
        <w:rPr>
          <w:rFonts w:hint="default" w:ascii="Times New Roman" w:hAnsi="Times New Roman" w:eastAsia="宋体" w:cs="Times New Roman"/>
          <w:color w:val="auto"/>
          <w:sz w:val="26"/>
          <w:szCs w:val="26"/>
          <w:highlight w:val="none"/>
          <w:vertAlign w:val="subscript"/>
        </w:rPr>
        <w:t>3</w:t>
      </w:r>
      <w:r>
        <w:rPr>
          <w:rFonts w:hint="default" w:ascii="Times New Roman" w:hAnsi="Times New Roman" w:eastAsia="宋体" w:cs="Times New Roman"/>
          <w:color w:val="auto"/>
          <w:sz w:val="26"/>
          <w:szCs w:val="26"/>
          <w:highlight w:val="none"/>
        </w:rPr>
        <w:t>浓度上升趋势得到遏制，基本消除重污染天气，PM2.5年均浓度稳定达标。通过常态化巡查、人工影响天气、百日攻坚等手段积极应对轻中度污染天气，落实重污染天气应急预案</w:t>
      </w:r>
      <w:r>
        <w:rPr>
          <w:rFonts w:hint="default" w:ascii="Times New Roman" w:hAnsi="Times New Roman" w:eastAsia="宋体" w:cs="Times New Roman"/>
          <w:color w:val="auto"/>
          <w:sz w:val="26"/>
          <w:szCs w:val="26"/>
          <w:highlight w:val="none"/>
          <w:lang w:eastAsia="zh-CN"/>
        </w:rPr>
        <w:t>。</w:t>
      </w:r>
    </w:p>
    <w:p w14:paraId="055DD5AB">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精准施策提升大气环境质量。强化工业废气治理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推进实施水泥行业产能等量或减量替代，加大化工园区、化工、燃煤锅炉集中整治力度</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推动工业炉窑深度治理和升级改造</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以工业涂装、化工、电子、包装印刷、家具制造、油品储运销等行业为重点治理挥发性有机物（VOCs），按照国家和市级要求把VOCs纳入环境保护税征税范围。严格落实国家和地方VOCs含量限值标准，大力推进低（无）VOCs含量原辅材料替代</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加强火电、水泥、砖瓦、建材加工等行业废气无组织排放监管</w:t>
      </w:r>
      <w:r>
        <w:rPr>
          <w:rFonts w:hint="default" w:ascii="Times New Roman" w:hAnsi="Times New Roman" w:eastAsia="宋体" w:cs="Times New Roman"/>
          <w:color w:val="auto"/>
          <w:lang w:val="en-US" w:eastAsia="zh-CN"/>
        </w:rPr>
        <w:t>等措施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加强交通污染防治，严格扬尘污染防治，治理生活污染，加强环境空气质量目标管理</w:t>
      </w:r>
      <w:r>
        <w:rPr>
          <w:rFonts w:hint="default" w:ascii="Times New Roman" w:hAnsi="Times New Roman" w:eastAsia="宋体" w:cs="Times New Roman"/>
          <w:color w:val="auto"/>
          <w:lang w:eastAsia="zh-CN"/>
        </w:rPr>
        <w:t>。</w:t>
      </w:r>
    </w:p>
    <w:p w14:paraId="311B7451">
      <w:pPr>
        <w:pStyle w:val="56"/>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3）实施能源清洁低碳高效利用行动，推动能源结构优化。大力发展新能源和清洁能源。挖掘区内清洁能源开发潜力，加快推动重大电源项目建设投产。持续增加天然气（页岩气）生产供应。开展燃煤锅炉关停整合和工业炉窑清洁能源替代。城市建成区原则上不再新建35蒸吨/小时及以下燃煤锅炉。加快热力管网建设，依托电厂、大型工业企业开展远距离供热示范，淘汰管网覆盖范围内的燃煤锅炉和散煤。关停、整合热电联产电厂供热半径30公里范围内的燃煤锅炉。鼓励工业炉窑改用余热、电能、天然气等。</w:t>
      </w:r>
    </w:p>
    <w:p w14:paraId="34F1E413">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在执行相应的整治措施后，可改善区域环境质量达标情况。</w:t>
      </w:r>
    </w:p>
    <w:p w14:paraId="58BADC19">
      <w:pPr>
        <w:adjustRightInd w:val="0"/>
        <w:snapToGrid w:val="0"/>
        <w:spacing w:line="50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4.2.</w:t>
      </w:r>
      <w:r>
        <w:rPr>
          <w:rFonts w:hint="default" w:ascii="Times New Roman" w:hAnsi="Times New Roman" w:eastAsia="宋体" w:cs="Times New Roman"/>
          <w:b/>
          <w:color w:val="auto"/>
          <w:sz w:val="26"/>
          <w:szCs w:val="26"/>
          <w:lang w:val="en-US" w:eastAsia="zh-CN"/>
        </w:rPr>
        <w:t>2</w:t>
      </w:r>
      <w:r>
        <w:rPr>
          <w:rFonts w:hint="default" w:ascii="Times New Roman" w:hAnsi="Times New Roman" w:eastAsia="宋体" w:cs="Times New Roman"/>
          <w:b/>
          <w:color w:val="auto"/>
          <w:sz w:val="26"/>
          <w:szCs w:val="26"/>
        </w:rPr>
        <w:t>地表水环境质量现状</w:t>
      </w:r>
    </w:p>
    <w:p w14:paraId="10D31583">
      <w:pPr>
        <w:pStyle w:val="56"/>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val="en-US" w:eastAsia="zh-CN"/>
        </w:rPr>
        <w:t>綦江区</w:t>
      </w:r>
      <w:r>
        <w:rPr>
          <w:rFonts w:hint="default" w:ascii="Times New Roman" w:hAnsi="Times New Roman" w:eastAsia="宋体" w:cs="Times New Roman"/>
          <w:color w:val="auto"/>
        </w:rPr>
        <w:t>生态环境局发布的《2024年綦江区生态环境质量简报》，2024年綦江区地表水环境质量良好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8个国控、市控、市控评价河流地表水断面和15个水功能区水质监测断面均满足《地表水环境质量标准》（GB3838-2002）中Ⅲ类水域功能要求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河流地表水水质平均达标率为 100%。</w:t>
      </w:r>
      <w:r>
        <w:rPr>
          <w:rFonts w:hint="default" w:ascii="Times New Roman" w:hAnsi="Times New Roman" w:eastAsia="宋体" w:cs="Times New Roman"/>
          <w:color w:val="auto"/>
          <w:lang w:val="en-US" w:eastAsia="zh-CN"/>
        </w:rPr>
        <w:t>项</w:t>
      </w:r>
      <w:r>
        <w:rPr>
          <w:rFonts w:hint="default" w:ascii="Times New Roman" w:hAnsi="Times New Roman" w:eastAsia="宋体" w:cs="Times New Roman"/>
          <w:color w:val="auto"/>
        </w:rPr>
        <w:t>目所在区域地表水环境质量较好</w:t>
      </w:r>
      <w:r>
        <w:rPr>
          <w:rFonts w:hint="default" w:ascii="Times New Roman" w:hAnsi="Times New Roman" w:eastAsia="宋体" w:cs="Times New Roman"/>
          <w:color w:val="auto"/>
          <w:lang w:eastAsia="zh-CN"/>
        </w:rPr>
        <w:t>。</w:t>
      </w:r>
    </w:p>
    <w:p w14:paraId="1306395D">
      <w:pPr>
        <w:adjustRightInd w:val="0"/>
        <w:snapToGrid w:val="0"/>
        <w:spacing w:line="500" w:lineRule="exact"/>
        <w:ind w:firstLine="522" w:firstLineChars="200"/>
        <w:outlineLvl w:val="2"/>
        <w:rPr>
          <w:rFonts w:hint="default" w:ascii="Times New Roman" w:hAnsi="Times New Roman" w:eastAsia="宋体" w:cs="Times New Roman"/>
          <w:b/>
          <w:sz w:val="26"/>
          <w:szCs w:val="26"/>
        </w:rPr>
      </w:pPr>
      <w:r>
        <w:rPr>
          <w:rFonts w:hint="default" w:ascii="Times New Roman" w:hAnsi="Times New Roman" w:eastAsia="宋体" w:cs="Times New Roman"/>
          <w:b/>
          <w:sz w:val="26"/>
          <w:szCs w:val="26"/>
        </w:rPr>
        <w:t>4.2.3 地下水环境质量现状</w:t>
      </w:r>
    </w:p>
    <w:p w14:paraId="462348DE">
      <w:pPr>
        <w:pStyle w:val="93"/>
        <w:ind w:firstLine="520"/>
        <w:rPr>
          <w:rFonts w:hint="default" w:ascii="Times New Roman" w:hAnsi="Times New Roman" w:eastAsia="宋体" w:cs="Times New Roman"/>
        </w:rPr>
      </w:pPr>
      <w:bookmarkStart w:id="294" w:name="_Hlk514083427"/>
      <w:r>
        <w:rPr>
          <w:rFonts w:hint="default" w:ascii="Times New Roman" w:hAnsi="Times New Roman" w:eastAsia="宋体" w:cs="Times New Roman"/>
        </w:rPr>
        <w:t>（1）监测点布设情况</w:t>
      </w:r>
    </w:p>
    <w:p w14:paraId="0CE236BD">
      <w:pPr>
        <w:pStyle w:val="93"/>
        <w:ind w:firstLine="520"/>
        <w:rPr>
          <w:rFonts w:hint="default" w:ascii="Times New Roman" w:hAnsi="Times New Roman" w:eastAsia="宋体" w:cs="Times New Roman"/>
        </w:rPr>
      </w:pPr>
      <w:r>
        <w:rPr>
          <w:rFonts w:hint="default" w:ascii="Times New Roman" w:hAnsi="Times New Roman" w:eastAsia="宋体" w:cs="Times New Roman"/>
        </w:rPr>
        <w:t>为了掌握本工程周围地下水环境质量变化状况，根据工程特点、地下水开发利用情况并结合《环境影响评价技术导则 地下水环境》（HJ610-2016）的要求，在管道沿线设置3处地下水水质现状监测点，地下水水质监测点具体情况详见下表，监测点位置见表4.2-2。</w:t>
      </w:r>
    </w:p>
    <w:p w14:paraId="30DC18E1">
      <w:pPr>
        <w:pStyle w:val="88"/>
        <w:rPr>
          <w:rFonts w:hint="default" w:ascii="Times New Roman" w:hAnsi="Times New Roman" w:eastAsia="宋体" w:cs="Times New Roman"/>
        </w:rPr>
      </w:pPr>
    </w:p>
    <w:p w14:paraId="159FFCFE">
      <w:pPr>
        <w:pStyle w:val="85"/>
        <w:rPr>
          <w:rFonts w:hint="default" w:ascii="Times New Roman" w:hAnsi="Times New Roman" w:eastAsia="宋体" w:cs="Times New Roman"/>
        </w:rPr>
      </w:pPr>
      <w:r>
        <w:rPr>
          <w:rFonts w:hint="default" w:ascii="Times New Roman" w:hAnsi="Times New Roman" w:eastAsia="宋体" w:cs="Times New Roman"/>
        </w:rPr>
        <w:t>表4.2-2</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地下水环境质量现状监测点布置情况</w:t>
      </w:r>
    </w:p>
    <w:tbl>
      <w:tblPr>
        <w:tblStyle w:val="29"/>
        <w:tblW w:w="5000" w:type="pct"/>
        <w:jc w:val="center"/>
        <w:tblLayout w:type="autofit"/>
        <w:tblCellMar>
          <w:top w:w="0" w:type="dxa"/>
          <w:left w:w="108" w:type="dxa"/>
          <w:bottom w:w="0" w:type="dxa"/>
          <w:right w:w="108" w:type="dxa"/>
        </w:tblCellMar>
      </w:tblPr>
      <w:tblGrid>
        <w:gridCol w:w="656"/>
        <w:gridCol w:w="1451"/>
        <w:gridCol w:w="1321"/>
        <w:gridCol w:w="1329"/>
        <w:gridCol w:w="948"/>
        <w:gridCol w:w="3241"/>
      </w:tblGrid>
      <w:tr w14:paraId="0F94775B">
        <w:tblPrEx>
          <w:tblCellMar>
            <w:top w:w="0" w:type="dxa"/>
            <w:left w:w="108" w:type="dxa"/>
            <w:bottom w:w="0" w:type="dxa"/>
            <w:right w:w="108" w:type="dxa"/>
          </w:tblCellMar>
        </w:tblPrEx>
        <w:trPr>
          <w:trHeight w:val="230" w:hRule="atLeast"/>
          <w:jc w:val="center"/>
        </w:trPr>
        <w:tc>
          <w:tcPr>
            <w:tcW w:w="366" w:type="pct"/>
            <w:tcBorders>
              <w:top w:val="single" w:color="auto" w:sz="4" w:space="0"/>
              <w:left w:val="single" w:color="auto" w:sz="4" w:space="0"/>
              <w:bottom w:val="single" w:color="auto" w:sz="4" w:space="0"/>
              <w:right w:val="single" w:color="auto" w:sz="4" w:space="0"/>
            </w:tcBorders>
            <w:noWrap/>
            <w:vAlign w:val="center"/>
          </w:tcPr>
          <w:p w14:paraId="1CFBB8FD">
            <w:pPr>
              <w:pStyle w:val="87"/>
              <w:rPr>
                <w:rFonts w:hint="default" w:ascii="Times New Roman" w:hAnsi="Times New Roman" w:eastAsia="宋体" w:cs="Times New Roman"/>
              </w:rPr>
            </w:pPr>
            <w:r>
              <w:rPr>
                <w:rFonts w:hint="default" w:ascii="Times New Roman" w:hAnsi="Times New Roman" w:eastAsia="宋体" w:cs="Times New Roman"/>
                <w:lang w:bidi="ar"/>
              </w:rPr>
              <w:t>编号</w:t>
            </w:r>
          </w:p>
        </w:tc>
        <w:tc>
          <w:tcPr>
            <w:tcW w:w="810" w:type="pct"/>
            <w:tcBorders>
              <w:top w:val="single" w:color="auto" w:sz="4" w:space="0"/>
              <w:left w:val="nil"/>
              <w:bottom w:val="single" w:color="auto" w:sz="4" w:space="0"/>
              <w:right w:val="single" w:color="auto" w:sz="4" w:space="0"/>
            </w:tcBorders>
            <w:noWrap/>
            <w:vAlign w:val="center"/>
          </w:tcPr>
          <w:p w14:paraId="6CA69C97">
            <w:pPr>
              <w:pStyle w:val="87"/>
              <w:rPr>
                <w:rFonts w:hint="default" w:ascii="Times New Roman" w:hAnsi="Times New Roman" w:eastAsia="宋体" w:cs="Times New Roman"/>
              </w:rPr>
            </w:pPr>
            <w:r>
              <w:rPr>
                <w:rFonts w:hint="default" w:ascii="Times New Roman" w:hAnsi="Times New Roman" w:eastAsia="宋体" w:cs="Times New Roman"/>
                <w:lang w:bidi="ar"/>
              </w:rPr>
              <w:t>经度°</w:t>
            </w:r>
          </w:p>
        </w:tc>
        <w:tc>
          <w:tcPr>
            <w:tcW w:w="738" w:type="pct"/>
            <w:tcBorders>
              <w:top w:val="single" w:color="auto" w:sz="4" w:space="0"/>
              <w:left w:val="nil"/>
              <w:bottom w:val="single" w:color="auto" w:sz="4" w:space="0"/>
              <w:right w:val="single" w:color="auto" w:sz="4" w:space="0"/>
            </w:tcBorders>
            <w:noWrap/>
            <w:vAlign w:val="center"/>
          </w:tcPr>
          <w:p w14:paraId="3CE6C3A8">
            <w:pPr>
              <w:pStyle w:val="87"/>
              <w:rPr>
                <w:rFonts w:hint="default" w:ascii="Times New Roman" w:hAnsi="Times New Roman" w:eastAsia="宋体" w:cs="Times New Roman"/>
              </w:rPr>
            </w:pPr>
            <w:r>
              <w:rPr>
                <w:rFonts w:hint="default" w:ascii="Times New Roman" w:hAnsi="Times New Roman" w:eastAsia="宋体" w:cs="Times New Roman"/>
                <w:lang w:bidi="ar"/>
              </w:rPr>
              <w:t>纬度°</w:t>
            </w:r>
          </w:p>
        </w:tc>
        <w:tc>
          <w:tcPr>
            <w:tcW w:w="742" w:type="pct"/>
            <w:tcBorders>
              <w:top w:val="single" w:color="auto" w:sz="4" w:space="0"/>
              <w:left w:val="nil"/>
              <w:bottom w:val="single" w:color="auto" w:sz="4" w:space="0"/>
              <w:right w:val="single" w:color="auto" w:sz="4" w:space="0"/>
            </w:tcBorders>
            <w:noWrap/>
            <w:vAlign w:val="center"/>
          </w:tcPr>
          <w:p w14:paraId="1C0A316E">
            <w:pPr>
              <w:pStyle w:val="87"/>
              <w:rPr>
                <w:rFonts w:hint="default" w:ascii="Times New Roman" w:hAnsi="Times New Roman" w:eastAsia="宋体" w:cs="Times New Roman"/>
              </w:rPr>
            </w:pPr>
            <w:r>
              <w:rPr>
                <w:rFonts w:hint="default" w:ascii="Times New Roman" w:hAnsi="Times New Roman" w:eastAsia="宋体" w:cs="Times New Roman"/>
                <w:lang w:bidi="ar"/>
              </w:rPr>
              <w:t>水位高程/m</w:t>
            </w:r>
          </w:p>
        </w:tc>
        <w:tc>
          <w:tcPr>
            <w:tcW w:w="530" w:type="pct"/>
            <w:tcBorders>
              <w:top w:val="single" w:color="auto" w:sz="4" w:space="0"/>
              <w:left w:val="nil"/>
              <w:bottom w:val="single" w:color="auto" w:sz="4" w:space="0"/>
              <w:right w:val="single" w:color="auto" w:sz="4" w:space="0"/>
            </w:tcBorders>
            <w:noWrap/>
            <w:vAlign w:val="center"/>
          </w:tcPr>
          <w:p w14:paraId="2D5E1923">
            <w:pPr>
              <w:pStyle w:val="87"/>
              <w:rPr>
                <w:rFonts w:hint="default" w:ascii="Times New Roman" w:hAnsi="Times New Roman" w:eastAsia="宋体" w:cs="Times New Roman"/>
              </w:rPr>
            </w:pPr>
            <w:r>
              <w:rPr>
                <w:rFonts w:hint="default" w:ascii="Times New Roman" w:hAnsi="Times New Roman" w:eastAsia="宋体" w:cs="Times New Roman"/>
                <w:lang w:bidi="ar"/>
              </w:rPr>
              <w:t>类型</w:t>
            </w:r>
          </w:p>
        </w:tc>
        <w:tc>
          <w:tcPr>
            <w:tcW w:w="1810" w:type="pct"/>
            <w:tcBorders>
              <w:top w:val="single" w:color="auto" w:sz="4" w:space="0"/>
              <w:left w:val="nil"/>
              <w:bottom w:val="single" w:color="auto" w:sz="4" w:space="0"/>
              <w:right w:val="single" w:color="auto" w:sz="4" w:space="0"/>
            </w:tcBorders>
            <w:noWrap/>
            <w:vAlign w:val="center"/>
          </w:tcPr>
          <w:p w14:paraId="05CEEDC9">
            <w:pPr>
              <w:pStyle w:val="87"/>
              <w:rPr>
                <w:rFonts w:hint="default" w:ascii="Times New Roman" w:hAnsi="Times New Roman" w:eastAsia="宋体" w:cs="Times New Roman"/>
              </w:rPr>
            </w:pPr>
            <w:r>
              <w:rPr>
                <w:rFonts w:hint="default" w:ascii="Times New Roman" w:hAnsi="Times New Roman" w:eastAsia="宋体" w:cs="Times New Roman"/>
                <w:lang w:bidi="ar"/>
              </w:rPr>
              <w:t>与项目位置关系</w:t>
            </w:r>
          </w:p>
        </w:tc>
      </w:tr>
      <w:tr w14:paraId="7AB3387D">
        <w:tblPrEx>
          <w:tblCellMar>
            <w:top w:w="0" w:type="dxa"/>
            <w:left w:w="108" w:type="dxa"/>
            <w:bottom w:w="0" w:type="dxa"/>
            <w:right w:w="108" w:type="dxa"/>
          </w:tblCellMar>
        </w:tblPrEx>
        <w:trPr>
          <w:trHeight w:val="283" w:hRule="atLeast"/>
          <w:jc w:val="center"/>
        </w:trPr>
        <w:tc>
          <w:tcPr>
            <w:tcW w:w="366" w:type="pct"/>
            <w:tcBorders>
              <w:top w:val="nil"/>
              <w:left w:val="single" w:color="auto" w:sz="4" w:space="0"/>
              <w:bottom w:val="single" w:color="auto" w:sz="4" w:space="0"/>
              <w:right w:val="single" w:color="auto" w:sz="4" w:space="0"/>
            </w:tcBorders>
            <w:noWrap/>
            <w:vAlign w:val="center"/>
          </w:tcPr>
          <w:p w14:paraId="6265EA48">
            <w:pPr>
              <w:pStyle w:val="87"/>
              <w:rPr>
                <w:rFonts w:hint="default" w:ascii="Times New Roman" w:hAnsi="Times New Roman" w:eastAsia="宋体" w:cs="Times New Roman"/>
              </w:rPr>
            </w:pPr>
            <w:r>
              <w:rPr>
                <w:rFonts w:hint="default" w:ascii="Times New Roman" w:hAnsi="Times New Roman" w:eastAsia="宋体" w:cs="Times New Roman"/>
                <w:lang w:val="en-US" w:eastAsia="zh-CN" w:bidi="ar"/>
              </w:rPr>
              <w:t>V</w:t>
            </w:r>
            <w:r>
              <w:rPr>
                <w:rFonts w:hint="default" w:ascii="Times New Roman" w:hAnsi="Times New Roman" w:eastAsia="宋体" w:cs="Times New Roman"/>
                <w:lang w:bidi="ar"/>
              </w:rPr>
              <w:t>1</w:t>
            </w:r>
          </w:p>
        </w:tc>
        <w:tc>
          <w:tcPr>
            <w:tcW w:w="810" w:type="pct"/>
            <w:tcBorders>
              <w:top w:val="nil"/>
              <w:left w:val="nil"/>
              <w:bottom w:val="single" w:color="auto" w:sz="4" w:space="0"/>
              <w:right w:val="single" w:color="auto" w:sz="4" w:space="0"/>
            </w:tcBorders>
            <w:noWrap/>
            <w:vAlign w:val="center"/>
          </w:tcPr>
          <w:p w14:paraId="31C5F312">
            <w:pPr>
              <w:pStyle w:val="87"/>
              <w:rPr>
                <w:rFonts w:hint="default" w:ascii="Times New Roman" w:hAnsi="Times New Roman" w:eastAsia="宋体" w:cs="Times New Roman"/>
              </w:rPr>
            </w:pPr>
            <w:r>
              <w:rPr>
                <w:rFonts w:hint="default" w:ascii="Times New Roman" w:hAnsi="Times New Roman" w:eastAsia="宋体" w:cs="Times New Roman"/>
                <w:bCs/>
                <w:sz w:val="26"/>
                <w:szCs w:val="26"/>
              </w:rPr>
              <w:t>106.586342</w:t>
            </w:r>
          </w:p>
        </w:tc>
        <w:tc>
          <w:tcPr>
            <w:tcW w:w="738" w:type="pct"/>
            <w:tcBorders>
              <w:top w:val="nil"/>
              <w:left w:val="nil"/>
              <w:bottom w:val="single" w:color="auto" w:sz="4" w:space="0"/>
              <w:right w:val="single" w:color="auto" w:sz="4" w:space="0"/>
            </w:tcBorders>
            <w:noWrap/>
            <w:vAlign w:val="center"/>
          </w:tcPr>
          <w:p w14:paraId="157810CD">
            <w:pPr>
              <w:pStyle w:val="87"/>
              <w:rPr>
                <w:rFonts w:hint="default" w:ascii="Times New Roman" w:hAnsi="Times New Roman" w:eastAsia="宋体" w:cs="Times New Roman"/>
              </w:rPr>
            </w:pPr>
            <w:r>
              <w:rPr>
                <w:rFonts w:hint="default" w:ascii="Times New Roman" w:hAnsi="Times New Roman" w:eastAsia="宋体" w:cs="Times New Roman"/>
                <w:bCs/>
                <w:sz w:val="26"/>
                <w:szCs w:val="26"/>
              </w:rPr>
              <w:t>29.114273</w:t>
            </w:r>
          </w:p>
        </w:tc>
        <w:tc>
          <w:tcPr>
            <w:tcW w:w="742" w:type="pct"/>
            <w:tcBorders>
              <w:top w:val="nil"/>
              <w:left w:val="nil"/>
              <w:bottom w:val="single" w:color="auto" w:sz="4" w:space="0"/>
              <w:right w:val="single" w:color="auto" w:sz="4" w:space="0"/>
            </w:tcBorders>
            <w:noWrap/>
            <w:vAlign w:val="center"/>
          </w:tcPr>
          <w:p w14:paraId="21775BB2">
            <w:pPr>
              <w:pStyle w:val="87"/>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704</w:t>
            </w:r>
          </w:p>
        </w:tc>
        <w:tc>
          <w:tcPr>
            <w:tcW w:w="530" w:type="pct"/>
            <w:tcBorders>
              <w:top w:val="nil"/>
              <w:left w:val="nil"/>
              <w:bottom w:val="single" w:color="auto" w:sz="4" w:space="0"/>
              <w:right w:val="single" w:color="auto" w:sz="4" w:space="0"/>
            </w:tcBorders>
            <w:noWrap/>
            <w:vAlign w:val="center"/>
          </w:tcPr>
          <w:p w14:paraId="34CAB6CE">
            <w:pPr>
              <w:pStyle w:val="87"/>
              <w:rPr>
                <w:rFonts w:hint="default" w:ascii="Times New Roman" w:hAnsi="Times New Roman" w:eastAsia="宋体" w:cs="Times New Roman"/>
              </w:rPr>
            </w:pPr>
            <w:r>
              <w:rPr>
                <w:rFonts w:hint="default" w:ascii="Times New Roman" w:hAnsi="Times New Roman" w:eastAsia="宋体" w:cs="Times New Roman"/>
                <w:lang w:bidi="ar"/>
              </w:rPr>
              <w:t>水井</w:t>
            </w:r>
          </w:p>
        </w:tc>
        <w:tc>
          <w:tcPr>
            <w:tcW w:w="1810" w:type="pct"/>
            <w:tcBorders>
              <w:top w:val="nil"/>
              <w:left w:val="nil"/>
              <w:bottom w:val="single" w:color="auto" w:sz="4" w:space="0"/>
              <w:right w:val="single" w:color="auto" w:sz="4" w:space="0"/>
            </w:tcBorders>
            <w:noWrap/>
            <w:vAlign w:val="center"/>
          </w:tcPr>
          <w:p w14:paraId="1BD9B57B">
            <w:pPr>
              <w:pStyle w:val="87"/>
              <w:rPr>
                <w:rFonts w:hint="default" w:ascii="Times New Roman" w:hAnsi="Times New Roman" w:eastAsia="宋体" w:cs="Times New Roman"/>
              </w:rPr>
            </w:pPr>
            <w:r>
              <w:rPr>
                <w:rFonts w:hint="default" w:ascii="Times New Roman" w:hAnsi="Times New Roman" w:eastAsia="宋体" w:cs="Times New Roman"/>
              </w:rPr>
              <w:t>原管线附近（南侧），上游</w:t>
            </w:r>
          </w:p>
        </w:tc>
      </w:tr>
      <w:tr w14:paraId="3B9CD53A">
        <w:tblPrEx>
          <w:tblCellMar>
            <w:top w:w="0" w:type="dxa"/>
            <w:left w:w="108" w:type="dxa"/>
            <w:bottom w:w="0" w:type="dxa"/>
            <w:right w:w="108" w:type="dxa"/>
          </w:tblCellMar>
        </w:tblPrEx>
        <w:trPr>
          <w:trHeight w:val="283" w:hRule="atLeast"/>
          <w:jc w:val="center"/>
        </w:trPr>
        <w:tc>
          <w:tcPr>
            <w:tcW w:w="366" w:type="pct"/>
            <w:tcBorders>
              <w:top w:val="nil"/>
              <w:left w:val="single" w:color="auto" w:sz="4" w:space="0"/>
              <w:bottom w:val="single" w:color="auto" w:sz="4" w:space="0"/>
              <w:right w:val="single" w:color="auto" w:sz="4" w:space="0"/>
            </w:tcBorders>
            <w:noWrap/>
            <w:vAlign w:val="center"/>
          </w:tcPr>
          <w:p w14:paraId="1BBF8799">
            <w:pPr>
              <w:pStyle w:val="87"/>
              <w:rPr>
                <w:rFonts w:hint="default" w:ascii="Times New Roman" w:hAnsi="Times New Roman" w:eastAsia="宋体" w:cs="Times New Roman"/>
              </w:rPr>
            </w:pPr>
            <w:r>
              <w:rPr>
                <w:rFonts w:hint="default" w:ascii="Times New Roman" w:hAnsi="Times New Roman" w:eastAsia="宋体" w:cs="Times New Roman"/>
                <w:lang w:val="en-US" w:eastAsia="zh-CN" w:bidi="ar"/>
              </w:rPr>
              <w:t>V</w:t>
            </w:r>
            <w:r>
              <w:rPr>
                <w:rFonts w:hint="default" w:ascii="Times New Roman" w:hAnsi="Times New Roman" w:eastAsia="宋体" w:cs="Times New Roman"/>
                <w:lang w:bidi="ar"/>
              </w:rPr>
              <w:t>2</w:t>
            </w:r>
          </w:p>
        </w:tc>
        <w:tc>
          <w:tcPr>
            <w:tcW w:w="810" w:type="pct"/>
            <w:tcBorders>
              <w:top w:val="nil"/>
              <w:left w:val="nil"/>
              <w:bottom w:val="single" w:color="auto" w:sz="4" w:space="0"/>
              <w:right w:val="single" w:color="auto" w:sz="4" w:space="0"/>
            </w:tcBorders>
            <w:noWrap/>
            <w:vAlign w:val="center"/>
          </w:tcPr>
          <w:p w14:paraId="50D49951">
            <w:pPr>
              <w:pStyle w:val="87"/>
              <w:rPr>
                <w:rFonts w:hint="default" w:ascii="Times New Roman" w:hAnsi="Times New Roman" w:eastAsia="宋体" w:cs="Times New Roman"/>
              </w:rPr>
            </w:pPr>
            <w:r>
              <w:rPr>
                <w:rFonts w:hint="default" w:ascii="Times New Roman" w:hAnsi="Times New Roman" w:eastAsia="宋体" w:cs="Times New Roman"/>
              </w:rPr>
              <w:t>106.582970</w:t>
            </w:r>
          </w:p>
        </w:tc>
        <w:tc>
          <w:tcPr>
            <w:tcW w:w="738" w:type="pct"/>
            <w:tcBorders>
              <w:top w:val="nil"/>
              <w:left w:val="nil"/>
              <w:bottom w:val="single" w:color="auto" w:sz="4" w:space="0"/>
              <w:right w:val="single" w:color="auto" w:sz="4" w:space="0"/>
            </w:tcBorders>
            <w:noWrap/>
            <w:vAlign w:val="center"/>
          </w:tcPr>
          <w:p w14:paraId="24A72896">
            <w:pPr>
              <w:pStyle w:val="87"/>
              <w:rPr>
                <w:rFonts w:hint="default" w:ascii="Times New Roman" w:hAnsi="Times New Roman" w:eastAsia="宋体" w:cs="Times New Roman"/>
              </w:rPr>
            </w:pPr>
            <w:r>
              <w:rPr>
                <w:rFonts w:hint="default" w:ascii="Times New Roman" w:hAnsi="Times New Roman" w:eastAsia="宋体" w:cs="Times New Roman"/>
              </w:rPr>
              <w:t>29.120170</w:t>
            </w:r>
          </w:p>
        </w:tc>
        <w:tc>
          <w:tcPr>
            <w:tcW w:w="742" w:type="pct"/>
            <w:tcBorders>
              <w:top w:val="nil"/>
              <w:left w:val="nil"/>
              <w:bottom w:val="single" w:color="auto" w:sz="4" w:space="0"/>
              <w:right w:val="single" w:color="auto" w:sz="4" w:space="0"/>
            </w:tcBorders>
            <w:noWrap/>
            <w:vAlign w:val="center"/>
          </w:tcPr>
          <w:p w14:paraId="4FB9254B">
            <w:pPr>
              <w:pStyle w:val="87"/>
              <w:rPr>
                <w:rFonts w:hint="default" w:ascii="Times New Roman" w:hAnsi="Times New Roman" w:eastAsia="宋体" w:cs="Times New Roman"/>
              </w:rPr>
            </w:pPr>
            <w:r>
              <w:rPr>
                <w:rFonts w:hint="default" w:ascii="Times New Roman" w:hAnsi="Times New Roman" w:eastAsia="宋体" w:cs="Times New Roman"/>
              </w:rPr>
              <w:t>674</w:t>
            </w:r>
          </w:p>
        </w:tc>
        <w:tc>
          <w:tcPr>
            <w:tcW w:w="530" w:type="pct"/>
            <w:tcBorders>
              <w:top w:val="nil"/>
              <w:left w:val="nil"/>
              <w:bottom w:val="single" w:color="auto" w:sz="4" w:space="0"/>
              <w:right w:val="single" w:color="auto" w:sz="4" w:space="0"/>
            </w:tcBorders>
            <w:noWrap/>
            <w:vAlign w:val="center"/>
          </w:tcPr>
          <w:p w14:paraId="45EE6A89">
            <w:pPr>
              <w:pStyle w:val="87"/>
              <w:rPr>
                <w:rFonts w:hint="default" w:ascii="Times New Roman" w:hAnsi="Times New Roman" w:eastAsia="宋体" w:cs="Times New Roman"/>
              </w:rPr>
            </w:pPr>
            <w:r>
              <w:rPr>
                <w:rFonts w:hint="default" w:ascii="Times New Roman" w:hAnsi="Times New Roman" w:eastAsia="宋体" w:cs="Times New Roman"/>
                <w:lang w:bidi="ar"/>
              </w:rPr>
              <w:t>水井</w:t>
            </w:r>
          </w:p>
        </w:tc>
        <w:tc>
          <w:tcPr>
            <w:tcW w:w="1810" w:type="pct"/>
            <w:tcBorders>
              <w:top w:val="nil"/>
              <w:left w:val="nil"/>
              <w:bottom w:val="single" w:color="auto" w:sz="4" w:space="0"/>
              <w:right w:val="single" w:color="auto" w:sz="4" w:space="0"/>
            </w:tcBorders>
            <w:noWrap/>
            <w:vAlign w:val="center"/>
          </w:tcPr>
          <w:p w14:paraId="4534779E">
            <w:pPr>
              <w:pStyle w:val="87"/>
              <w:rPr>
                <w:rFonts w:hint="default" w:ascii="Times New Roman" w:hAnsi="Times New Roman" w:eastAsia="宋体" w:cs="Times New Roman"/>
              </w:rPr>
            </w:pPr>
            <w:r>
              <w:rPr>
                <w:rFonts w:hint="default" w:ascii="Times New Roman" w:hAnsi="Times New Roman" w:eastAsia="宋体" w:cs="Times New Roman"/>
                <w:color w:val="auto"/>
                <w:sz w:val="22"/>
                <w:szCs w:val="22"/>
                <w:lang w:val="en-US" w:eastAsia="zh-CN"/>
              </w:rPr>
              <w:t>原管线与拟改建管线之间</w:t>
            </w:r>
          </w:p>
        </w:tc>
      </w:tr>
      <w:tr w14:paraId="6B213087">
        <w:tblPrEx>
          <w:tblCellMar>
            <w:top w:w="0" w:type="dxa"/>
            <w:left w:w="108" w:type="dxa"/>
            <w:bottom w:w="0" w:type="dxa"/>
            <w:right w:w="108" w:type="dxa"/>
          </w:tblCellMar>
        </w:tblPrEx>
        <w:trPr>
          <w:trHeight w:val="283" w:hRule="atLeast"/>
          <w:jc w:val="center"/>
        </w:trPr>
        <w:tc>
          <w:tcPr>
            <w:tcW w:w="366" w:type="pct"/>
            <w:tcBorders>
              <w:top w:val="nil"/>
              <w:left w:val="single" w:color="auto" w:sz="4" w:space="0"/>
              <w:bottom w:val="single" w:color="auto" w:sz="4" w:space="0"/>
              <w:right w:val="single" w:color="auto" w:sz="4" w:space="0"/>
            </w:tcBorders>
            <w:noWrap/>
            <w:vAlign w:val="center"/>
          </w:tcPr>
          <w:p w14:paraId="06286A50">
            <w:pPr>
              <w:pStyle w:val="87"/>
              <w:rPr>
                <w:rFonts w:hint="default" w:ascii="Times New Roman" w:hAnsi="Times New Roman" w:eastAsia="宋体" w:cs="Times New Roman"/>
              </w:rPr>
            </w:pPr>
            <w:r>
              <w:rPr>
                <w:rFonts w:hint="default" w:ascii="Times New Roman" w:hAnsi="Times New Roman" w:eastAsia="宋体" w:cs="Times New Roman"/>
                <w:lang w:val="en-US" w:eastAsia="zh-CN" w:bidi="ar"/>
              </w:rPr>
              <w:t>V</w:t>
            </w:r>
            <w:r>
              <w:rPr>
                <w:rFonts w:hint="default" w:ascii="Times New Roman" w:hAnsi="Times New Roman" w:eastAsia="宋体" w:cs="Times New Roman"/>
                <w:lang w:bidi="ar"/>
              </w:rPr>
              <w:t>3</w:t>
            </w:r>
          </w:p>
        </w:tc>
        <w:tc>
          <w:tcPr>
            <w:tcW w:w="810" w:type="pct"/>
            <w:tcBorders>
              <w:top w:val="nil"/>
              <w:left w:val="nil"/>
              <w:bottom w:val="single" w:color="auto" w:sz="4" w:space="0"/>
              <w:right w:val="single" w:color="auto" w:sz="4" w:space="0"/>
            </w:tcBorders>
            <w:noWrap/>
            <w:vAlign w:val="center"/>
          </w:tcPr>
          <w:p w14:paraId="3ADCC5C6">
            <w:pPr>
              <w:pStyle w:val="87"/>
              <w:rPr>
                <w:rFonts w:hint="default" w:ascii="Times New Roman" w:hAnsi="Times New Roman" w:eastAsia="宋体" w:cs="Times New Roman"/>
              </w:rPr>
            </w:pPr>
            <w:r>
              <w:rPr>
                <w:rFonts w:hint="default" w:ascii="Times New Roman" w:hAnsi="Times New Roman" w:eastAsia="宋体" w:cs="Times New Roman"/>
              </w:rPr>
              <w:t>106.585545</w:t>
            </w:r>
          </w:p>
        </w:tc>
        <w:tc>
          <w:tcPr>
            <w:tcW w:w="738" w:type="pct"/>
            <w:tcBorders>
              <w:top w:val="nil"/>
              <w:left w:val="nil"/>
              <w:bottom w:val="single" w:color="auto" w:sz="4" w:space="0"/>
              <w:right w:val="single" w:color="auto" w:sz="4" w:space="0"/>
            </w:tcBorders>
            <w:noWrap/>
            <w:vAlign w:val="center"/>
          </w:tcPr>
          <w:p w14:paraId="300BF0F1">
            <w:pPr>
              <w:pStyle w:val="87"/>
              <w:rPr>
                <w:rFonts w:hint="default" w:ascii="Times New Roman" w:hAnsi="Times New Roman" w:eastAsia="宋体" w:cs="Times New Roman"/>
              </w:rPr>
            </w:pPr>
            <w:r>
              <w:rPr>
                <w:rFonts w:hint="default" w:ascii="Times New Roman" w:hAnsi="Times New Roman" w:eastAsia="宋体" w:cs="Times New Roman"/>
              </w:rPr>
              <w:t>29.124702</w:t>
            </w:r>
          </w:p>
        </w:tc>
        <w:tc>
          <w:tcPr>
            <w:tcW w:w="742" w:type="pct"/>
            <w:tcBorders>
              <w:top w:val="nil"/>
              <w:left w:val="nil"/>
              <w:bottom w:val="single" w:color="auto" w:sz="4" w:space="0"/>
              <w:right w:val="single" w:color="auto" w:sz="4" w:space="0"/>
            </w:tcBorders>
            <w:noWrap/>
            <w:vAlign w:val="center"/>
          </w:tcPr>
          <w:p w14:paraId="063BCE3F">
            <w:pPr>
              <w:pStyle w:val="87"/>
              <w:rPr>
                <w:rFonts w:hint="default" w:ascii="Times New Roman" w:hAnsi="Times New Roman" w:eastAsia="宋体" w:cs="Times New Roman"/>
              </w:rPr>
            </w:pPr>
            <w:r>
              <w:rPr>
                <w:rFonts w:hint="default" w:ascii="Times New Roman" w:hAnsi="Times New Roman" w:eastAsia="宋体" w:cs="Times New Roman"/>
              </w:rPr>
              <w:t>655</w:t>
            </w:r>
          </w:p>
        </w:tc>
        <w:tc>
          <w:tcPr>
            <w:tcW w:w="530" w:type="pct"/>
            <w:tcBorders>
              <w:top w:val="nil"/>
              <w:left w:val="nil"/>
              <w:bottom w:val="single" w:color="auto" w:sz="4" w:space="0"/>
              <w:right w:val="single" w:color="auto" w:sz="4" w:space="0"/>
            </w:tcBorders>
            <w:noWrap/>
            <w:vAlign w:val="center"/>
          </w:tcPr>
          <w:p w14:paraId="5DCF0C3A">
            <w:pPr>
              <w:pStyle w:val="87"/>
              <w:rPr>
                <w:rFonts w:hint="default" w:ascii="Times New Roman" w:hAnsi="Times New Roman" w:eastAsia="宋体" w:cs="Times New Roman"/>
              </w:rPr>
            </w:pPr>
            <w:r>
              <w:rPr>
                <w:rFonts w:hint="default" w:ascii="Times New Roman" w:hAnsi="Times New Roman" w:eastAsia="宋体" w:cs="Times New Roman"/>
                <w:lang w:bidi="ar"/>
              </w:rPr>
              <w:t>水井</w:t>
            </w:r>
          </w:p>
        </w:tc>
        <w:tc>
          <w:tcPr>
            <w:tcW w:w="1810" w:type="pct"/>
            <w:tcBorders>
              <w:top w:val="nil"/>
              <w:left w:val="nil"/>
              <w:bottom w:val="single" w:color="auto" w:sz="4" w:space="0"/>
              <w:right w:val="single" w:color="auto" w:sz="4" w:space="0"/>
            </w:tcBorders>
            <w:noWrap/>
            <w:vAlign w:val="center"/>
          </w:tcPr>
          <w:p w14:paraId="0E7F36C0">
            <w:pPr>
              <w:pStyle w:val="87"/>
              <w:rPr>
                <w:rFonts w:hint="default" w:ascii="Times New Roman" w:hAnsi="Times New Roman" w:eastAsia="宋体" w:cs="Times New Roman"/>
              </w:rPr>
            </w:pPr>
            <w:r>
              <w:rPr>
                <w:rFonts w:hint="default" w:ascii="Times New Roman" w:hAnsi="Times New Roman" w:eastAsia="宋体" w:cs="Times New Roman"/>
                <w:color w:val="auto"/>
                <w:sz w:val="22"/>
                <w:szCs w:val="22"/>
                <w:lang w:val="en-US" w:eastAsia="zh-CN"/>
              </w:rPr>
              <w:t>拟改建管线北侧，下游</w:t>
            </w:r>
          </w:p>
        </w:tc>
      </w:tr>
    </w:tbl>
    <w:p w14:paraId="3A49EB5E">
      <w:pPr>
        <w:pStyle w:val="93"/>
        <w:ind w:firstLine="520"/>
        <w:rPr>
          <w:rFonts w:hint="default" w:ascii="Times New Roman" w:hAnsi="Times New Roman" w:eastAsia="宋体" w:cs="Times New Roman"/>
        </w:rPr>
      </w:pPr>
    </w:p>
    <w:p w14:paraId="446B77EE">
      <w:pPr>
        <w:pStyle w:val="93"/>
        <w:ind w:firstLine="520"/>
        <w:rPr>
          <w:rFonts w:hint="default" w:ascii="Times New Roman" w:hAnsi="Times New Roman" w:eastAsia="宋体" w:cs="Times New Roman"/>
        </w:rPr>
      </w:pPr>
      <w:r>
        <w:rPr>
          <w:rFonts w:hint="default" w:ascii="Times New Roman" w:hAnsi="Times New Roman" w:eastAsia="宋体" w:cs="Times New Roman"/>
        </w:rPr>
        <w:t>（2）监测因子</w:t>
      </w:r>
    </w:p>
    <w:p w14:paraId="5BACB32B">
      <w:pPr>
        <w:pStyle w:val="93"/>
        <w:ind w:firstLine="520"/>
        <w:rPr>
          <w:rFonts w:hint="default" w:ascii="Times New Roman" w:hAnsi="Times New Roman" w:eastAsia="宋体" w:cs="Times New Roman"/>
          <w:bCs/>
          <w:sz w:val="26"/>
          <w:szCs w:val="26"/>
        </w:rPr>
      </w:pPr>
      <w:r>
        <w:rPr>
          <w:rFonts w:hint="default" w:ascii="Times New Roman" w:hAnsi="Times New Roman" w:eastAsia="宋体" w:cs="Times New Roman"/>
          <w:color w:val="auto"/>
          <w:sz w:val="26"/>
          <w:szCs w:val="26"/>
        </w:rPr>
        <w:t>pH、氨氮、硝酸盐、亚硝酸盐、挥发性酚类、氰化物、砷、汞、铬（六价）、总硬度、铅、氟化物、镉、铁、锰、溶解性总固体、</w:t>
      </w:r>
      <w:r>
        <w:rPr>
          <w:rFonts w:hint="default" w:ascii="Times New Roman" w:hAnsi="Times New Roman" w:eastAsia="宋体" w:cs="Times New Roman"/>
          <w:color w:val="auto"/>
          <w:sz w:val="26"/>
          <w:szCs w:val="26"/>
          <w:lang w:val="en-US" w:eastAsia="zh-CN"/>
        </w:rPr>
        <w:t>高锰酸盐指数</w:t>
      </w:r>
      <w:r>
        <w:rPr>
          <w:rFonts w:hint="default" w:ascii="Times New Roman" w:hAnsi="Times New Roman" w:eastAsia="宋体" w:cs="Times New Roman"/>
          <w:color w:val="auto"/>
          <w:sz w:val="26"/>
          <w:szCs w:val="26"/>
        </w:rPr>
        <w:t>、硫酸盐、总大肠菌群、菌落总数、钡</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石油类、氯化物、COD</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bCs/>
          <w:color w:val="auto"/>
          <w:sz w:val="26"/>
          <w:szCs w:val="26"/>
        </w:rPr>
        <w:t>K</w:t>
      </w:r>
      <w:r>
        <w:rPr>
          <w:rFonts w:hint="default" w:ascii="Times New Roman" w:hAnsi="Times New Roman" w:eastAsia="宋体" w:cs="Times New Roman"/>
          <w:bCs/>
          <w:color w:val="auto"/>
          <w:sz w:val="26"/>
          <w:szCs w:val="26"/>
          <w:vertAlign w:val="superscript"/>
        </w:rPr>
        <w:t>+</w:t>
      </w:r>
      <w:r>
        <w:rPr>
          <w:rFonts w:hint="default" w:ascii="Times New Roman" w:hAnsi="Times New Roman" w:eastAsia="宋体" w:cs="Times New Roman"/>
          <w:bCs/>
          <w:color w:val="auto"/>
          <w:sz w:val="26"/>
          <w:szCs w:val="26"/>
        </w:rPr>
        <w:t>、Na</w:t>
      </w:r>
      <w:r>
        <w:rPr>
          <w:rFonts w:hint="default" w:ascii="Times New Roman" w:hAnsi="Times New Roman" w:eastAsia="宋体" w:cs="Times New Roman"/>
          <w:bCs/>
          <w:color w:val="auto"/>
          <w:sz w:val="26"/>
          <w:szCs w:val="26"/>
          <w:vertAlign w:val="superscript"/>
        </w:rPr>
        <w:t>+</w:t>
      </w:r>
      <w:r>
        <w:rPr>
          <w:rFonts w:hint="default" w:ascii="Times New Roman" w:hAnsi="Times New Roman" w:eastAsia="宋体" w:cs="Times New Roman"/>
          <w:bCs/>
          <w:color w:val="auto"/>
          <w:sz w:val="26"/>
          <w:szCs w:val="26"/>
        </w:rPr>
        <w:t>、Ca</w:t>
      </w:r>
      <w:r>
        <w:rPr>
          <w:rFonts w:hint="default" w:ascii="Times New Roman" w:hAnsi="Times New Roman" w:eastAsia="宋体" w:cs="Times New Roman"/>
          <w:bCs/>
          <w:color w:val="auto"/>
          <w:sz w:val="26"/>
          <w:szCs w:val="26"/>
          <w:vertAlign w:val="superscript"/>
        </w:rPr>
        <w:t>2+</w:t>
      </w:r>
      <w:r>
        <w:rPr>
          <w:rFonts w:hint="default" w:ascii="Times New Roman" w:hAnsi="Times New Roman" w:eastAsia="宋体" w:cs="Times New Roman"/>
          <w:bCs/>
          <w:color w:val="auto"/>
          <w:sz w:val="26"/>
          <w:szCs w:val="26"/>
        </w:rPr>
        <w:t>、Mg</w:t>
      </w:r>
      <w:r>
        <w:rPr>
          <w:rFonts w:hint="default" w:ascii="Times New Roman" w:hAnsi="Times New Roman" w:eastAsia="宋体" w:cs="Times New Roman"/>
          <w:bCs/>
          <w:color w:val="auto"/>
          <w:sz w:val="26"/>
          <w:szCs w:val="26"/>
          <w:vertAlign w:val="superscript"/>
        </w:rPr>
        <w:t>2+</w:t>
      </w:r>
      <w:r>
        <w:rPr>
          <w:rFonts w:hint="default" w:ascii="Times New Roman" w:hAnsi="Times New Roman" w:eastAsia="宋体" w:cs="Times New Roman"/>
          <w:bCs/>
          <w:color w:val="auto"/>
          <w:sz w:val="26"/>
          <w:szCs w:val="26"/>
        </w:rPr>
        <w:t>、CO</w:t>
      </w:r>
      <w:r>
        <w:rPr>
          <w:rFonts w:hint="default" w:ascii="Times New Roman" w:hAnsi="Times New Roman" w:eastAsia="宋体" w:cs="Times New Roman"/>
          <w:bCs/>
          <w:color w:val="auto"/>
          <w:sz w:val="26"/>
          <w:szCs w:val="26"/>
          <w:vertAlign w:val="subscript"/>
        </w:rPr>
        <w:t>3</w:t>
      </w:r>
      <w:r>
        <w:rPr>
          <w:rFonts w:hint="default" w:ascii="Times New Roman" w:hAnsi="Times New Roman" w:eastAsia="宋体" w:cs="Times New Roman"/>
          <w:bCs/>
          <w:color w:val="auto"/>
          <w:sz w:val="26"/>
          <w:szCs w:val="26"/>
          <w:vertAlign w:val="superscript"/>
        </w:rPr>
        <w:t>-</w:t>
      </w:r>
      <w:r>
        <w:rPr>
          <w:rFonts w:hint="default" w:ascii="Times New Roman" w:hAnsi="Times New Roman" w:eastAsia="宋体" w:cs="Times New Roman"/>
          <w:bCs/>
          <w:color w:val="auto"/>
          <w:sz w:val="26"/>
          <w:szCs w:val="26"/>
        </w:rPr>
        <w:t>、HCO</w:t>
      </w:r>
      <w:r>
        <w:rPr>
          <w:rFonts w:hint="default" w:ascii="Times New Roman" w:hAnsi="Times New Roman" w:eastAsia="宋体" w:cs="Times New Roman"/>
          <w:bCs/>
          <w:color w:val="auto"/>
          <w:sz w:val="26"/>
          <w:szCs w:val="26"/>
          <w:vertAlign w:val="subscript"/>
        </w:rPr>
        <w:t>3</w:t>
      </w:r>
      <w:r>
        <w:rPr>
          <w:rFonts w:hint="default" w:ascii="Times New Roman" w:hAnsi="Times New Roman" w:eastAsia="宋体" w:cs="Times New Roman"/>
          <w:bCs/>
          <w:color w:val="auto"/>
          <w:sz w:val="26"/>
          <w:szCs w:val="26"/>
          <w:vertAlign w:val="superscript"/>
        </w:rPr>
        <w:t>-</w:t>
      </w:r>
      <w:r>
        <w:rPr>
          <w:rFonts w:hint="default" w:ascii="Times New Roman" w:hAnsi="Times New Roman" w:eastAsia="宋体" w:cs="Times New Roman"/>
          <w:bCs/>
          <w:color w:val="auto"/>
          <w:sz w:val="26"/>
          <w:szCs w:val="26"/>
        </w:rPr>
        <w:t>、Cl</w:t>
      </w:r>
      <w:r>
        <w:rPr>
          <w:rFonts w:hint="default" w:ascii="Times New Roman" w:hAnsi="Times New Roman" w:eastAsia="宋体" w:cs="Times New Roman"/>
          <w:bCs/>
          <w:color w:val="auto"/>
          <w:sz w:val="26"/>
          <w:szCs w:val="26"/>
          <w:vertAlign w:val="superscript"/>
        </w:rPr>
        <w:t>-</w:t>
      </w:r>
      <w:r>
        <w:rPr>
          <w:rFonts w:hint="default" w:ascii="Times New Roman" w:hAnsi="Times New Roman" w:eastAsia="宋体" w:cs="Times New Roman"/>
          <w:bCs/>
          <w:color w:val="auto"/>
          <w:sz w:val="26"/>
          <w:szCs w:val="26"/>
        </w:rPr>
        <w:t>、SO</w:t>
      </w:r>
      <w:r>
        <w:rPr>
          <w:rFonts w:hint="default" w:ascii="Times New Roman" w:hAnsi="Times New Roman" w:eastAsia="宋体" w:cs="Times New Roman"/>
          <w:bCs/>
          <w:color w:val="auto"/>
          <w:sz w:val="26"/>
          <w:szCs w:val="26"/>
          <w:vertAlign w:val="subscript"/>
        </w:rPr>
        <w:t>4</w:t>
      </w:r>
      <w:r>
        <w:rPr>
          <w:rFonts w:hint="default" w:ascii="Times New Roman" w:hAnsi="Times New Roman" w:eastAsia="宋体" w:cs="Times New Roman"/>
          <w:bCs/>
          <w:color w:val="auto"/>
          <w:sz w:val="26"/>
          <w:szCs w:val="26"/>
          <w:vertAlign w:val="superscript"/>
        </w:rPr>
        <w:t>2-</w:t>
      </w:r>
      <w:r>
        <w:rPr>
          <w:rFonts w:hint="default" w:ascii="Times New Roman" w:hAnsi="Times New Roman" w:eastAsia="宋体" w:cs="Times New Roman"/>
          <w:bCs/>
          <w:sz w:val="26"/>
          <w:szCs w:val="26"/>
        </w:rPr>
        <w:t>。</w:t>
      </w:r>
    </w:p>
    <w:p w14:paraId="6BCCD92A">
      <w:pPr>
        <w:pStyle w:val="93"/>
        <w:ind w:firstLine="520"/>
        <w:rPr>
          <w:rFonts w:hint="default" w:ascii="Times New Roman" w:hAnsi="Times New Roman" w:eastAsia="宋体" w:cs="Times New Roman"/>
        </w:rPr>
      </w:pPr>
      <w:r>
        <w:rPr>
          <w:rFonts w:hint="default" w:ascii="Times New Roman" w:hAnsi="Times New Roman" w:eastAsia="宋体" w:cs="Times New Roman"/>
        </w:rPr>
        <w:t>（3）监测频率</w:t>
      </w:r>
    </w:p>
    <w:p w14:paraId="66F07F87">
      <w:pPr>
        <w:pStyle w:val="93"/>
        <w:ind w:firstLine="520"/>
        <w:rPr>
          <w:rFonts w:hint="default" w:ascii="Times New Roman" w:hAnsi="Times New Roman" w:eastAsia="宋体" w:cs="Times New Roman"/>
        </w:rPr>
      </w:pPr>
      <w:r>
        <w:rPr>
          <w:rFonts w:hint="default" w:ascii="Times New Roman" w:hAnsi="Times New Roman" w:eastAsia="宋体" w:cs="Times New Roman"/>
        </w:rPr>
        <w:t>本次评价作一期监测，监测一次数据</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监测时间为2025年9月28日</w:t>
      </w:r>
      <w:r>
        <w:rPr>
          <w:rFonts w:hint="default" w:ascii="Times New Roman" w:hAnsi="Times New Roman" w:eastAsia="宋体" w:cs="Times New Roman"/>
        </w:rPr>
        <w:t>。监测分析方法按相关规范执行。</w:t>
      </w:r>
    </w:p>
    <w:p w14:paraId="47BDDDD0">
      <w:pPr>
        <w:pStyle w:val="93"/>
        <w:ind w:firstLine="520"/>
        <w:rPr>
          <w:rFonts w:hint="default" w:ascii="Times New Roman" w:hAnsi="Times New Roman" w:eastAsia="宋体" w:cs="Times New Roman"/>
        </w:rPr>
      </w:pPr>
      <w:r>
        <w:rPr>
          <w:rFonts w:hint="default" w:ascii="Times New Roman" w:hAnsi="Times New Roman" w:eastAsia="宋体" w:cs="Times New Roman"/>
        </w:rPr>
        <w:t>（4）评价方法</w:t>
      </w:r>
    </w:p>
    <w:p w14:paraId="39571407">
      <w:pPr>
        <w:pStyle w:val="93"/>
        <w:ind w:firstLine="520"/>
        <w:rPr>
          <w:rFonts w:hint="default" w:ascii="Times New Roman" w:hAnsi="Times New Roman" w:eastAsia="宋体" w:cs="Times New Roman"/>
        </w:rPr>
      </w:pPr>
      <w:r>
        <w:rPr>
          <w:rFonts w:hint="default" w:ascii="Times New Roman" w:hAnsi="Times New Roman" w:eastAsia="宋体" w:cs="Times New Roman"/>
        </w:rPr>
        <w:t>本次地下水水质现状评价采用标准指数法进行评价。</w:t>
      </w:r>
    </w:p>
    <w:p w14:paraId="2E83FB87">
      <w:pPr>
        <w:pStyle w:val="93"/>
        <w:ind w:firstLine="520"/>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shd w:val="clear" w:fill="FFFFFF"/>
        </w:rPr>
        <w:t>）</w:t>
      </w:r>
      <w:r>
        <w:rPr>
          <w:rFonts w:hint="default" w:ascii="Times New Roman" w:hAnsi="Times New Roman" w:eastAsia="宋体" w:cs="Times New Roman"/>
        </w:rPr>
        <w:t>对于评价标准为定值的水质因子，其标准指数计算公式为：</w:t>
      </w:r>
    </w:p>
    <w:p w14:paraId="624B7C07">
      <w:pPr>
        <w:jc w:val="center"/>
        <w:rPr>
          <w:rFonts w:hint="default" w:ascii="Times New Roman" w:hAnsi="Times New Roman" w:eastAsia="宋体" w:cs="Times New Roman"/>
          <w:bCs/>
          <w:sz w:val="26"/>
          <w:szCs w:val="26"/>
        </w:rPr>
      </w:pPr>
      <w:r>
        <w:rPr>
          <w:rFonts w:hint="default" w:ascii="Times New Roman" w:hAnsi="Times New Roman" w:eastAsia="宋体" w:cs="Times New Roman"/>
          <w:sz w:val="26"/>
          <w:szCs w:val="26"/>
        </w:rPr>
        <w:drawing>
          <wp:inline distT="0" distB="0" distL="114300" distR="114300">
            <wp:extent cx="535305" cy="431165"/>
            <wp:effectExtent l="0" t="0" r="0" b="6350"/>
            <wp:docPr id="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0"/>
                    <pic:cNvPicPr>
                      <a:picLocks noChangeAspect="1"/>
                    </pic:cNvPicPr>
                  </pic:nvPicPr>
                  <pic:blipFill>
                    <a:blip r:embed="rId10"/>
                    <a:stretch>
                      <a:fillRect/>
                    </a:stretch>
                  </pic:blipFill>
                  <pic:spPr>
                    <a:xfrm>
                      <a:off x="0" y="0"/>
                      <a:ext cx="535305" cy="431165"/>
                    </a:xfrm>
                    <a:prstGeom prst="rect">
                      <a:avLst/>
                    </a:prstGeom>
                    <a:noFill/>
                    <a:ln>
                      <a:noFill/>
                    </a:ln>
                  </pic:spPr>
                </pic:pic>
              </a:graphicData>
            </a:graphic>
          </wp:inline>
        </w:drawing>
      </w:r>
    </w:p>
    <w:p w14:paraId="5322B351">
      <w:pPr>
        <w:pStyle w:val="93"/>
        <w:ind w:firstLine="520"/>
        <w:rPr>
          <w:rFonts w:hint="default" w:ascii="Times New Roman" w:hAnsi="Times New Roman" w:eastAsia="宋体" w:cs="Times New Roman"/>
        </w:rPr>
      </w:pPr>
      <w:r>
        <w:rPr>
          <w:rFonts w:hint="default" w:ascii="Times New Roman" w:hAnsi="Times New Roman" w:eastAsia="宋体" w:cs="Times New Roman"/>
        </w:rPr>
        <w:t>式中：</w:t>
      </w:r>
    </w:p>
    <w:p w14:paraId="0A7607EB">
      <w:pPr>
        <w:pStyle w:val="93"/>
        <w:ind w:firstLine="520"/>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114300" distR="114300">
            <wp:extent cx="143510" cy="169545"/>
            <wp:effectExtent l="0" t="0" r="8890" b="1270"/>
            <wp:docPr id="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1"/>
                    <pic:cNvPicPr>
                      <a:picLocks noChangeAspect="1"/>
                    </pic:cNvPicPr>
                  </pic:nvPicPr>
                  <pic:blipFill>
                    <a:blip r:embed="rId11"/>
                    <a:stretch>
                      <a:fillRect/>
                    </a:stretch>
                  </pic:blipFill>
                  <pic:spPr>
                    <a:xfrm>
                      <a:off x="0" y="0"/>
                      <a:ext cx="143510" cy="169545"/>
                    </a:xfrm>
                    <a:prstGeom prst="rect">
                      <a:avLst/>
                    </a:prstGeom>
                    <a:noFill/>
                    <a:ln>
                      <a:noFill/>
                    </a:ln>
                  </pic:spPr>
                </pic:pic>
              </a:graphicData>
            </a:graphic>
          </wp:inline>
        </w:drawing>
      </w:r>
      <w:r>
        <w:rPr>
          <w:rFonts w:hint="default" w:ascii="Times New Roman" w:hAnsi="Times New Roman" w:eastAsia="宋体" w:cs="Times New Roman"/>
        </w:rPr>
        <w:t>— 第i个水质因子的标准指数，无量纲；</w:t>
      </w:r>
    </w:p>
    <w:p w14:paraId="20D6FBF8">
      <w:pPr>
        <w:pStyle w:val="93"/>
        <w:ind w:firstLine="520"/>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114300" distR="114300">
            <wp:extent cx="143510" cy="169545"/>
            <wp:effectExtent l="0" t="0" r="8890" b="1270"/>
            <wp:docPr id="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pic:cNvPicPr>
                      <a:picLocks noChangeAspect="1"/>
                    </pic:cNvPicPr>
                  </pic:nvPicPr>
                  <pic:blipFill>
                    <a:blip r:embed="rId12"/>
                    <a:stretch>
                      <a:fillRect/>
                    </a:stretch>
                  </pic:blipFill>
                  <pic:spPr>
                    <a:xfrm>
                      <a:off x="0" y="0"/>
                      <a:ext cx="143510" cy="169545"/>
                    </a:xfrm>
                    <a:prstGeom prst="rect">
                      <a:avLst/>
                    </a:prstGeom>
                    <a:noFill/>
                    <a:ln>
                      <a:noFill/>
                    </a:ln>
                  </pic:spPr>
                </pic:pic>
              </a:graphicData>
            </a:graphic>
          </wp:inline>
        </w:drawing>
      </w:r>
      <w:r>
        <w:rPr>
          <w:rFonts w:hint="default" w:ascii="Times New Roman" w:hAnsi="Times New Roman" w:eastAsia="宋体" w:cs="Times New Roman"/>
        </w:rPr>
        <w:t>— 第i个水质因子的监测浓度值，mg/L；</w:t>
      </w:r>
    </w:p>
    <w:p w14:paraId="611561D0">
      <w:pPr>
        <w:pStyle w:val="93"/>
        <w:ind w:firstLine="520"/>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114300" distR="114300">
            <wp:extent cx="208915" cy="169545"/>
            <wp:effectExtent l="0" t="0" r="635" b="1270"/>
            <wp:docPr id="6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3"/>
                    <pic:cNvPicPr>
                      <a:picLocks noChangeAspect="1"/>
                    </pic:cNvPicPr>
                  </pic:nvPicPr>
                  <pic:blipFill>
                    <a:blip r:embed="rId13"/>
                    <a:stretch>
                      <a:fillRect/>
                    </a:stretch>
                  </pic:blipFill>
                  <pic:spPr>
                    <a:xfrm>
                      <a:off x="0" y="0"/>
                      <a:ext cx="208915" cy="169545"/>
                    </a:xfrm>
                    <a:prstGeom prst="rect">
                      <a:avLst/>
                    </a:prstGeom>
                    <a:noFill/>
                    <a:ln>
                      <a:noFill/>
                    </a:ln>
                  </pic:spPr>
                </pic:pic>
              </a:graphicData>
            </a:graphic>
          </wp:inline>
        </w:drawing>
      </w:r>
      <w:r>
        <w:rPr>
          <w:rFonts w:hint="default" w:ascii="Times New Roman" w:hAnsi="Times New Roman" w:eastAsia="宋体" w:cs="Times New Roman"/>
        </w:rPr>
        <w:t>— 第i个水质因子的标准浓度值，mg/L。</w:t>
      </w:r>
    </w:p>
    <w:p w14:paraId="532F2206">
      <w:pPr>
        <w:pStyle w:val="93"/>
        <w:ind w:firstLine="520"/>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shd w:val="clear" w:fill="FFFFFF"/>
        </w:rPr>
        <w:t>）</w:t>
      </w:r>
      <w:r>
        <w:rPr>
          <w:rFonts w:hint="default" w:ascii="Times New Roman" w:hAnsi="Times New Roman" w:eastAsia="宋体" w:cs="Times New Roman"/>
        </w:rPr>
        <w:t>对于评价标准为区间值的水质因子（如pH值），其标准指数计算公式为：</w:t>
      </w:r>
    </w:p>
    <w:p w14:paraId="531E0328">
      <w:pPr>
        <w:jc w:val="center"/>
        <w:rPr>
          <w:rFonts w:hint="default" w:ascii="Times New Roman" w:hAnsi="Times New Roman" w:eastAsia="宋体" w:cs="Times New Roman"/>
          <w:bCs/>
          <w:sz w:val="26"/>
          <w:szCs w:val="26"/>
        </w:rPr>
      </w:pPr>
      <w:r>
        <w:rPr>
          <w:rFonts w:hint="default" w:ascii="Times New Roman" w:hAnsi="Times New Roman" w:eastAsia="宋体" w:cs="Times New Roman"/>
          <w:sz w:val="26"/>
          <w:szCs w:val="26"/>
        </w:rPr>
        <w:drawing>
          <wp:inline distT="0" distB="0" distL="114300" distR="114300">
            <wp:extent cx="1122680" cy="431165"/>
            <wp:effectExtent l="0" t="0" r="0" b="6350"/>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pic:cNvPicPr>
                  </pic:nvPicPr>
                  <pic:blipFill>
                    <a:blip r:embed="rId14"/>
                    <a:stretch>
                      <a:fillRect/>
                    </a:stretch>
                  </pic:blipFill>
                  <pic:spPr>
                    <a:xfrm>
                      <a:off x="0" y="0"/>
                      <a:ext cx="1122680" cy="431165"/>
                    </a:xfrm>
                    <a:prstGeom prst="rect">
                      <a:avLst/>
                    </a:prstGeom>
                    <a:noFill/>
                    <a:ln>
                      <a:noFill/>
                    </a:ln>
                  </pic:spPr>
                </pic:pic>
              </a:graphicData>
            </a:graphic>
          </wp:inline>
        </w:drawing>
      </w:r>
      <w:r>
        <w:rPr>
          <w:rFonts w:hint="default" w:ascii="Times New Roman" w:hAnsi="Times New Roman" w:eastAsia="宋体" w:cs="Times New Roman"/>
          <w:bCs/>
          <w:sz w:val="26"/>
          <w:szCs w:val="26"/>
        </w:rPr>
        <w:t>（</w:t>
      </w:r>
      <w:r>
        <w:rPr>
          <w:rFonts w:hint="default" w:ascii="Times New Roman" w:hAnsi="Times New Roman" w:eastAsia="宋体" w:cs="Times New Roman"/>
          <w:sz w:val="26"/>
          <w:szCs w:val="26"/>
        </w:rPr>
        <w:drawing>
          <wp:inline distT="0" distB="0" distL="114300" distR="114300">
            <wp:extent cx="509270" cy="209550"/>
            <wp:effectExtent l="0" t="0" r="508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5"/>
                    <pic:cNvPicPr>
                      <a:picLocks noChangeAspect="1"/>
                    </pic:cNvPicPr>
                  </pic:nvPicPr>
                  <pic:blipFill>
                    <a:blip r:embed="rId15"/>
                    <a:stretch>
                      <a:fillRect/>
                    </a:stretch>
                  </pic:blipFill>
                  <pic:spPr>
                    <a:xfrm>
                      <a:off x="0" y="0"/>
                      <a:ext cx="509270" cy="209550"/>
                    </a:xfrm>
                    <a:prstGeom prst="rect">
                      <a:avLst/>
                    </a:prstGeom>
                    <a:noFill/>
                    <a:ln>
                      <a:noFill/>
                    </a:ln>
                  </pic:spPr>
                </pic:pic>
              </a:graphicData>
            </a:graphic>
          </wp:inline>
        </w:drawing>
      </w:r>
      <w:r>
        <w:rPr>
          <w:rFonts w:hint="default" w:ascii="Times New Roman" w:hAnsi="Times New Roman" w:eastAsia="宋体" w:cs="Times New Roman"/>
          <w:bCs/>
          <w:sz w:val="26"/>
          <w:szCs w:val="26"/>
        </w:rPr>
        <w:t>）</w:t>
      </w:r>
    </w:p>
    <w:p w14:paraId="73B2EF9E">
      <w:pPr>
        <w:jc w:val="center"/>
        <w:rPr>
          <w:rFonts w:hint="default" w:ascii="Times New Roman" w:hAnsi="Times New Roman" w:eastAsia="宋体" w:cs="Times New Roman"/>
          <w:bCs/>
          <w:sz w:val="26"/>
          <w:szCs w:val="26"/>
        </w:rPr>
      </w:pPr>
      <w:r>
        <w:rPr>
          <w:rFonts w:hint="default" w:ascii="Times New Roman" w:hAnsi="Times New Roman" w:eastAsia="宋体" w:cs="Times New Roman"/>
          <w:sz w:val="26"/>
          <w:szCs w:val="26"/>
        </w:rPr>
        <w:drawing>
          <wp:inline distT="0" distB="0" distL="114300" distR="114300">
            <wp:extent cx="1122680" cy="431165"/>
            <wp:effectExtent l="0" t="0" r="1270" b="6350"/>
            <wp:docPr id="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pic:cNvPicPr>
                      <a:picLocks noChangeAspect="1"/>
                    </pic:cNvPicPr>
                  </pic:nvPicPr>
                  <pic:blipFill>
                    <a:blip r:embed="rId16"/>
                    <a:stretch>
                      <a:fillRect/>
                    </a:stretch>
                  </pic:blipFill>
                  <pic:spPr>
                    <a:xfrm>
                      <a:off x="0" y="0"/>
                      <a:ext cx="1122680" cy="431165"/>
                    </a:xfrm>
                    <a:prstGeom prst="rect">
                      <a:avLst/>
                    </a:prstGeom>
                    <a:noFill/>
                    <a:ln>
                      <a:noFill/>
                    </a:ln>
                  </pic:spPr>
                </pic:pic>
              </a:graphicData>
            </a:graphic>
          </wp:inline>
        </w:drawing>
      </w:r>
      <w:r>
        <w:rPr>
          <w:rFonts w:hint="default" w:ascii="Times New Roman" w:hAnsi="Times New Roman" w:eastAsia="宋体" w:cs="Times New Roman"/>
          <w:bCs/>
          <w:sz w:val="26"/>
          <w:szCs w:val="26"/>
        </w:rPr>
        <w:t>（</w:t>
      </w:r>
      <w:r>
        <w:rPr>
          <w:rFonts w:hint="default" w:ascii="Times New Roman" w:hAnsi="Times New Roman" w:eastAsia="宋体" w:cs="Times New Roman"/>
          <w:sz w:val="26"/>
          <w:szCs w:val="26"/>
        </w:rPr>
        <w:drawing>
          <wp:inline distT="0" distB="0" distL="114300" distR="114300">
            <wp:extent cx="405130" cy="209550"/>
            <wp:effectExtent l="0" t="0" r="13970" b="0"/>
            <wp:docPr id="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7"/>
                    <pic:cNvPicPr>
                      <a:picLocks noChangeAspect="1"/>
                    </pic:cNvPicPr>
                  </pic:nvPicPr>
                  <pic:blipFill>
                    <a:blip r:embed="rId17"/>
                    <a:stretch>
                      <a:fillRect/>
                    </a:stretch>
                  </pic:blipFill>
                  <pic:spPr>
                    <a:xfrm>
                      <a:off x="0" y="0"/>
                      <a:ext cx="405130" cy="209550"/>
                    </a:xfrm>
                    <a:prstGeom prst="rect">
                      <a:avLst/>
                    </a:prstGeom>
                    <a:noFill/>
                    <a:ln>
                      <a:noFill/>
                    </a:ln>
                  </pic:spPr>
                </pic:pic>
              </a:graphicData>
            </a:graphic>
          </wp:inline>
        </w:drawing>
      </w:r>
      <w:r>
        <w:rPr>
          <w:rFonts w:hint="default" w:ascii="Times New Roman" w:hAnsi="Times New Roman" w:eastAsia="宋体" w:cs="Times New Roman"/>
          <w:bCs/>
          <w:sz w:val="26"/>
          <w:szCs w:val="26"/>
        </w:rPr>
        <w:t>时）</w:t>
      </w:r>
    </w:p>
    <w:p w14:paraId="64FE714E">
      <w:pPr>
        <w:pStyle w:val="93"/>
        <w:ind w:firstLine="520"/>
        <w:rPr>
          <w:rFonts w:hint="default" w:ascii="Times New Roman" w:hAnsi="Times New Roman" w:eastAsia="宋体" w:cs="Times New Roman"/>
        </w:rPr>
      </w:pPr>
      <w:r>
        <w:rPr>
          <w:rFonts w:hint="default" w:ascii="Times New Roman" w:hAnsi="Times New Roman" w:eastAsia="宋体" w:cs="Times New Roman"/>
        </w:rPr>
        <w:t>式中：</w:t>
      </w:r>
    </w:p>
    <w:p w14:paraId="25DBBDDD">
      <w:pPr>
        <w:pStyle w:val="93"/>
        <w:ind w:firstLine="520"/>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114300" distR="114300">
            <wp:extent cx="222250" cy="208915"/>
            <wp:effectExtent l="0" t="0" r="0" b="63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pic:cNvPicPr>
                  </pic:nvPicPr>
                  <pic:blipFill>
                    <a:blip r:embed="rId18"/>
                    <a:stretch>
                      <a:fillRect/>
                    </a:stretch>
                  </pic:blipFill>
                  <pic:spPr>
                    <a:xfrm>
                      <a:off x="0" y="0"/>
                      <a:ext cx="222250" cy="208915"/>
                    </a:xfrm>
                    <a:prstGeom prst="rect">
                      <a:avLst/>
                    </a:prstGeom>
                    <a:noFill/>
                    <a:ln>
                      <a:noFill/>
                    </a:ln>
                  </pic:spPr>
                </pic:pic>
              </a:graphicData>
            </a:graphic>
          </wp:inline>
        </w:drawing>
      </w:r>
      <w:r>
        <w:rPr>
          <w:rFonts w:hint="default" w:ascii="Times New Roman" w:hAnsi="Times New Roman" w:eastAsia="宋体" w:cs="Times New Roman"/>
        </w:rPr>
        <w:t>—pH的标准指数，无量纲；</w:t>
      </w:r>
    </w:p>
    <w:p w14:paraId="218296D2">
      <w:pPr>
        <w:pStyle w:val="93"/>
        <w:ind w:firstLine="520"/>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114300" distR="114300">
            <wp:extent cx="248285" cy="169545"/>
            <wp:effectExtent l="0" t="0" r="18415" b="1905"/>
            <wp:docPr id="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9"/>
                    <pic:cNvPicPr>
                      <a:picLocks noChangeAspect="1"/>
                    </pic:cNvPicPr>
                  </pic:nvPicPr>
                  <pic:blipFill>
                    <a:blip r:embed="rId19"/>
                    <a:stretch>
                      <a:fillRect/>
                    </a:stretch>
                  </pic:blipFill>
                  <pic:spPr>
                    <a:xfrm>
                      <a:off x="0" y="0"/>
                      <a:ext cx="248285" cy="169545"/>
                    </a:xfrm>
                    <a:prstGeom prst="rect">
                      <a:avLst/>
                    </a:prstGeom>
                    <a:noFill/>
                    <a:ln>
                      <a:noFill/>
                    </a:ln>
                  </pic:spPr>
                </pic:pic>
              </a:graphicData>
            </a:graphic>
          </wp:inline>
        </w:drawing>
      </w:r>
      <w:r>
        <w:rPr>
          <w:rFonts w:hint="default" w:ascii="Times New Roman" w:hAnsi="Times New Roman" w:eastAsia="宋体" w:cs="Times New Roman"/>
        </w:rPr>
        <w:t>—pH监测值；</w:t>
      </w:r>
    </w:p>
    <w:p w14:paraId="647BA661">
      <w:pPr>
        <w:pStyle w:val="93"/>
        <w:ind w:firstLine="520"/>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114300" distR="114300">
            <wp:extent cx="365760" cy="208915"/>
            <wp:effectExtent l="0" t="0" r="15240" b="635"/>
            <wp:docPr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pic:cNvPicPr>
                      <a:picLocks noChangeAspect="1"/>
                    </pic:cNvPicPr>
                  </pic:nvPicPr>
                  <pic:blipFill>
                    <a:blip r:embed="rId20"/>
                    <a:stretch>
                      <a:fillRect/>
                    </a:stretch>
                  </pic:blipFill>
                  <pic:spPr>
                    <a:xfrm>
                      <a:off x="0" y="0"/>
                      <a:ext cx="365760" cy="208915"/>
                    </a:xfrm>
                    <a:prstGeom prst="rect">
                      <a:avLst/>
                    </a:prstGeom>
                    <a:noFill/>
                    <a:ln>
                      <a:noFill/>
                    </a:ln>
                  </pic:spPr>
                </pic:pic>
              </a:graphicData>
            </a:graphic>
          </wp:inline>
        </w:drawing>
      </w:r>
      <w:r>
        <w:rPr>
          <w:rFonts w:hint="default" w:ascii="Times New Roman" w:hAnsi="Times New Roman" w:eastAsia="宋体" w:cs="Times New Roman"/>
        </w:rPr>
        <w:t>—标准中pH的下限值；</w:t>
      </w:r>
    </w:p>
    <w:p w14:paraId="49DC19AF">
      <w:pPr>
        <w:pStyle w:val="93"/>
        <w:ind w:firstLine="520"/>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rPr>
        <w:drawing>
          <wp:inline distT="0" distB="0" distL="114300" distR="114300">
            <wp:extent cx="365760" cy="208915"/>
            <wp:effectExtent l="0" t="0" r="15240" b="635"/>
            <wp:docPr id="7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1"/>
                    <pic:cNvPicPr>
                      <a:picLocks noChangeAspect="1"/>
                    </pic:cNvPicPr>
                  </pic:nvPicPr>
                  <pic:blipFill>
                    <a:blip r:embed="rId21"/>
                    <a:stretch>
                      <a:fillRect/>
                    </a:stretch>
                  </pic:blipFill>
                  <pic:spPr>
                    <a:xfrm>
                      <a:off x="0" y="0"/>
                      <a:ext cx="365760" cy="208915"/>
                    </a:xfrm>
                    <a:prstGeom prst="rect">
                      <a:avLst/>
                    </a:prstGeom>
                    <a:noFill/>
                    <a:ln>
                      <a:noFill/>
                    </a:ln>
                  </pic:spPr>
                </pic:pic>
              </a:graphicData>
            </a:graphic>
          </wp:inline>
        </w:drawing>
      </w:r>
      <w:r>
        <w:rPr>
          <w:rFonts w:hint="default" w:ascii="Times New Roman" w:hAnsi="Times New Roman" w:eastAsia="宋体" w:cs="Times New Roman"/>
        </w:rPr>
        <w:t>—标准中pH的上限值。</w:t>
      </w:r>
    </w:p>
    <w:p w14:paraId="5D45F46E">
      <w:pPr>
        <w:pStyle w:val="93"/>
        <w:ind w:firstLine="520"/>
        <w:rPr>
          <w:rFonts w:hint="default" w:ascii="Times New Roman" w:hAnsi="Times New Roman" w:eastAsia="宋体" w:cs="Times New Roman"/>
        </w:rPr>
      </w:pPr>
      <w:r>
        <w:rPr>
          <w:rFonts w:hint="default" w:ascii="Times New Roman" w:hAnsi="Times New Roman" w:eastAsia="宋体" w:cs="Times New Roman"/>
        </w:rPr>
        <w:t>如果计算出的标准指数&gt;1，则表明该水质因子已超过了规定的水质标准，指数值越大，超标越严重，反之则表明地下水水质在质量标准规定范围内，对周边地下水环境无影响。</w:t>
      </w:r>
    </w:p>
    <w:p w14:paraId="4059776E">
      <w:pPr>
        <w:pStyle w:val="93"/>
        <w:ind w:firstLine="520"/>
        <w:rPr>
          <w:rFonts w:hint="default" w:ascii="Times New Roman" w:hAnsi="Times New Roman" w:eastAsia="宋体" w:cs="Times New Roman"/>
        </w:rPr>
      </w:pPr>
      <w:r>
        <w:rPr>
          <w:rFonts w:hint="default" w:ascii="Times New Roman" w:hAnsi="Times New Roman" w:eastAsia="宋体" w:cs="Times New Roman"/>
        </w:rPr>
        <w:t>（5）地下水质量监测与评价结果</w:t>
      </w:r>
    </w:p>
    <w:p w14:paraId="706D1FDA">
      <w:pPr>
        <w:pStyle w:val="85"/>
        <w:rPr>
          <w:rFonts w:hint="default" w:ascii="Times New Roman" w:hAnsi="Times New Roman" w:eastAsia="宋体" w:cs="Times New Roman"/>
          <w:bCs/>
        </w:rPr>
      </w:pPr>
      <w:r>
        <w:rPr>
          <w:rFonts w:hint="default" w:ascii="Times New Roman" w:hAnsi="Times New Roman" w:eastAsia="宋体" w:cs="Times New Roman"/>
          <w:bCs/>
        </w:rPr>
        <w:t xml:space="preserve">表4.2-3  </w:t>
      </w:r>
      <w:r>
        <w:rPr>
          <w:rFonts w:hint="default" w:ascii="Times New Roman" w:hAnsi="Times New Roman" w:eastAsia="宋体" w:cs="Times New Roman"/>
        </w:rPr>
        <w:t>地下水质量现状统计分析结果表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979"/>
        <w:gridCol w:w="866"/>
        <w:gridCol w:w="1110"/>
        <w:gridCol w:w="690"/>
        <w:gridCol w:w="1050"/>
        <w:gridCol w:w="690"/>
        <w:gridCol w:w="1230"/>
        <w:gridCol w:w="749"/>
      </w:tblGrid>
      <w:tr w14:paraId="2AA4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4" w:type="pct"/>
            <w:vMerge w:val="restart"/>
            <w:noWrap/>
            <w:vAlign w:val="center"/>
          </w:tcPr>
          <w:p w14:paraId="6BDFB023">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547" w:type="pct"/>
            <w:vMerge w:val="restart"/>
            <w:noWrap w:val="0"/>
            <w:vAlign w:val="center"/>
          </w:tcPr>
          <w:p w14:paraId="0F1786C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484" w:type="pct"/>
            <w:vMerge w:val="restart"/>
            <w:noWrap/>
            <w:vAlign w:val="center"/>
          </w:tcPr>
          <w:p w14:paraId="02B8A90C">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w:t>
            </w:r>
          </w:p>
        </w:tc>
        <w:tc>
          <w:tcPr>
            <w:tcW w:w="3084" w:type="pct"/>
            <w:gridSpan w:val="6"/>
            <w:noWrap/>
            <w:vAlign w:val="center"/>
          </w:tcPr>
          <w:p w14:paraId="59894EE0">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监测结果</w:t>
            </w:r>
          </w:p>
        </w:tc>
      </w:tr>
      <w:tr w14:paraId="6BC8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84" w:type="pct"/>
            <w:vMerge w:val="continue"/>
            <w:noWrap w:val="0"/>
            <w:vAlign w:val="center"/>
          </w:tcPr>
          <w:p w14:paraId="7E5768BF">
            <w:pPr>
              <w:pStyle w:val="87"/>
              <w:rPr>
                <w:rFonts w:hint="default" w:ascii="Times New Roman" w:hAnsi="Times New Roman" w:eastAsia="宋体" w:cs="Times New Roman"/>
                <w:sz w:val="21"/>
                <w:szCs w:val="21"/>
              </w:rPr>
            </w:pPr>
          </w:p>
        </w:tc>
        <w:tc>
          <w:tcPr>
            <w:tcW w:w="547" w:type="pct"/>
            <w:vMerge w:val="continue"/>
            <w:noWrap w:val="0"/>
            <w:vAlign w:val="center"/>
          </w:tcPr>
          <w:p w14:paraId="4427D99A">
            <w:pPr>
              <w:pStyle w:val="87"/>
              <w:rPr>
                <w:rFonts w:hint="default" w:ascii="Times New Roman" w:hAnsi="Times New Roman" w:eastAsia="宋体" w:cs="Times New Roman"/>
                <w:sz w:val="21"/>
                <w:szCs w:val="21"/>
              </w:rPr>
            </w:pPr>
          </w:p>
        </w:tc>
        <w:tc>
          <w:tcPr>
            <w:tcW w:w="484" w:type="pct"/>
            <w:vMerge w:val="continue"/>
            <w:noWrap w:val="0"/>
            <w:vAlign w:val="center"/>
          </w:tcPr>
          <w:p w14:paraId="3C8201A5">
            <w:pPr>
              <w:pStyle w:val="87"/>
              <w:rPr>
                <w:rFonts w:hint="default" w:ascii="Times New Roman" w:hAnsi="Times New Roman" w:eastAsia="宋体" w:cs="Times New Roman"/>
                <w:sz w:val="21"/>
                <w:szCs w:val="21"/>
              </w:rPr>
            </w:pPr>
          </w:p>
        </w:tc>
        <w:tc>
          <w:tcPr>
            <w:tcW w:w="1006" w:type="pct"/>
            <w:gridSpan w:val="2"/>
            <w:noWrap/>
            <w:vAlign w:val="center"/>
          </w:tcPr>
          <w:p w14:paraId="5635790E">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V</w:t>
            </w:r>
            <w:r>
              <w:rPr>
                <w:rFonts w:hint="default" w:ascii="Times New Roman" w:hAnsi="Times New Roman" w:eastAsia="宋体" w:cs="Times New Roman"/>
                <w:sz w:val="21"/>
                <w:szCs w:val="21"/>
              </w:rPr>
              <w:t>1</w:t>
            </w:r>
          </w:p>
        </w:tc>
        <w:tc>
          <w:tcPr>
            <w:tcW w:w="972" w:type="pct"/>
            <w:gridSpan w:val="2"/>
            <w:noWrap/>
            <w:vAlign w:val="center"/>
          </w:tcPr>
          <w:p w14:paraId="6863D3A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V</w:t>
            </w:r>
            <w:r>
              <w:rPr>
                <w:rFonts w:hint="default" w:ascii="Times New Roman" w:hAnsi="Times New Roman" w:eastAsia="宋体" w:cs="Times New Roman"/>
                <w:sz w:val="21"/>
                <w:szCs w:val="21"/>
              </w:rPr>
              <w:t>2</w:t>
            </w:r>
          </w:p>
        </w:tc>
        <w:tc>
          <w:tcPr>
            <w:tcW w:w="1106" w:type="pct"/>
            <w:gridSpan w:val="2"/>
            <w:noWrap/>
            <w:vAlign w:val="center"/>
          </w:tcPr>
          <w:p w14:paraId="34FA791D">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V</w:t>
            </w:r>
            <w:r>
              <w:rPr>
                <w:rFonts w:hint="default" w:ascii="Times New Roman" w:hAnsi="Times New Roman" w:eastAsia="宋体" w:cs="Times New Roman"/>
                <w:sz w:val="21"/>
                <w:szCs w:val="21"/>
              </w:rPr>
              <w:t>3</w:t>
            </w:r>
          </w:p>
        </w:tc>
      </w:tr>
      <w:tr w14:paraId="7558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84" w:type="pct"/>
            <w:vMerge w:val="continue"/>
            <w:noWrap w:val="0"/>
            <w:vAlign w:val="center"/>
          </w:tcPr>
          <w:p w14:paraId="091245BE">
            <w:pPr>
              <w:pStyle w:val="87"/>
              <w:rPr>
                <w:rFonts w:hint="default" w:ascii="Times New Roman" w:hAnsi="Times New Roman" w:eastAsia="宋体" w:cs="Times New Roman"/>
                <w:sz w:val="21"/>
                <w:szCs w:val="21"/>
              </w:rPr>
            </w:pPr>
          </w:p>
        </w:tc>
        <w:tc>
          <w:tcPr>
            <w:tcW w:w="547" w:type="pct"/>
            <w:vMerge w:val="continue"/>
            <w:noWrap w:val="0"/>
            <w:vAlign w:val="center"/>
          </w:tcPr>
          <w:p w14:paraId="153688BD">
            <w:pPr>
              <w:pStyle w:val="87"/>
              <w:rPr>
                <w:rFonts w:hint="default" w:ascii="Times New Roman" w:hAnsi="Times New Roman" w:eastAsia="宋体" w:cs="Times New Roman"/>
                <w:sz w:val="21"/>
                <w:szCs w:val="21"/>
              </w:rPr>
            </w:pPr>
          </w:p>
        </w:tc>
        <w:tc>
          <w:tcPr>
            <w:tcW w:w="484" w:type="pct"/>
            <w:vMerge w:val="continue"/>
            <w:noWrap w:val="0"/>
            <w:vAlign w:val="center"/>
          </w:tcPr>
          <w:p w14:paraId="6C851FA2">
            <w:pPr>
              <w:pStyle w:val="87"/>
              <w:rPr>
                <w:rFonts w:hint="default" w:ascii="Times New Roman" w:hAnsi="Times New Roman" w:eastAsia="宋体" w:cs="Times New Roman"/>
                <w:sz w:val="21"/>
                <w:szCs w:val="21"/>
              </w:rPr>
            </w:pPr>
          </w:p>
        </w:tc>
        <w:tc>
          <w:tcPr>
            <w:tcW w:w="620" w:type="pct"/>
            <w:noWrap/>
            <w:vAlign w:val="center"/>
          </w:tcPr>
          <w:p w14:paraId="70313A2C">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检测值</w:t>
            </w:r>
          </w:p>
        </w:tc>
        <w:tc>
          <w:tcPr>
            <w:tcW w:w="385" w:type="pct"/>
            <w:noWrap/>
            <w:vAlign w:val="center"/>
          </w:tcPr>
          <w:p w14:paraId="1DD2F571">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Pi</w:t>
            </w:r>
          </w:p>
        </w:tc>
        <w:tc>
          <w:tcPr>
            <w:tcW w:w="586" w:type="pct"/>
            <w:noWrap/>
            <w:vAlign w:val="center"/>
          </w:tcPr>
          <w:p w14:paraId="36994459">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检测值</w:t>
            </w:r>
          </w:p>
        </w:tc>
        <w:tc>
          <w:tcPr>
            <w:tcW w:w="385" w:type="pct"/>
            <w:noWrap/>
            <w:vAlign w:val="center"/>
          </w:tcPr>
          <w:p w14:paraId="0544D268">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Pi</w:t>
            </w:r>
          </w:p>
        </w:tc>
        <w:tc>
          <w:tcPr>
            <w:tcW w:w="687" w:type="pct"/>
            <w:noWrap/>
            <w:vAlign w:val="center"/>
          </w:tcPr>
          <w:p w14:paraId="63ADDE74">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检测值</w:t>
            </w:r>
          </w:p>
        </w:tc>
        <w:tc>
          <w:tcPr>
            <w:tcW w:w="418" w:type="pct"/>
            <w:noWrap/>
            <w:vAlign w:val="center"/>
          </w:tcPr>
          <w:p w14:paraId="05982EF3">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Pi</w:t>
            </w:r>
          </w:p>
        </w:tc>
      </w:tr>
      <w:tr w14:paraId="57B4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884" w:type="pct"/>
            <w:noWrap/>
            <w:vAlign w:val="center"/>
          </w:tcPr>
          <w:p w14:paraId="4BAF78E3">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pH</w:t>
            </w:r>
          </w:p>
        </w:tc>
        <w:tc>
          <w:tcPr>
            <w:tcW w:w="547" w:type="pct"/>
            <w:noWrap w:val="0"/>
            <w:vAlign w:val="center"/>
          </w:tcPr>
          <w:p w14:paraId="79AF787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无量纲</w:t>
            </w:r>
          </w:p>
        </w:tc>
        <w:tc>
          <w:tcPr>
            <w:tcW w:w="484" w:type="pct"/>
            <w:noWrap/>
            <w:vAlign w:val="center"/>
          </w:tcPr>
          <w:p w14:paraId="18FB14C7">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6.5~8.5</w:t>
            </w:r>
          </w:p>
        </w:tc>
        <w:tc>
          <w:tcPr>
            <w:tcW w:w="620" w:type="pct"/>
            <w:noWrap/>
            <w:vAlign w:val="center"/>
          </w:tcPr>
          <w:p w14:paraId="1709913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7.5（20.1）</w:t>
            </w:r>
          </w:p>
        </w:tc>
        <w:tc>
          <w:tcPr>
            <w:tcW w:w="385" w:type="pct"/>
            <w:noWrap/>
            <w:vAlign w:val="center"/>
          </w:tcPr>
          <w:p w14:paraId="40948F7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0.33</w:t>
            </w:r>
          </w:p>
        </w:tc>
        <w:tc>
          <w:tcPr>
            <w:tcW w:w="586" w:type="pct"/>
            <w:noWrap/>
            <w:vAlign w:val="center"/>
          </w:tcPr>
          <w:p w14:paraId="52754E2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7.6（19.6）</w:t>
            </w:r>
          </w:p>
        </w:tc>
        <w:tc>
          <w:tcPr>
            <w:tcW w:w="385" w:type="pct"/>
            <w:noWrap/>
            <w:vAlign w:val="center"/>
          </w:tcPr>
          <w:p w14:paraId="66CFBF20">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0.40</w:t>
            </w:r>
          </w:p>
        </w:tc>
        <w:tc>
          <w:tcPr>
            <w:tcW w:w="687" w:type="pct"/>
            <w:noWrap/>
            <w:vAlign w:val="center"/>
          </w:tcPr>
          <w:p w14:paraId="17D947D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7.3（21.5）</w:t>
            </w:r>
          </w:p>
        </w:tc>
        <w:tc>
          <w:tcPr>
            <w:tcW w:w="418" w:type="pct"/>
            <w:noWrap/>
            <w:vAlign w:val="center"/>
          </w:tcPr>
          <w:p w14:paraId="74AF2EF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0.20</w:t>
            </w:r>
          </w:p>
        </w:tc>
      </w:tr>
      <w:tr w14:paraId="3502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ign w:val="center"/>
          </w:tcPr>
          <w:p w14:paraId="41E896E9">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高锰酸盐指数</w:t>
            </w:r>
          </w:p>
        </w:tc>
        <w:tc>
          <w:tcPr>
            <w:tcW w:w="547" w:type="pct"/>
            <w:noWrap w:val="0"/>
            <w:vAlign w:val="center"/>
          </w:tcPr>
          <w:p w14:paraId="116DB831">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124E8EFD">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p>
        </w:tc>
        <w:tc>
          <w:tcPr>
            <w:tcW w:w="620" w:type="pct"/>
            <w:noWrap w:val="0"/>
            <w:vAlign w:val="center"/>
          </w:tcPr>
          <w:p w14:paraId="1149354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0.66</w:t>
            </w:r>
          </w:p>
        </w:tc>
        <w:tc>
          <w:tcPr>
            <w:tcW w:w="385" w:type="pct"/>
            <w:noWrap w:val="0"/>
            <w:vAlign w:val="center"/>
          </w:tcPr>
          <w:p w14:paraId="1C487AE8">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0.22</w:t>
            </w:r>
          </w:p>
        </w:tc>
        <w:tc>
          <w:tcPr>
            <w:tcW w:w="586" w:type="pct"/>
            <w:noWrap w:val="0"/>
            <w:vAlign w:val="center"/>
          </w:tcPr>
          <w:p w14:paraId="125ECB6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1.98</w:t>
            </w:r>
          </w:p>
        </w:tc>
        <w:tc>
          <w:tcPr>
            <w:tcW w:w="385" w:type="pct"/>
            <w:noWrap w:val="0"/>
            <w:vAlign w:val="center"/>
          </w:tcPr>
          <w:p w14:paraId="7140652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0.66</w:t>
            </w:r>
          </w:p>
        </w:tc>
        <w:tc>
          <w:tcPr>
            <w:tcW w:w="687" w:type="pct"/>
            <w:noWrap w:val="0"/>
            <w:vAlign w:val="center"/>
          </w:tcPr>
          <w:p w14:paraId="0F212D2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0.45</w:t>
            </w:r>
          </w:p>
        </w:tc>
        <w:tc>
          <w:tcPr>
            <w:tcW w:w="418" w:type="pct"/>
            <w:noWrap w:val="0"/>
            <w:vAlign w:val="center"/>
          </w:tcPr>
          <w:p w14:paraId="4E1A8A7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0.15</w:t>
            </w:r>
          </w:p>
        </w:tc>
      </w:tr>
      <w:tr w14:paraId="031A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5042EE30">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化学需氧量</w:t>
            </w:r>
          </w:p>
        </w:tc>
        <w:tc>
          <w:tcPr>
            <w:tcW w:w="547" w:type="pct"/>
            <w:noWrap w:val="0"/>
            <w:vAlign w:val="center"/>
          </w:tcPr>
          <w:p w14:paraId="68D6A9BF">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5CD41E90">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620" w:type="pct"/>
            <w:noWrap w:val="0"/>
            <w:vAlign w:val="center"/>
          </w:tcPr>
          <w:p w14:paraId="5A3A0F1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4L</w:t>
            </w:r>
          </w:p>
        </w:tc>
        <w:tc>
          <w:tcPr>
            <w:tcW w:w="385" w:type="pct"/>
            <w:noWrap w:val="0"/>
            <w:vAlign w:val="center"/>
          </w:tcPr>
          <w:p w14:paraId="5D70742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0"/>
            <w:vAlign w:val="center"/>
          </w:tcPr>
          <w:p w14:paraId="1295B2E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385" w:type="pct"/>
            <w:noWrap w:val="0"/>
            <w:vAlign w:val="center"/>
          </w:tcPr>
          <w:p w14:paraId="7AE0B7B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0.35</w:t>
            </w:r>
          </w:p>
        </w:tc>
        <w:tc>
          <w:tcPr>
            <w:tcW w:w="687" w:type="pct"/>
            <w:noWrap w:val="0"/>
            <w:vAlign w:val="center"/>
          </w:tcPr>
          <w:p w14:paraId="2BC3388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4L</w:t>
            </w:r>
          </w:p>
        </w:tc>
        <w:tc>
          <w:tcPr>
            <w:tcW w:w="418" w:type="pct"/>
            <w:noWrap w:val="0"/>
            <w:vAlign w:val="center"/>
          </w:tcPr>
          <w:p w14:paraId="42B241C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3FAB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84" w:type="pct"/>
            <w:noWrap w:val="0"/>
            <w:vAlign w:val="center"/>
          </w:tcPr>
          <w:p w14:paraId="11619F9C">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氨氮</w:t>
            </w:r>
          </w:p>
        </w:tc>
        <w:tc>
          <w:tcPr>
            <w:tcW w:w="547" w:type="pct"/>
            <w:noWrap w:val="0"/>
            <w:vAlign w:val="center"/>
          </w:tcPr>
          <w:p w14:paraId="3414E06D">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78A906AB">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w:t>
            </w:r>
          </w:p>
        </w:tc>
        <w:tc>
          <w:tcPr>
            <w:tcW w:w="620" w:type="pct"/>
            <w:noWrap w:val="0"/>
            <w:vAlign w:val="center"/>
          </w:tcPr>
          <w:p w14:paraId="0EFCA59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0.081</w:t>
            </w:r>
          </w:p>
        </w:tc>
        <w:tc>
          <w:tcPr>
            <w:tcW w:w="385" w:type="pct"/>
            <w:noWrap w:val="0"/>
            <w:vAlign w:val="center"/>
          </w:tcPr>
          <w:p w14:paraId="7562019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0.16</w:t>
            </w:r>
          </w:p>
        </w:tc>
        <w:tc>
          <w:tcPr>
            <w:tcW w:w="586" w:type="pct"/>
            <w:noWrap/>
            <w:vAlign w:val="center"/>
          </w:tcPr>
          <w:p w14:paraId="1405716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0.101</w:t>
            </w:r>
          </w:p>
        </w:tc>
        <w:tc>
          <w:tcPr>
            <w:tcW w:w="385" w:type="pct"/>
            <w:noWrap w:val="0"/>
            <w:vAlign w:val="center"/>
          </w:tcPr>
          <w:p w14:paraId="50F9C600">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0.20</w:t>
            </w:r>
          </w:p>
        </w:tc>
        <w:tc>
          <w:tcPr>
            <w:tcW w:w="687" w:type="pct"/>
            <w:noWrap w:val="0"/>
            <w:vAlign w:val="center"/>
          </w:tcPr>
          <w:p w14:paraId="657BF13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0.238</w:t>
            </w:r>
          </w:p>
        </w:tc>
        <w:tc>
          <w:tcPr>
            <w:tcW w:w="418" w:type="pct"/>
            <w:noWrap w:val="0"/>
            <w:vAlign w:val="center"/>
          </w:tcPr>
          <w:p w14:paraId="6677527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0.48</w:t>
            </w:r>
          </w:p>
        </w:tc>
      </w:tr>
      <w:tr w14:paraId="2B6A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4CFE7965">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氟化物</w:t>
            </w:r>
          </w:p>
        </w:tc>
        <w:tc>
          <w:tcPr>
            <w:tcW w:w="547" w:type="pct"/>
            <w:noWrap w:val="0"/>
            <w:vAlign w:val="center"/>
          </w:tcPr>
          <w:p w14:paraId="22BAD8BB">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51DA2930">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620" w:type="pct"/>
            <w:noWrap w:val="0"/>
            <w:vAlign w:val="center"/>
          </w:tcPr>
          <w:p w14:paraId="1F7EFCC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0.098</w:t>
            </w:r>
          </w:p>
        </w:tc>
        <w:tc>
          <w:tcPr>
            <w:tcW w:w="385" w:type="pct"/>
            <w:noWrap w:val="0"/>
            <w:vAlign w:val="center"/>
          </w:tcPr>
          <w:p w14:paraId="65B4FE4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0.10</w:t>
            </w:r>
          </w:p>
        </w:tc>
        <w:tc>
          <w:tcPr>
            <w:tcW w:w="586" w:type="pct"/>
            <w:noWrap/>
            <w:vAlign w:val="center"/>
          </w:tcPr>
          <w:p w14:paraId="0CBAD45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0.092</w:t>
            </w:r>
          </w:p>
        </w:tc>
        <w:tc>
          <w:tcPr>
            <w:tcW w:w="385" w:type="pct"/>
            <w:noWrap w:val="0"/>
            <w:vAlign w:val="center"/>
          </w:tcPr>
          <w:p w14:paraId="0C2D189E">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w:t>
            </w:r>
          </w:p>
        </w:tc>
        <w:tc>
          <w:tcPr>
            <w:tcW w:w="687" w:type="pct"/>
            <w:noWrap w:val="0"/>
            <w:vAlign w:val="center"/>
          </w:tcPr>
          <w:p w14:paraId="00EE1658">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0.092</w:t>
            </w:r>
          </w:p>
        </w:tc>
        <w:tc>
          <w:tcPr>
            <w:tcW w:w="418" w:type="pct"/>
            <w:noWrap w:val="0"/>
            <w:vAlign w:val="center"/>
          </w:tcPr>
          <w:p w14:paraId="15AB207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w:t>
            </w:r>
          </w:p>
        </w:tc>
      </w:tr>
      <w:tr w14:paraId="4128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02BF8971">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六价铬</w:t>
            </w:r>
          </w:p>
        </w:tc>
        <w:tc>
          <w:tcPr>
            <w:tcW w:w="547" w:type="pct"/>
            <w:noWrap w:val="0"/>
            <w:vAlign w:val="center"/>
          </w:tcPr>
          <w:p w14:paraId="71DBC77D">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4B3BAA8B">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0.05</w:t>
            </w:r>
          </w:p>
        </w:tc>
        <w:tc>
          <w:tcPr>
            <w:tcW w:w="620" w:type="pct"/>
            <w:noWrap w:val="0"/>
            <w:vAlign w:val="center"/>
          </w:tcPr>
          <w:p w14:paraId="6C5BE956">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0.004L</w:t>
            </w:r>
          </w:p>
        </w:tc>
        <w:tc>
          <w:tcPr>
            <w:tcW w:w="385" w:type="pct"/>
            <w:noWrap w:val="0"/>
            <w:vAlign w:val="center"/>
          </w:tcPr>
          <w:p w14:paraId="5E527E6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3C31B4E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0.004L</w:t>
            </w:r>
          </w:p>
        </w:tc>
        <w:tc>
          <w:tcPr>
            <w:tcW w:w="385" w:type="pct"/>
            <w:noWrap w:val="0"/>
            <w:vAlign w:val="center"/>
          </w:tcPr>
          <w:p w14:paraId="01FB6C1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46D0EDD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0.004L</w:t>
            </w:r>
          </w:p>
        </w:tc>
        <w:tc>
          <w:tcPr>
            <w:tcW w:w="418" w:type="pct"/>
            <w:noWrap w:val="0"/>
            <w:vAlign w:val="center"/>
          </w:tcPr>
          <w:p w14:paraId="4B325FD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4950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5381571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氰化物</w:t>
            </w:r>
          </w:p>
        </w:tc>
        <w:tc>
          <w:tcPr>
            <w:tcW w:w="547" w:type="pct"/>
            <w:noWrap w:val="0"/>
            <w:vAlign w:val="center"/>
          </w:tcPr>
          <w:p w14:paraId="69C3AA7B">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0817F86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0.05</w:t>
            </w:r>
          </w:p>
        </w:tc>
        <w:tc>
          <w:tcPr>
            <w:tcW w:w="620" w:type="pct"/>
            <w:noWrap w:val="0"/>
            <w:vAlign w:val="center"/>
          </w:tcPr>
          <w:p w14:paraId="4943F42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0.002L</w:t>
            </w:r>
          </w:p>
        </w:tc>
        <w:tc>
          <w:tcPr>
            <w:tcW w:w="385" w:type="pct"/>
            <w:noWrap w:val="0"/>
            <w:vAlign w:val="center"/>
          </w:tcPr>
          <w:p w14:paraId="5DA3618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751F210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0.002L</w:t>
            </w:r>
          </w:p>
        </w:tc>
        <w:tc>
          <w:tcPr>
            <w:tcW w:w="385" w:type="pct"/>
            <w:noWrap w:val="0"/>
            <w:vAlign w:val="center"/>
          </w:tcPr>
          <w:p w14:paraId="35931E1E">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2500637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0.002L</w:t>
            </w:r>
          </w:p>
        </w:tc>
        <w:tc>
          <w:tcPr>
            <w:tcW w:w="418" w:type="pct"/>
            <w:noWrap w:val="0"/>
            <w:vAlign w:val="center"/>
          </w:tcPr>
          <w:p w14:paraId="55BD8E2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01D6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179DF11E">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挥发酚</w:t>
            </w:r>
          </w:p>
        </w:tc>
        <w:tc>
          <w:tcPr>
            <w:tcW w:w="547" w:type="pct"/>
            <w:noWrap w:val="0"/>
            <w:vAlign w:val="center"/>
          </w:tcPr>
          <w:p w14:paraId="5637DAEA">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6E832F8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0.002</w:t>
            </w:r>
          </w:p>
        </w:tc>
        <w:tc>
          <w:tcPr>
            <w:tcW w:w="620" w:type="pct"/>
            <w:noWrap w:val="0"/>
            <w:vAlign w:val="center"/>
          </w:tcPr>
          <w:p w14:paraId="052F98F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0.0003L</w:t>
            </w:r>
          </w:p>
        </w:tc>
        <w:tc>
          <w:tcPr>
            <w:tcW w:w="385" w:type="pct"/>
            <w:noWrap w:val="0"/>
            <w:vAlign w:val="center"/>
          </w:tcPr>
          <w:p w14:paraId="6C44D4B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453BDAD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0.0004</w:t>
            </w:r>
          </w:p>
        </w:tc>
        <w:tc>
          <w:tcPr>
            <w:tcW w:w="385" w:type="pct"/>
            <w:noWrap w:val="0"/>
            <w:vAlign w:val="center"/>
          </w:tcPr>
          <w:p w14:paraId="2636E3C6">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0.20</w:t>
            </w:r>
          </w:p>
        </w:tc>
        <w:tc>
          <w:tcPr>
            <w:tcW w:w="687" w:type="pct"/>
            <w:noWrap w:val="0"/>
            <w:vAlign w:val="center"/>
          </w:tcPr>
          <w:p w14:paraId="7189ABD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0.0003L</w:t>
            </w:r>
          </w:p>
        </w:tc>
        <w:tc>
          <w:tcPr>
            <w:tcW w:w="418" w:type="pct"/>
            <w:noWrap w:val="0"/>
            <w:vAlign w:val="center"/>
          </w:tcPr>
          <w:p w14:paraId="3C32850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32F8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4D7F52A8">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石油类</w:t>
            </w:r>
          </w:p>
        </w:tc>
        <w:tc>
          <w:tcPr>
            <w:tcW w:w="547" w:type="pct"/>
            <w:noWrap w:val="0"/>
            <w:vAlign w:val="center"/>
          </w:tcPr>
          <w:p w14:paraId="5F3B0095">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0896F3A8">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0.05</w:t>
            </w:r>
          </w:p>
        </w:tc>
        <w:tc>
          <w:tcPr>
            <w:tcW w:w="620" w:type="pct"/>
            <w:noWrap w:val="0"/>
            <w:vAlign w:val="center"/>
          </w:tcPr>
          <w:p w14:paraId="07BE9E1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0.01L</w:t>
            </w:r>
          </w:p>
        </w:tc>
        <w:tc>
          <w:tcPr>
            <w:tcW w:w="385" w:type="pct"/>
            <w:noWrap w:val="0"/>
            <w:vAlign w:val="center"/>
          </w:tcPr>
          <w:p w14:paraId="5C21C13E">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3ED5F82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0.01L</w:t>
            </w:r>
          </w:p>
        </w:tc>
        <w:tc>
          <w:tcPr>
            <w:tcW w:w="385" w:type="pct"/>
            <w:noWrap w:val="0"/>
            <w:vAlign w:val="center"/>
          </w:tcPr>
          <w:p w14:paraId="1B2B5FB0">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225F16A0">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0.01L</w:t>
            </w:r>
          </w:p>
        </w:tc>
        <w:tc>
          <w:tcPr>
            <w:tcW w:w="418" w:type="pct"/>
            <w:noWrap w:val="0"/>
            <w:vAlign w:val="center"/>
          </w:tcPr>
          <w:p w14:paraId="77D46D5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4FEB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39710820">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硫酸盐</w:t>
            </w:r>
          </w:p>
        </w:tc>
        <w:tc>
          <w:tcPr>
            <w:tcW w:w="547" w:type="pct"/>
            <w:noWrap w:val="0"/>
            <w:vAlign w:val="center"/>
          </w:tcPr>
          <w:p w14:paraId="3485A7AC">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04115834">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250</w:t>
            </w:r>
          </w:p>
        </w:tc>
        <w:tc>
          <w:tcPr>
            <w:tcW w:w="620" w:type="pct"/>
            <w:noWrap w:val="0"/>
            <w:vAlign w:val="center"/>
          </w:tcPr>
          <w:p w14:paraId="3932F4E0">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34.2</w:t>
            </w:r>
          </w:p>
        </w:tc>
        <w:tc>
          <w:tcPr>
            <w:tcW w:w="385" w:type="pct"/>
            <w:noWrap w:val="0"/>
            <w:vAlign w:val="center"/>
          </w:tcPr>
          <w:p w14:paraId="594637F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0.14</w:t>
            </w:r>
          </w:p>
        </w:tc>
        <w:tc>
          <w:tcPr>
            <w:tcW w:w="586" w:type="pct"/>
            <w:noWrap/>
            <w:vAlign w:val="center"/>
          </w:tcPr>
          <w:p w14:paraId="5578F0D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22.9</w:t>
            </w:r>
          </w:p>
        </w:tc>
        <w:tc>
          <w:tcPr>
            <w:tcW w:w="385" w:type="pct"/>
            <w:noWrap w:val="0"/>
            <w:vAlign w:val="center"/>
          </w:tcPr>
          <w:p w14:paraId="0047097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w:t>
            </w:r>
          </w:p>
        </w:tc>
        <w:tc>
          <w:tcPr>
            <w:tcW w:w="687" w:type="pct"/>
            <w:noWrap w:val="0"/>
            <w:vAlign w:val="center"/>
          </w:tcPr>
          <w:p w14:paraId="27097E3E">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13.3</w:t>
            </w:r>
          </w:p>
        </w:tc>
        <w:tc>
          <w:tcPr>
            <w:tcW w:w="418" w:type="pct"/>
            <w:noWrap w:val="0"/>
            <w:vAlign w:val="center"/>
          </w:tcPr>
          <w:p w14:paraId="3B1AB31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r>
      <w:tr w14:paraId="4554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0258776C">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硝酸盐</w:t>
            </w:r>
          </w:p>
        </w:tc>
        <w:tc>
          <w:tcPr>
            <w:tcW w:w="547" w:type="pct"/>
            <w:noWrap w:val="0"/>
            <w:vAlign w:val="center"/>
          </w:tcPr>
          <w:p w14:paraId="1AAF7AF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71FABA6C">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620" w:type="pct"/>
            <w:noWrap w:val="0"/>
            <w:vAlign w:val="center"/>
          </w:tcPr>
          <w:p w14:paraId="3941F03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8.58</w:t>
            </w:r>
          </w:p>
        </w:tc>
        <w:tc>
          <w:tcPr>
            <w:tcW w:w="385" w:type="pct"/>
            <w:noWrap w:val="0"/>
            <w:vAlign w:val="center"/>
          </w:tcPr>
          <w:p w14:paraId="6BAB424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0.43</w:t>
            </w:r>
          </w:p>
        </w:tc>
        <w:tc>
          <w:tcPr>
            <w:tcW w:w="586" w:type="pct"/>
            <w:noWrap/>
            <w:vAlign w:val="center"/>
          </w:tcPr>
          <w:p w14:paraId="55ACA73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w:t>
            </w:r>
          </w:p>
        </w:tc>
        <w:tc>
          <w:tcPr>
            <w:tcW w:w="385" w:type="pct"/>
            <w:noWrap w:val="0"/>
            <w:vAlign w:val="center"/>
          </w:tcPr>
          <w:p w14:paraId="6AC8561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c>
          <w:tcPr>
            <w:tcW w:w="687" w:type="pct"/>
            <w:noWrap w:val="0"/>
            <w:vAlign w:val="center"/>
          </w:tcPr>
          <w:p w14:paraId="7507B11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0.42</w:t>
            </w:r>
          </w:p>
        </w:tc>
        <w:tc>
          <w:tcPr>
            <w:tcW w:w="418" w:type="pct"/>
            <w:noWrap w:val="0"/>
            <w:vAlign w:val="center"/>
          </w:tcPr>
          <w:p w14:paraId="0AD6CBC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w:t>
            </w:r>
          </w:p>
        </w:tc>
      </w:tr>
      <w:tr w14:paraId="7FC4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50A664D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溶解性总固体</w:t>
            </w:r>
          </w:p>
        </w:tc>
        <w:tc>
          <w:tcPr>
            <w:tcW w:w="547" w:type="pct"/>
            <w:noWrap w:val="0"/>
            <w:vAlign w:val="center"/>
          </w:tcPr>
          <w:p w14:paraId="6F745C41">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1081424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1000</w:t>
            </w:r>
          </w:p>
        </w:tc>
        <w:tc>
          <w:tcPr>
            <w:tcW w:w="620" w:type="pct"/>
            <w:noWrap w:val="0"/>
            <w:vAlign w:val="center"/>
          </w:tcPr>
          <w:p w14:paraId="466C7A8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411</w:t>
            </w:r>
          </w:p>
        </w:tc>
        <w:tc>
          <w:tcPr>
            <w:tcW w:w="385" w:type="pct"/>
            <w:noWrap w:val="0"/>
            <w:vAlign w:val="center"/>
          </w:tcPr>
          <w:p w14:paraId="4E1E8DCE">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0.41</w:t>
            </w:r>
          </w:p>
        </w:tc>
        <w:tc>
          <w:tcPr>
            <w:tcW w:w="586" w:type="pct"/>
            <w:noWrap/>
            <w:vAlign w:val="center"/>
          </w:tcPr>
          <w:p w14:paraId="5B2B1BB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323</w:t>
            </w:r>
          </w:p>
        </w:tc>
        <w:tc>
          <w:tcPr>
            <w:tcW w:w="385" w:type="pct"/>
            <w:noWrap w:val="0"/>
            <w:vAlign w:val="center"/>
          </w:tcPr>
          <w:p w14:paraId="32930C9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0.32</w:t>
            </w:r>
          </w:p>
        </w:tc>
        <w:tc>
          <w:tcPr>
            <w:tcW w:w="687" w:type="pct"/>
            <w:noWrap w:val="0"/>
            <w:vAlign w:val="center"/>
          </w:tcPr>
          <w:p w14:paraId="3AB6031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359</w:t>
            </w:r>
          </w:p>
        </w:tc>
        <w:tc>
          <w:tcPr>
            <w:tcW w:w="418" w:type="pct"/>
            <w:noWrap w:val="0"/>
            <w:vAlign w:val="center"/>
          </w:tcPr>
          <w:p w14:paraId="44E389D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0.36</w:t>
            </w:r>
          </w:p>
        </w:tc>
      </w:tr>
      <w:tr w14:paraId="19BE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232A5B24">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亚硝酸盐</w:t>
            </w:r>
          </w:p>
        </w:tc>
        <w:tc>
          <w:tcPr>
            <w:tcW w:w="547" w:type="pct"/>
            <w:noWrap w:val="0"/>
            <w:vAlign w:val="center"/>
          </w:tcPr>
          <w:p w14:paraId="69B842F9">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5A0C2E60">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620" w:type="pct"/>
            <w:noWrap w:val="0"/>
            <w:vAlign w:val="center"/>
          </w:tcPr>
          <w:p w14:paraId="3C32560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0.005L</w:t>
            </w:r>
          </w:p>
        </w:tc>
        <w:tc>
          <w:tcPr>
            <w:tcW w:w="385" w:type="pct"/>
            <w:noWrap w:val="0"/>
            <w:vAlign w:val="center"/>
          </w:tcPr>
          <w:p w14:paraId="6AA9B62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7B12DA8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0.011</w:t>
            </w:r>
          </w:p>
        </w:tc>
        <w:tc>
          <w:tcPr>
            <w:tcW w:w="385" w:type="pct"/>
            <w:noWrap w:val="0"/>
            <w:vAlign w:val="center"/>
          </w:tcPr>
          <w:p w14:paraId="7C5CB168">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w:t>
            </w:r>
          </w:p>
        </w:tc>
        <w:tc>
          <w:tcPr>
            <w:tcW w:w="687" w:type="pct"/>
            <w:noWrap w:val="0"/>
            <w:vAlign w:val="center"/>
          </w:tcPr>
          <w:p w14:paraId="096F1FD8">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0.005L</w:t>
            </w:r>
          </w:p>
        </w:tc>
        <w:tc>
          <w:tcPr>
            <w:tcW w:w="418" w:type="pct"/>
            <w:noWrap w:val="0"/>
            <w:vAlign w:val="center"/>
          </w:tcPr>
          <w:p w14:paraId="21B74A4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43AD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30BCFECB">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氯化物</w:t>
            </w:r>
          </w:p>
        </w:tc>
        <w:tc>
          <w:tcPr>
            <w:tcW w:w="547" w:type="pct"/>
            <w:noWrap w:val="0"/>
            <w:vAlign w:val="center"/>
          </w:tcPr>
          <w:p w14:paraId="519AF3D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34A96B49">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250</w:t>
            </w:r>
          </w:p>
        </w:tc>
        <w:tc>
          <w:tcPr>
            <w:tcW w:w="620" w:type="pct"/>
            <w:noWrap w:val="0"/>
            <w:vAlign w:val="center"/>
          </w:tcPr>
          <w:p w14:paraId="6E7539B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17.4</w:t>
            </w:r>
          </w:p>
        </w:tc>
        <w:tc>
          <w:tcPr>
            <w:tcW w:w="385" w:type="pct"/>
            <w:noWrap w:val="0"/>
            <w:vAlign w:val="center"/>
          </w:tcPr>
          <w:p w14:paraId="173ECD8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0.07</w:t>
            </w:r>
          </w:p>
        </w:tc>
        <w:tc>
          <w:tcPr>
            <w:tcW w:w="586" w:type="pct"/>
            <w:noWrap/>
            <w:vAlign w:val="center"/>
          </w:tcPr>
          <w:p w14:paraId="3292AEF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w:t>
            </w:r>
          </w:p>
        </w:tc>
        <w:tc>
          <w:tcPr>
            <w:tcW w:w="385" w:type="pct"/>
            <w:noWrap w:val="0"/>
            <w:vAlign w:val="center"/>
          </w:tcPr>
          <w:p w14:paraId="0B49C0B0">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w:t>
            </w:r>
          </w:p>
        </w:tc>
        <w:tc>
          <w:tcPr>
            <w:tcW w:w="687" w:type="pct"/>
            <w:noWrap w:val="0"/>
            <w:vAlign w:val="center"/>
          </w:tcPr>
          <w:p w14:paraId="6885322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0.518</w:t>
            </w:r>
          </w:p>
        </w:tc>
        <w:tc>
          <w:tcPr>
            <w:tcW w:w="418" w:type="pct"/>
            <w:noWrap w:val="0"/>
            <w:vAlign w:val="center"/>
          </w:tcPr>
          <w:p w14:paraId="4ECE735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0.002</w:t>
            </w:r>
          </w:p>
        </w:tc>
      </w:tr>
      <w:tr w14:paraId="4ABA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5E44F753">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总硬度</w:t>
            </w:r>
          </w:p>
        </w:tc>
        <w:tc>
          <w:tcPr>
            <w:tcW w:w="547" w:type="pct"/>
            <w:noWrap w:val="0"/>
            <w:vAlign w:val="center"/>
          </w:tcPr>
          <w:p w14:paraId="47A649A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300F61FF">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450</w:t>
            </w:r>
          </w:p>
        </w:tc>
        <w:tc>
          <w:tcPr>
            <w:tcW w:w="620" w:type="pct"/>
            <w:noWrap w:val="0"/>
            <w:vAlign w:val="center"/>
          </w:tcPr>
          <w:p w14:paraId="420A6A3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322</w:t>
            </w:r>
          </w:p>
        </w:tc>
        <w:tc>
          <w:tcPr>
            <w:tcW w:w="385" w:type="pct"/>
            <w:noWrap w:val="0"/>
            <w:vAlign w:val="center"/>
          </w:tcPr>
          <w:p w14:paraId="4136B7D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0.72</w:t>
            </w:r>
          </w:p>
        </w:tc>
        <w:tc>
          <w:tcPr>
            <w:tcW w:w="586" w:type="pct"/>
            <w:noWrap/>
            <w:vAlign w:val="center"/>
          </w:tcPr>
          <w:p w14:paraId="2EF16A80">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147</w:t>
            </w:r>
          </w:p>
        </w:tc>
        <w:tc>
          <w:tcPr>
            <w:tcW w:w="385" w:type="pct"/>
            <w:noWrap w:val="0"/>
            <w:vAlign w:val="center"/>
          </w:tcPr>
          <w:p w14:paraId="17C7E45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0.33</w:t>
            </w:r>
          </w:p>
        </w:tc>
        <w:tc>
          <w:tcPr>
            <w:tcW w:w="687" w:type="pct"/>
            <w:noWrap w:val="0"/>
            <w:vAlign w:val="center"/>
          </w:tcPr>
          <w:p w14:paraId="59B7E9E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153</w:t>
            </w:r>
          </w:p>
        </w:tc>
        <w:tc>
          <w:tcPr>
            <w:tcW w:w="418" w:type="pct"/>
            <w:noWrap w:val="0"/>
            <w:vAlign w:val="center"/>
          </w:tcPr>
          <w:p w14:paraId="588D0CD0">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0.34</w:t>
            </w:r>
          </w:p>
        </w:tc>
      </w:tr>
      <w:tr w14:paraId="3A09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05446604">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钡</w:t>
            </w:r>
          </w:p>
        </w:tc>
        <w:tc>
          <w:tcPr>
            <w:tcW w:w="547" w:type="pct"/>
            <w:noWrap w:val="0"/>
            <w:vAlign w:val="center"/>
          </w:tcPr>
          <w:p w14:paraId="632193C7">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6FFBD187">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0.7</w:t>
            </w:r>
          </w:p>
        </w:tc>
        <w:tc>
          <w:tcPr>
            <w:tcW w:w="620" w:type="pct"/>
            <w:noWrap w:val="0"/>
            <w:vAlign w:val="center"/>
          </w:tcPr>
          <w:p w14:paraId="14E96A08">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w:t>
            </w:r>
          </w:p>
        </w:tc>
        <w:tc>
          <w:tcPr>
            <w:tcW w:w="385" w:type="pct"/>
            <w:noWrap w:val="0"/>
            <w:vAlign w:val="center"/>
          </w:tcPr>
          <w:p w14:paraId="13DA6FA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0.43</w:t>
            </w:r>
          </w:p>
        </w:tc>
        <w:tc>
          <w:tcPr>
            <w:tcW w:w="586" w:type="pct"/>
            <w:noWrap/>
            <w:vAlign w:val="center"/>
          </w:tcPr>
          <w:p w14:paraId="0C71D150">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0.11</w:t>
            </w:r>
          </w:p>
        </w:tc>
        <w:tc>
          <w:tcPr>
            <w:tcW w:w="385" w:type="pct"/>
            <w:noWrap w:val="0"/>
            <w:vAlign w:val="center"/>
          </w:tcPr>
          <w:p w14:paraId="32874748">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0.16</w:t>
            </w:r>
          </w:p>
        </w:tc>
        <w:tc>
          <w:tcPr>
            <w:tcW w:w="687" w:type="pct"/>
            <w:noWrap w:val="0"/>
            <w:vAlign w:val="center"/>
          </w:tcPr>
          <w:p w14:paraId="2ED2A8A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0.15</w:t>
            </w:r>
          </w:p>
        </w:tc>
        <w:tc>
          <w:tcPr>
            <w:tcW w:w="418" w:type="pct"/>
            <w:noWrap w:val="0"/>
            <w:vAlign w:val="center"/>
          </w:tcPr>
          <w:p w14:paraId="452F6CF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0.21</w:t>
            </w:r>
          </w:p>
        </w:tc>
      </w:tr>
      <w:tr w14:paraId="6BA0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5A7B0B49">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铁</w:t>
            </w:r>
          </w:p>
        </w:tc>
        <w:tc>
          <w:tcPr>
            <w:tcW w:w="547" w:type="pct"/>
            <w:noWrap w:val="0"/>
            <w:vAlign w:val="center"/>
          </w:tcPr>
          <w:p w14:paraId="474EDCE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2E87B971">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w:t>
            </w:r>
          </w:p>
        </w:tc>
        <w:tc>
          <w:tcPr>
            <w:tcW w:w="620" w:type="pct"/>
            <w:noWrap w:val="0"/>
            <w:vAlign w:val="center"/>
          </w:tcPr>
          <w:p w14:paraId="2C4B6AC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0.01L</w:t>
            </w:r>
          </w:p>
        </w:tc>
        <w:tc>
          <w:tcPr>
            <w:tcW w:w="385" w:type="pct"/>
            <w:noWrap w:val="0"/>
            <w:vAlign w:val="center"/>
          </w:tcPr>
          <w:p w14:paraId="0D7150F0">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42CC74A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0.01L</w:t>
            </w:r>
          </w:p>
        </w:tc>
        <w:tc>
          <w:tcPr>
            <w:tcW w:w="385" w:type="pct"/>
            <w:noWrap w:val="0"/>
            <w:vAlign w:val="center"/>
          </w:tcPr>
          <w:p w14:paraId="00341D3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1A0A928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0.01L</w:t>
            </w:r>
          </w:p>
        </w:tc>
        <w:tc>
          <w:tcPr>
            <w:tcW w:w="418" w:type="pct"/>
            <w:noWrap w:val="0"/>
            <w:vAlign w:val="center"/>
          </w:tcPr>
          <w:p w14:paraId="7A93BAE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61F6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4420D2F0">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锰</w:t>
            </w:r>
          </w:p>
        </w:tc>
        <w:tc>
          <w:tcPr>
            <w:tcW w:w="547" w:type="pct"/>
            <w:noWrap w:val="0"/>
            <w:vAlign w:val="center"/>
          </w:tcPr>
          <w:p w14:paraId="38947DA9">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484" w:type="pct"/>
            <w:noWrap/>
            <w:vAlign w:val="center"/>
          </w:tcPr>
          <w:p w14:paraId="5A1010E5">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w:t>
            </w:r>
          </w:p>
        </w:tc>
        <w:tc>
          <w:tcPr>
            <w:tcW w:w="620" w:type="pct"/>
            <w:noWrap w:val="0"/>
            <w:vAlign w:val="center"/>
          </w:tcPr>
          <w:p w14:paraId="1AA38CB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0.01L</w:t>
            </w:r>
          </w:p>
        </w:tc>
        <w:tc>
          <w:tcPr>
            <w:tcW w:w="385" w:type="pct"/>
            <w:noWrap w:val="0"/>
            <w:vAlign w:val="center"/>
          </w:tcPr>
          <w:p w14:paraId="6C743FD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5B0B1168">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0.01L</w:t>
            </w:r>
          </w:p>
        </w:tc>
        <w:tc>
          <w:tcPr>
            <w:tcW w:w="385" w:type="pct"/>
            <w:noWrap w:val="0"/>
            <w:vAlign w:val="center"/>
          </w:tcPr>
          <w:p w14:paraId="76388E06">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727D725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0.01L</w:t>
            </w:r>
          </w:p>
        </w:tc>
        <w:tc>
          <w:tcPr>
            <w:tcW w:w="418" w:type="pct"/>
            <w:noWrap w:val="0"/>
            <w:vAlign w:val="center"/>
          </w:tcPr>
          <w:p w14:paraId="013DA486">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63A4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0670743E">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总大肠菌群</w:t>
            </w:r>
          </w:p>
        </w:tc>
        <w:tc>
          <w:tcPr>
            <w:tcW w:w="547" w:type="pct"/>
            <w:noWrap w:val="0"/>
            <w:vAlign w:val="center"/>
          </w:tcPr>
          <w:p w14:paraId="70E61EBF">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MPN/100mL</w:t>
            </w:r>
          </w:p>
        </w:tc>
        <w:tc>
          <w:tcPr>
            <w:tcW w:w="484" w:type="pct"/>
            <w:noWrap/>
            <w:vAlign w:val="center"/>
          </w:tcPr>
          <w:p w14:paraId="7386E5A9">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p>
        </w:tc>
        <w:tc>
          <w:tcPr>
            <w:tcW w:w="620" w:type="pct"/>
            <w:noWrap w:val="0"/>
            <w:vAlign w:val="center"/>
          </w:tcPr>
          <w:p w14:paraId="39F33B9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&lt;2</w:t>
            </w:r>
          </w:p>
        </w:tc>
        <w:tc>
          <w:tcPr>
            <w:tcW w:w="385" w:type="pct"/>
            <w:noWrap w:val="0"/>
            <w:vAlign w:val="center"/>
          </w:tcPr>
          <w:p w14:paraId="715AEE5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139BA0B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&lt;2</w:t>
            </w:r>
          </w:p>
        </w:tc>
        <w:tc>
          <w:tcPr>
            <w:tcW w:w="385" w:type="pct"/>
            <w:noWrap w:val="0"/>
            <w:vAlign w:val="center"/>
          </w:tcPr>
          <w:p w14:paraId="2EB1A8E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54FEC18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&lt;2</w:t>
            </w:r>
          </w:p>
        </w:tc>
        <w:tc>
          <w:tcPr>
            <w:tcW w:w="418" w:type="pct"/>
            <w:noWrap w:val="0"/>
            <w:vAlign w:val="center"/>
          </w:tcPr>
          <w:p w14:paraId="03F2EE5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419E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47821329">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细菌总数</w:t>
            </w:r>
          </w:p>
        </w:tc>
        <w:tc>
          <w:tcPr>
            <w:tcW w:w="547" w:type="pct"/>
            <w:noWrap w:val="0"/>
            <w:vAlign w:val="center"/>
          </w:tcPr>
          <w:p w14:paraId="5CC519BE">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CFU/mL</w:t>
            </w:r>
          </w:p>
        </w:tc>
        <w:tc>
          <w:tcPr>
            <w:tcW w:w="484" w:type="pct"/>
            <w:noWrap/>
            <w:vAlign w:val="center"/>
          </w:tcPr>
          <w:p w14:paraId="238E0A65">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w:t>
            </w:r>
          </w:p>
        </w:tc>
        <w:tc>
          <w:tcPr>
            <w:tcW w:w="620" w:type="pct"/>
            <w:noWrap w:val="0"/>
            <w:vAlign w:val="center"/>
          </w:tcPr>
          <w:p w14:paraId="6ED290E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w:t>
            </w:r>
          </w:p>
        </w:tc>
        <w:tc>
          <w:tcPr>
            <w:tcW w:w="385" w:type="pct"/>
            <w:noWrap w:val="0"/>
            <w:vAlign w:val="center"/>
          </w:tcPr>
          <w:p w14:paraId="4F804C5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0.61</w:t>
            </w:r>
          </w:p>
        </w:tc>
        <w:tc>
          <w:tcPr>
            <w:tcW w:w="586" w:type="pct"/>
            <w:noWrap/>
            <w:vAlign w:val="center"/>
          </w:tcPr>
          <w:p w14:paraId="457CD3F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w:t>
            </w:r>
          </w:p>
        </w:tc>
        <w:tc>
          <w:tcPr>
            <w:tcW w:w="385" w:type="pct"/>
            <w:noWrap w:val="0"/>
            <w:vAlign w:val="center"/>
          </w:tcPr>
          <w:p w14:paraId="111207B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0.73</w:t>
            </w:r>
          </w:p>
        </w:tc>
        <w:tc>
          <w:tcPr>
            <w:tcW w:w="687" w:type="pct"/>
            <w:noWrap w:val="0"/>
            <w:vAlign w:val="center"/>
          </w:tcPr>
          <w:p w14:paraId="6B8EA19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w:t>
            </w:r>
          </w:p>
        </w:tc>
        <w:tc>
          <w:tcPr>
            <w:tcW w:w="418" w:type="pct"/>
            <w:noWrap w:val="0"/>
            <w:vAlign w:val="center"/>
          </w:tcPr>
          <w:p w14:paraId="45743AD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0.85</w:t>
            </w:r>
          </w:p>
        </w:tc>
      </w:tr>
      <w:tr w14:paraId="6647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063895FE">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砷</w:t>
            </w:r>
          </w:p>
        </w:tc>
        <w:tc>
          <w:tcPr>
            <w:tcW w:w="547" w:type="pct"/>
            <w:noWrap w:val="0"/>
            <w:vAlign w:val="center"/>
          </w:tcPr>
          <w:p w14:paraId="1D4C4604">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μg/L</w:t>
            </w:r>
          </w:p>
        </w:tc>
        <w:tc>
          <w:tcPr>
            <w:tcW w:w="484" w:type="pct"/>
            <w:noWrap/>
            <w:vAlign w:val="center"/>
          </w:tcPr>
          <w:p w14:paraId="541BA674">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620" w:type="pct"/>
            <w:noWrap w:val="0"/>
            <w:vAlign w:val="center"/>
          </w:tcPr>
          <w:p w14:paraId="4DF9E99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0.3L</w:t>
            </w:r>
          </w:p>
        </w:tc>
        <w:tc>
          <w:tcPr>
            <w:tcW w:w="385" w:type="pct"/>
            <w:noWrap w:val="0"/>
            <w:vAlign w:val="center"/>
          </w:tcPr>
          <w:p w14:paraId="3CA74EA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3BE6F99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0.3L</w:t>
            </w:r>
          </w:p>
        </w:tc>
        <w:tc>
          <w:tcPr>
            <w:tcW w:w="385" w:type="pct"/>
            <w:noWrap w:val="0"/>
            <w:vAlign w:val="center"/>
          </w:tcPr>
          <w:p w14:paraId="00276C9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3BB9016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0.3L</w:t>
            </w:r>
          </w:p>
        </w:tc>
        <w:tc>
          <w:tcPr>
            <w:tcW w:w="418" w:type="pct"/>
            <w:noWrap w:val="0"/>
            <w:vAlign w:val="center"/>
          </w:tcPr>
          <w:p w14:paraId="6BE0D7A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0A2F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31C75F92">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汞</w:t>
            </w:r>
          </w:p>
        </w:tc>
        <w:tc>
          <w:tcPr>
            <w:tcW w:w="547" w:type="pct"/>
            <w:noWrap w:val="0"/>
            <w:vAlign w:val="center"/>
          </w:tcPr>
          <w:p w14:paraId="229BD8AA">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μg/L</w:t>
            </w:r>
          </w:p>
        </w:tc>
        <w:tc>
          <w:tcPr>
            <w:tcW w:w="484" w:type="pct"/>
            <w:noWrap/>
            <w:vAlign w:val="center"/>
          </w:tcPr>
          <w:p w14:paraId="4A65686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620" w:type="pct"/>
            <w:noWrap w:val="0"/>
            <w:vAlign w:val="center"/>
          </w:tcPr>
          <w:p w14:paraId="2B06A2F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w:t>
            </w:r>
          </w:p>
        </w:tc>
        <w:tc>
          <w:tcPr>
            <w:tcW w:w="385" w:type="pct"/>
            <w:noWrap w:val="0"/>
            <w:vAlign w:val="center"/>
          </w:tcPr>
          <w:p w14:paraId="62BD640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w:t>
            </w:r>
          </w:p>
        </w:tc>
        <w:tc>
          <w:tcPr>
            <w:tcW w:w="586" w:type="pct"/>
            <w:noWrap/>
            <w:vAlign w:val="center"/>
          </w:tcPr>
          <w:p w14:paraId="5F332A4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0.04L</w:t>
            </w:r>
          </w:p>
        </w:tc>
        <w:tc>
          <w:tcPr>
            <w:tcW w:w="385" w:type="pct"/>
            <w:noWrap w:val="0"/>
            <w:vAlign w:val="center"/>
          </w:tcPr>
          <w:p w14:paraId="07AE381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25A51AC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c>
          <w:tcPr>
            <w:tcW w:w="418" w:type="pct"/>
            <w:noWrap w:val="0"/>
            <w:vAlign w:val="center"/>
          </w:tcPr>
          <w:p w14:paraId="1C36C42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14:paraId="2C28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69C3B484">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镉</w:t>
            </w:r>
          </w:p>
        </w:tc>
        <w:tc>
          <w:tcPr>
            <w:tcW w:w="547" w:type="pct"/>
            <w:noWrap w:val="0"/>
            <w:vAlign w:val="center"/>
          </w:tcPr>
          <w:p w14:paraId="5436F4F5">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μg/L</w:t>
            </w:r>
          </w:p>
        </w:tc>
        <w:tc>
          <w:tcPr>
            <w:tcW w:w="484" w:type="pct"/>
            <w:noWrap/>
            <w:vAlign w:val="center"/>
          </w:tcPr>
          <w:p w14:paraId="05B11446">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w:t>
            </w:r>
          </w:p>
        </w:tc>
        <w:tc>
          <w:tcPr>
            <w:tcW w:w="620" w:type="pct"/>
            <w:noWrap w:val="0"/>
            <w:vAlign w:val="center"/>
          </w:tcPr>
          <w:p w14:paraId="3178494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w:t>
            </w:r>
          </w:p>
        </w:tc>
        <w:tc>
          <w:tcPr>
            <w:tcW w:w="385" w:type="pct"/>
            <w:noWrap w:val="0"/>
            <w:vAlign w:val="center"/>
          </w:tcPr>
          <w:p w14:paraId="5F2A395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w:t>
            </w:r>
          </w:p>
        </w:tc>
        <w:tc>
          <w:tcPr>
            <w:tcW w:w="586" w:type="pct"/>
            <w:noWrap/>
            <w:vAlign w:val="center"/>
          </w:tcPr>
          <w:p w14:paraId="50FBA05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w:t>
            </w:r>
          </w:p>
        </w:tc>
        <w:tc>
          <w:tcPr>
            <w:tcW w:w="385" w:type="pct"/>
            <w:noWrap w:val="0"/>
            <w:vAlign w:val="center"/>
          </w:tcPr>
          <w:p w14:paraId="6B9FE17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w:t>
            </w:r>
          </w:p>
        </w:tc>
        <w:tc>
          <w:tcPr>
            <w:tcW w:w="687" w:type="pct"/>
            <w:noWrap w:val="0"/>
            <w:vAlign w:val="center"/>
          </w:tcPr>
          <w:p w14:paraId="1D128D2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w:t>
            </w:r>
          </w:p>
        </w:tc>
        <w:tc>
          <w:tcPr>
            <w:tcW w:w="418" w:type="pct"/>
            <w:noWrap w:val="0"/>
            <w:vAlign w:val="center"/>
          </w:tcPr>
          <w:p w14:paraId="1D8B5D5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14:paraId="20C4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4B0B54A9">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铅</w:t>
            </w:r>
          </w:p>
        </w:tc>
        <w:tc>
          <w:tcPr>
            <w:tcW w:w="547" w:type="pct"/>
            <w:noWrap w:val="0"/>
            <w:vAlign w:val="center"/>
          </w:tcPr>
          <w:p w14:paraId="34E6967C">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μg/L</w:t>
            </w:r>
          </w:p>
        </w:tc>
        <w:tc>
          <w:tcPr>
            <w:tcW w:w="484" w:type="pct"/>
            <w:noWrap/>
            <w:vAlign w:val="center"/>
          </w:tcPr>
          <w:p w14:paraId="28F715E1">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620" w:type="pct"/>
            <w:noWrap w:val="0"/>
            <w:vAlign w:val="center"/>
          </w:tcPr>
          <w:p w14:paraId="4648D2F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385" w:type="pct"/>
            <w:noWrap w:val="0"/>
            <w:vAlign w:val="center"/>
          </w:tcPr>
          <w:p w14:paraId="03122B8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7D99A02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385" w:type="pct"/>
            <w:noWrap w:val="0"/>
            <w:vAlign w:val="center"/>
          </w:tcPr>
          <w:p w14:paraId="1D74512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7BBD3B2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418" w:type="pct"/>
            <w:noWrap w:val="0"/>
            <w:vAlign w:val="center"/>
          </w:tcPr>
          <w:p w14:paraId="2E603246">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3796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41A585B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K</w:t>
            </w:r>
            <w:r>
              <w:rPr>
                <w:rStyle w:val="115"/>
                <w:rFonts w:hint="default" w:ascii="Times New Roman" w:hAnsi="Times New Roman" w:eastAsia="宋体" w:cs="Times New Roman"/>
                <w:sz w:val="21"/>
                <w:szCs w:val="21"/>
                <w:lang w:val="en-US" w:eastAsia="zh-CN" w:bidi="ar"/>
              </w:rPr>
              <w:t>+</w:t>
            </w:r>
          </w:p>
        </w:tc>
        <w:tc>
          <w:tcPr>
            <w:tcW w:w="547" w:type="pct"/>
            <w:noWrap w:val="0"/>
            <w:vAlign w:val="center"/>
          </w:tcPr>
          <w:p w14:paraId="6CE3E13E">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84" w:type="pct"/>
            <w:noWrap/>
            <w:vAlign w:val="center"/>
          </w:tcPr>
          <w:p w14:paraId="30E395C1">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620" w:type="pct"/>
            <w:noWrap w:val="0"/>
            <w:vAlign w:val="center"/>
          </w:tcPr>
          <w:p w14:paraId="7C6279E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385" w:type="pct"/>
            <w:noWrap w:val="0"/>
            <w:vAlign w:val="center"/>
          </w:tcPr>
          <w:p w14:paraId="790BDEC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294B6985">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0.94</w:t>
            </w:r>
          </w:p>
        </w:tc>
        <w:tc>
          <w:tcPr>
            <w:tcW w:w="385" w:type="pct"/>
            <w:noWrap w:val="0"/>
            <w:vAlign w:val="center"/>
          </w:tcPr>
          <w:p w14:paraId="320D13A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4FC1B4E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0.96</w:t>
            </w:r>
          </w:p>
        </w:tc>
        <w:tc>
          <w:tcPr>
            <w:tcW w:w="418" w:type="pct"/>
            <w:noWrap w:val="0"/>
            <w:vAlign w:val="center"/>
          </w:tcPr>
          <w:p w14:paraId="42129BB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03C0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0A5E7F8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Na</w:t>
            </w:r>
            <w:r>
              <w:rPr>
                <w:rStyle w:val="115"/>
                <w:rFonts w:hint="default" w:ascii="Times New Roman" w:hAnsi="Times New Roman" w:eastAsia="宋体" w:cs="Times New Roman"/>
                <w:sz w:val="21"/>
                <w:szCs w:val="21"/>
                <w:lang w:val="en-US" w:eastAsia="zh-CN" w:bidi="ar"/>
              </w:rPr>
              <w:t>+</w:t>
            </w:r>
          </w:p>
        </w:tc>
        <w:tc>
          <w:tcPr>
            <w:tcW w:w="547" w:type="pct"/>
            <w:noWrap w:val="0"/>
            <w:vAlign w:val="center"/>
          </w:tcPr>
          <w:p w14:paraId="00E93C2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84" w:type="pct"/>
            <w:noWrap/>
            <w:vAlign w:val="center"/>
          </w:tcPr>
          <w:p w14:paraId="79802434">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200</w:t>
            </w:r>
          </w:p>
        </w:tc>
        <w:tc>
          <w:tcPr>
            <w:tcW w:w="620" w:type="pct"/>
            <w:noWrap w:val="0"/>
            <w:vAlign w:val="center"/>
          </w:tcPr>
          <w:p w14:paraId="0899CEE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17.7</w:t>
            </w:r>
          </w:p>
        </w:tc>
        <w:tc>
          <w:tcPr>
            <w:tcW w:w="385" w:type="pct"/>
            <w:noWrap w:val="0"/>
            <w:vAlign w:val="center"/>
          </w:tcPr>
          <w:p w14:paraId="6DA044F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w:t>
            </w:r>
          </w:p>
        </w:tc>
        <w:tc>
          <w:tcPr>
            <w:tcW w:w="586" w:type="pct"/>
            <w:noWrap/>
            <w:vAlign w:val="center"/>
          </w:tcPr>
          <w:p w14:paraId="43ABFA2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4.45</w:t>
            </w:r>
          </w:p>
        </w:tc>
        <w:tc>
          <w:tcPr>
            <w:tcW w:w="385" w:type="pct"/>
            <w:noWrap w:val="0"/>
            <w:vAlign w:val="center"/>
          </w:tcPr>
          <w:p w14:paraId="6B04ADD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w:t>
            </w:r>
          </w:p>
        </w:tc>
        <w:tc>
          <w:tcPr>
            <w:tcW w:w="687" w:type="pct"/>
            <w:noWrap w:val="0"/>
            <w:vAlign w:val="center"/>
          </w:tcPr>
          <w:p w14:paraId="1E2163C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4.03</w:t>
            </w:r>
          </w:p>
        </w:tc>
        <w:tc>
          <w:tcPr>
            <w:tcW w:w="418" w:type="pct"/>
            <w:noWrap w:val="0"/>
            <w:vAlign w:val="center"/>
          </w:tcPr>
          <w:p w14:paraId="1A38982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w:t>
            </w:r>
          </w:p>
        </w:tc>
      </w:tr>
      <w:tr w14:paraId="181E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40686BB1">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Cl</w:t>
            </w:r>
            <w:r>
              <w:rPr>
                <w:rStyle w:val="115"/>
                <w:rFonts w:hint="default" w:ascii="Times New Roman" w:hAnsi="Times New Roman" w:eastAsia="宋体" w:cs="Times New Roman"/>
                <w:sz w:val="21"/>
                <w:szCs w:val="21"/>
                <w:lang w:val="en-US" w:eastAsia="zh-CN" w:bidi="ar"/>
              </w:rPr>
              <w:t>-</w:t>
            </w:r>
          </w:p>
        </w:tc>
        <w:tc>
          <w:tcPr>
            <w:tcW w:w="547" w:type="pct"/>
            <w:noWrap w:val="0"/>
            <w:vAlign w:val="center"/>
          </w:tcPr>
          <w:p w14:paraId="1703E3C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84" w:type="pct"/>
            <w:noWrap/>
            <w:vAlign w:val="center"/>
          </w:tcPr>
          <w:p w14:paraId="00527E54">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250</w:t>
            </w:r>
          </w:p>
        </w:tc>
        <w:tc>
          <w:tcPr>
            <w:tcW w:w="620" w:type="pct"/>
            <w:noWrap w:val="0"/>
            <w:vAlign w:val="center"/>
          </w:tcPr>
          <w:p w14:paraId="19982DB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17.4</w:t>
            </w:r>
          </w:p>
        </w:tc>
        <w:tc>
          <w:tcPr>
            <w:tcW w:w="385" w:type="pct"/>
            <w:noWrap w:val="0"/>
            <w:vAlign w:val="center"/>
          </w:tcPr>
          <w:p w14:paraId="5E39215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0.07</w:t>
            </w:r>
          </w:p>
        </w:tc>
        <w:tc>
          <w:tcPr>
            <w:tcW w:w="586" w:type="pct"/>
            <w:noWrap/>
            <w:vAlign w:val="center"/>
          </w:tcPr>
          <w:p w14:paraId="5A35932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w:t>
            </w:r>
          </w:p>
        </w:tc>
        <w:tc>
          <w:tcPr>
            <w:tcW w:w="385" w:type="pct"/>
            <w:noWrap w:val="0"/>
            <w:vAlign w:val="center"/>
          </w:tcPr>
          <w:p w14:paraId="4607254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w:t>
            </w:r>
          </w:p>
        </w:tc>
        <w:tc>
          <w:tcPr>
            <w:tcW w:w="687" w:type="pct"/>
            <w:noWrap w:val="0"/>
            <w:vAlign w:val="center"/>
          </w:tcPr>
          <w:p w14:paraId="2AD5E3F8">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0.518</w:t>
            </w:r>
          </w:p>
        </w:tc>
        <w:tc>
          <w:tcPr>
            <w:tcW w:w="418" w:type="pct"/>
            <w:noWrap w:val="0"/>
            <w:vAlign w:val="center"/>
          </w:tcPr>
          <w:p w14:paraId="1E0440EE">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0.002</w:t>
            </w:r>
          </w:p>
        </w:tc>
      </w:tr>
      <w:tr w14:paraId="08CE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4AD7BEA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4</w:t>
            </w:r>
            <w:r>
              <w:rPr>
                <w:rStyle w:val="115"/>
                <w:rFonts w:hint="default" w:ascii="Times New Roman" w:hAnsi="Times New Roman" w:eastAsia="宋体" w:cs="Times New Roman"/>
                <w:sz w:val="21"/>
                <w:szCs w:val="21"/>
                <w:lang w:val="en-US" w:eastAsia="zh-CN" w:bidi="ar"/>
              </w:rPr>
              <w:t>2-</w:t>
            </w:r>
          </w:p>
        </w:tc>
        <w:tc>
          <w:tcPr>
            <w:tcW w:w="547" w:type="pct"/>
            <w:noWrap w:val="0"/>
            <w:vAlign w:val="center"/>
          </w:tcPr>
          <w:p w14:paraId="1E195F8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84" w:type="pct"/>
            <w:noWrap/>
            <w:vAlign w:val="center"/>
          </w:tcPr>
          <w:p w14:paraId="571FAA33">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250</w:t>
            </w:r>
          </w:p>
        </w:tc>
        <w:tc>
          <w:tcPr>
            <w:tcW w:w="620" w:type="pct"/>
            <w:noWrap w:val="0"/>
            <w:vAlign w:val="center"/>
          </w:tcPr>
          <w:p w14:paraId="3FD71EE8">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34.2</w:t>
            </w:r>
          </w:p>
        </w:tc>
        <w:tc>
          <w:tcPr>
            <w:tcW w:w="385" w:type="pct"/>
            <w:noWrap w:val="0"/>
            <w:vAlign w:val="center"/>
          </w:tcPr>
          <w:p w14:paraId="068AECF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0.14</w:t>
            </w:r>
          </w:p>
        </w:tc>
        <w:tc>
          <w:tcPr>
            <w:tcW w:w="586" w:type="pct"/>
            <w:noWrap/>
            <w:vAlign w:val="center"/>
          </w:tcPr>
          <w:p w14:paraId="68179490">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22.9</w:t>
            </w:r>
          </w:p>
        </w:tc>
        <w:tc>
          <w:tcPr>
            <w:tcW w:w="385" w:type="pct"/>
            <w:noWrap w:val="0"/>
            <w:vAlign w:val="center"/>
          </w:tcPr>
          <w:p w14:paraId="7569673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0.09</w:t>
            </w:r>
          </w:p>
        </w:tc>
        <w:tc>
          <w:tcPr>
            <w:tcW w:w="687" w:type="pct"/>
            <w:noWrap w:val="0"/>
            <w:vAlign w:val="center"/>
          </w:tcPr>
          <w:p w14:paraId="169C47EF">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13.3</w:t>
            </w:r>
          </w:p>
        </w:tc>
        <w:tc>
          <w:tcPr>
            <w:tcW w:w="418" w:type="pct"/>
            <w:noWrap w:val="0"/>
            <w:vAlign w:val="center"/>
          </w:tcPr>
          <w:p w14:paraId="328040A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r>
      <w:tr w14:paraId="47CB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55A2585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Ca</w:t>
            </w:r>
            <w:r>
              <w:rPr>
                <w:rStyle w:val="115"/>
                <w:rFonts w:hint="default" w:ascii="Times New Roman" w:hAnsi="Times New Roman" w:eastAsia="宋体" w:cs="Times New Roman"/>
                <w:sz w:val="21"/>
                <w:szCs w:val="21"/>
                <w:lang w:val="en-US" w:eastAsia="zh-CN" w:bidi="ar"/>
              </w:rPr>
              <w:t>2+</w:t>
            </w:r>
          </w:p>
        </w:tc>
        <w:tc>
          <w:tcPr>
            <w:tcW w:w="547" w:type="pct"/>
            <w:noWrap w:val="0"/>
            <w:vAlign w:val="center"/>
          </w:tcPr>
          <w:p w14:paraId="02E1B45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84" w:type="pct"/>
            <w:noWrap/>
            <w:vAlign w:val="center"/>
          </w:tcPr>
          <w:p w14:paraId="5187CF6A">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620" w:type="pct"/>
            <w:noWrap w:val="0"/>
            <w:vAlign w:val="center"/>
          </w:tcPr>
          <w:p w14:paraId="2A61CF0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w:t>
            </w:r>
          </w:p>
        </w:tc>
        <w:tc>
          <w:tcPr>
            <w:tcW w:w="385" w:type="pct"/>
            <w:noWrap w:val="0"/>
            <w:vAlign w:val="center"/>
          </w:tcPr>
          <w:p w14:paraId="5296FAD8">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732FDE5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50.5</w:t>
            </w:r>
          </w:p>
        </w:tc>
        <w:tc>
          <w:tcPr>
            <w:tcW w:w="385" w:type="pct"/>
            <w:noWrap w:val="0"/>
            <w:vAlign w:val="center"/>
          </w:tcPr>
          <w:p w14:paraId="7028600C">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0496551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55.6</w:t>
            </w:r>
          </w:p>
        </w:tc>
        <w:tc>
          <w:tcPr>
            <w:tcW w:w="418" w:type="pct"/>
            <w:noWrap w:val="0"/>
            <w:vAlign w:val="center"/>
          </w:tcPr>
          <w:p w14:paraId="10D71F8A">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6CBA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3F81218C">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HCO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Style w:val="115"/>
                <w:rFonts w:hint="default" w:ascii="Times New Roman" w:hAnsi="Times New Roman" w:eastAsia="宋体" w:cs="Times New Roman"/>
                <w:sz w:val="21"/>
                <w:szCs w:val="21"/>
                <w:lang w:val="en-US" w:eastAsia="zh-CN" w:bidi="ar"/>
              </w:rPr>
              <w:t>-</w:t>
            </w:r>
          </w:p>
        </w:tc>
        <w:tc>
          <w:tcPr>
            <w:tcW w:w="547" w:type="pct"/>
            <w:noWrap w:val="0"/>
            <w:vAlign w:val="center"/>
          </w:tcPr>
          <w:p w14:paraId="296A632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84" w:type="pct"/>
            <w:noWrap/>
            <w:vAlign w:val="center"/>
          </w:tcPr>
          <w:p w14:paraId="716B64CA">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620" w:type="pct"/>
            <w:noWrap w:val="0"/>
            <w:vAlign w:val="center"/>
          </w:tcPr>
          <w:p w14:paraId="2E4CD15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305</w:t>
            </w:r>
          </w:p>
        </w:tc>
        <w:tc>
          <w:tcPr>
            <w:tcW w:w="385" w:type="pct"/>
            <w:noWrap w:val="0"/>
            <w:vAlign w:val="center"/>
          </w:tcPr>
          <w:p w14:paraId="3F048E56">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1F1AE87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141</w:t>
            </w:r>
          </w:p>
        </w:tc>
        <w:tc>
          <w:tcPr>
            <w:tcW w:w="385" w:type="pct"/>
            <w:noWrap w:val="0"/>
            <w:vAlign w:val="center"/>
          </w:tcPr>
          <w:p w14:paraId="277EFA4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3F007ED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164</w:t>
            </w:r>
          </w:p>
        </w:tc>
        <w:tc>
          <w:tcPr>
            <w:tcW w:w="418" w:type="pct"/>
            <w:noWrap w:val="0"/>
            <w:vAlign w:val="center"/>
          </w:tcPr>
          <w:p w14:paraId="344F8F8D">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4E07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770576D5">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Style w:val="115"/>
                <w:rFonts w:hint="default" w:ascii="Times New Roman" w:hAnsi="Times New Roman" w:eastAsia="宋体" w:cs="Times New Roman"/>
                <w:sz w:val="21"/>
                <w:szCs w:val="21"/>
                <w:lang w:val="en-US" w:eastAsia="zh-CN" w:bidi="ar"/>
              </w:rPr>
              <w:t>2-</w:t>
            </w:r>
          </w:p>
        </w:tc>
        <w:tc>
          <w:tcPr>
            <w:tcW w:w="547" w:type="pct"/>
            <w:noWrap w:val="0"/>
            <w:vAlign w:val="center"/>
          </w:tcPr>
          <w:p w14:paraId="4390F151">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84" w:type="pct"/>
            <w:noWrap/>
            <w:vAlign w:val="center"/>
          </w:tcPr>
          <w:p w14:paraId="604C3105">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620" w:type="pct"/>
            <w:noWrap w:val="0"/>
            <w:vAlign w:val="center"/>
          </w:tcPr>
          <w:p w14:paraId="275B9A99">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w:t>
            </w:r>
          </w:p>
        </w:tc>
        <w:tc>
          <w:tcPr>
            <w:tcW w:w="385" w:type="pct"/>
            <w:noWrap w:val="0"/>
            <w:vAlign w:val="center"/>
          </w:tcPr>
          <w:p w14:paraId="7F6DC5AB">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0BB3CD7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w:t>
            </w:r>
          </w:p>
        </w:tc>
        <w:tc>
          <w:tcPr>
            <w:tcW w:w="385" w:type="pct"/>
            <w:noWrap w:val="0"/>
            <w:vAlign w:val="center"/>
          </w:tcPr>
          <w:p w14:paraId="59639922">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4A4D01D6">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w:t>
            </w:r>
          </w:p>
        </w:tc>
        <w:tc>
          <w:tcPr>
            <w:tcW w:w="418" w:type="pct"/>
            <w:noWrap w:val="0"/>
            <w:vAlign w:val="center"/>
          </w:tcPr>
          <w:p w14:paraId="7F912AF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1451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4" w:type="pct"/>
            <w:noWrap w:val="0"/>
            <w:vAlign w:val="center"/>
          </w:tcPr>
          <w:p w14:paraId="5BC83FD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Mg</w:t>
            </w:r>
            <w:r>
              <w:rPr>
                <w:rStyle w:val="115"/>
                <w:rFonts w:hint="default" w:ascii="Times New Roman" w:hAnsi="Times New Roman" w:eastAsia="宋体" w:cs="Times New Roman"/>
                <w:sz w:val="21"/>
                <w:szCs w:val="21"/>
                <w:lang w:val="en-US" w:eastAsia="zh-CN" w:bidi="ar"/>
              </w:rPr>
              <w:t>2+</w:t>
            </w:r>
          </w:p>
        </w:tc>
        <w:tc>
          <w:tcPr>
            <w:tcW w:w="547" w:type="pct"/>
            <w:noWrap w:val="0"/>
            <w:vAlign w:val="center"/>
          </w:tcPr>
          <w:p w14:paraId="5C45A3E1">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mg/L</w:t>
            </w:r>
          </w:p>
        </w:tc>
        <w:tc>
          <w:tcPr>
            <w:tcW w:w="484" w:type="pct"/>
            <w:noWrap/>
            <w:vAlign w:val="center"/>
          </w:tcPr>
          <w:p w14:paraId="6EF89D19">
            <w:pPr>
              <w:pStyle w:val="87"/>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620" w:type="pct"/>
            <w:noWrap w:val="0"/>
            <w:vAlign w:val="center"/>
          </w:tcPr>
          <w:p w14:paraId="0DFF0301">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15.3</w:t>
            </w:r>
          </w:p>
        </w:tc>
        <w:tc>
          <w:tcPr>
            <w:tcW w:w="385" w:type="pct"/>
            <w:noWrap w:val="0"/>
            <w:vAlign w:val="center"/>
          </w:tcPr>
          <w:p w14:paraId="02C8122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586" w:type="pct"/>
            <w:noWrap/>
            <w:vAlign w:val="center"/>
          </w:tcPr>
          <w:p w14:paraId="7FAB96D3">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2.76</w:t>
            </w:r>
          </w:p>
        </w:tc>
        <w:tc>
          <w:tcPr>
            <w:tcW w:w="385" w:type="pct"/>
            <w:noWrap w:val="0"/>
            <w:vAlign w:val="center"/>
          </w:tcPr>
          <w:p w14:paraId="1F9D3166">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687" w:type="pct"/>
            <w:noWrap w:val="0"/>
            <w:vAlign w:val="center"/>
          </w:tcPr>
          <w:p w14:paraId="7FF4D0C7">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2.85</w:t>
            </w:r>
          </w:p>
        </w:tc>
        <w:tc>
          <w:tcPr>
            <w:tcW w:w="418" w:type="pct"/>
            <w:noWrap w:val="0"/>
            <w:vAlign w:val="center"/>
          </w:tcPr>
          <w:p w14:paraId="6D89E334">
            <w:pPr>
              <w:pStyle w:val="8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3EA8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000" w:type="pct"/>
            <w:gridSpan w:val="9"/>
            <w:noWrap w:val="0"/>
            <w:vAlign w:val="center"/>
          </w:tcPr>
          <w:p w14:paraId="79A01ED2">
            <w:pPr>
              <w:pStyle w:val="87"/>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备注：“L”表示未检出，</w:t>
            </w:r>
            <w:r>
              <w:rPr>
                <w:rFonts w:hint="default" w:ascii="Times New Roman" w:hAnsi="Times New Roman" w:eastAsia="宋体" w:cs="Times New Roman"/>
                <w:sz w:val="21"/>
                <w:szCs w:val="21"/>
                <w:shd w:val="clear" w:fill="FFFFFF"/>
                <w:lang w:val="en-US" w:eastAsia="zh-CN"/>
              </w:rPr>
              <w:t>监测</w:t>
            </w:r>
            <w:r>
              <w:rPr>
                <w:rFonts w:hint="default" w:ascii="Times New Roman" w:hAnsi="Times New Roman" w:eastAsia="宋体" w:cs="Times New Roman"/>
                <w:sz w:val="21"/>
                <w:szCs w:val="21"/>
                <w:lang w:val="en-US" w:eastAsia="zh-CN"/>
              </w:rPr>
              <w:t>结果以检出限加“L”表示；括号内数据为该pH对应的温度，单位℃</w:t>
            </w:r>
          </w:p>
        </w:tc>
      </w:tr>
    </w:tbl>
    <w:p w14:paraId="4F0ACEF1">
      <w:pPr>
        <w:pStyle w:val="88"/>
        <w:rPr>
          <w:rFonts w:hint="default" w:ascii="Times New Roman" w:hAnsi="Times New Roman" w:eastAsia="宋体" w:cs="Times New Roman"/>
        </w:rPr>
      </w:pPr>
    </w:p>
    <w:p w14:paraId="5BE7B04E">
      <w:pPr>
        <w:pStyle w:val="85"/>
        <w:rPr>
          <w:rFonts w:hint="default" w:ascii="Times New Roman" w:hAnsi="Times New Roman" w:eastAsia="宋体" w:cs="Times New Roman"/>
          <w:b/>
          <w:bCs/>
        </w:rPr>
      </w:pPr>
      <w:r>
        <w:rPr>
          <w:rFonts w:hint="default" w:ascii="Times New Roman" w:hAnsi="Times New Roman" w:eastAsia="宋体" w:cs="Times New Roman"/>
          <w:b/>
          <w:bCs/>
          <w:lang w:eastAsia="zh-CN"/>
        </w:rPr>
        <w:t>表</w:t>
      </w:r>
      <w:r>
        <w:rPr>
          <w:rFonts w:hint="default" w:ascii="Times New Roman" w:hAnsi="Times New Roman" w:eastAsia="宋体" w:cs="Times New Roman"/>
          <w:b/>
          <w:bCs/>
          <w:lang w:val="en-US" w:eastAsia="zh-CN"/>
        </w:rPr>
        <w:t>4</w:t>
      </w:r>
      <w:r>
        <w:rPr>
          <w:rFonts w:hint="default" w:ascii="Times New Roman" w:hAnsi="Times New Roman" w:eastAsia="宋体" w:cs="Times New Roman"/>
          <w:b/>
          <w:bCs/>
          <w:lang w:eastAsia="zh-CN"/>
        </w:rPr>
        <w:t>.</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lang w:eastAsia="zh-CN"/>
        </w:rPr>
        <w:t>-</w:t>
      </w:r>
      <w:r>
        <w:rPr>
          <w:rFonts w:hint="default" w:ascii="Times New Roman" w:hAnsi="Times New Roman" w:eastAsia="宋体" w:cs="Times New Roman"/>
          <w:b/>
          <w:bCs/>
          <w:lang w:val="en-US" w:eastAsia="zh-CN"/>
        </w:rPr>
        <w:t>4</w:t>
      </w:r>
      <w:r>
        <w:rPr>
          <w:rFonts w:hint="default" w:ascii="Times New Roman" w:hAnsi="Times New Roman" w:eastAsia="宋体" w:cs="Times New Roman"/>
          <w:b/>
          <w:bCs/>
          <w:lang w:eastAsia="zh-CN"/>
        </w:rPr>
        <w:t xml:space="preserve"> 八大离子检测结果一览表</w:t>
      </w:r>
    </w:p>
    <w:tbl>
      <w:tblPr>
        <w:tblStyle w:val="2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1"/>
        <w:gridCol w:w="1501"/>
        <w:gridCol w:w="840"/>
        <w:gridCol w:w="795"/>
        <w:gridCol w:w="840"/>
        <w:gridCol w:w="840"/>
        <w:gridCol w:w="1005"/>
        <w:gridCol w:w="810"/>
        <w:gridCol w:w="855"/>
        <w:gridCol w:w="889"/>
      </w:tblGrid>
      <w:tr w14:paraId="6E543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19" w:type="pct"/>
            <w:vMerge w:val="restart"/>
            <w:tcBorders>
              <w:top w:val="single" w:color="000000" w:sz="8" w:space="0"/>
              <w:left w:val="single" w:color="000000" w:sz="8" w:space="0"/>
              <w:bottom w:val="single" w:color="000000" w:sz="8" w:space="0"/>
              <w:right w:val="single" w:color="000000" w:sz="8" w:space="0"/>
            </w:tcBorders>
            <w:noWrap/>
            <w:vAlign w:val="center"/>
          </w:tcPr>
          <w:p w14:paraId="7784FE5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编号</w:t>
            </w:r>
          </w:p>
        </w:tc>
        <w:tc>
          <w:tcPr>
            <w:tcW w:w="838" w:type="pct"/>
            <w:vMerge w:val="restart"/>
            <w:tcBorders>
              <w:top w:val="single" w:color="000000" w:sz="8" w:space="0"/>
              <w:left w:val="single" w:color="000000" w:sz="8" w:space="0"/>
              <w:bottom w:val="single" w:color="000000" w:sz="8" w:space="0"/>
              <w:right w:val="single" w:color="000000" w:sz="8" w:space="0"/>
            </w:tcBorders>
            <w:noWrap/>
            <w:vAlign w:val="center"/>
          </w:tcPr>
          <w:p w14:paraId="2128443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指标</w:t>
            </w:r>
          </w:p>
        </w:tc>
        <w:tc>
          <w:tcPr>
            <w:tcW w:w="3345" w:type="pct"/>
            <w:gridSpan w:val="7"/>
            <w:tcBorders>
              <w:top w:val="single" w:color="000000" w:sz="8" w:space="0"/>
              <w:left w:val="single" w:color="000000" w:sz="8" w:space="0"/>
              <w:bottom w:val="single" w:color="000000" w:sz="8" w:space="0"/>
              <w:right w:val="single" w:color="000000" w:sz="8" w:space="0"/>
            </w:tcBorders>
            <w:noWrap/>
            <w:vAlign w:val="center"/>
          </w:tcPr>
          <w:p w14:paraId="7C8654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离子数据分析结果</w:t>
            </w:r>
          </w:p>
        </w:tc>
        <w:tc>
          <w:tcPr>
            <w:tcW w:w="496" w:type="pct"/>
            <w:vMerge w:val="restart"/>
            <w:tcBorders>
              <w:top w:val="single" w:color="000000" w:sz="8" w:space="0"/>
              <w:left w:val="single" w:color="000000" w:sz="8" w:space="0"/>
              <w:bottom w:val="single" w:color="000000" w:sz="8" w:space="0"/>
              <w:right w:val="single" w:color="000000" w:sz="8" w:space="0"/>
            </w:tcBorders>
            <w:noWrap/>
            <w:vAlign w:val="center"/>
          </w:tcPr>
          <w:p w14:paraId="5AB36C1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水化学类型</w:t>
            </w:r>
          </w:p>
        </w:tc>
      </w:tr>
      <w:tr w14:paraId="3197D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19" w:type="pct"/>
            <w:vMerge w:val="continue"/>
            <w:tcBorders>
              <w:top w:val="single" w:color="000000" w:sz="8" w:space="0"/>
              <w:left w:val="single" w:color="000000" w:sz="8" w:space="0"/>
              <w:bottom w:val="single" w:color="000000" w:sz="8" w:space="0"/>
              <w:right w:val="single" w:color="000000" w:sz="8" w:space="0"/>
            </w:tcBorders>
            <w:noWrap/>
            <w:vAlign w:val="center"/>
          </w:tcPr>
          <w:p w14:paraId="483D9DE6">
            <w:pPr>
              <w:jc w:val="center"/>
              <w:rPr>
                <w:rFonts w:hint="default" w:ascii="Times New Roman" w:hAnsi="Times New Roman" w:eastAsia="宋体" w:cs="Times New Roman"/>
                <w:i w:val="0"/>
                <w:iCs w:val="0"/>
                <w:color w:val="000000"/>
                <w:sz w:val="21"/>
                <w:szCs w:val="21"/>
                <w:u w:val="none"/>
              </w:rPr>
            </w:pPr>
          </w:p>
        </w:tc>
        <w:tc>
          <w:tcPr>
            <w:tcW w:w="838" w:type="pct"/>
            <w:vMerge w:val="continue"/>
            <w:tcBorders>
              <w:top w:val="single" w:color="000000" w:sz="8" w:space="0"/>
              <w:left w:val="single" w:color="000000" w:sz="8" w:space="0"/>
              <w:bottom w:val="single" w:color="000000" w:sz="8" w:space="0"/>
              <w:right w:val="single" w:color="000000" w:sz="8" w:space="0"/>
            </w:tcBorders>
            <w:noWrap/>
            <w:vAlign w:val="center"/>
          </w:tcPr>
          <w:p w14:paraId="3BB07984">
            <w:pPr>
              <w:jc w:val="center"/>
              <w:rPr>
                <w:rFonts w:hint="default" w:ascii="Times New Roman" w:hAnsi="Times New Roman" w:eastAsia="宋体" w:cs="Times New Roman"/>
                <w:i w:val="0"/>
                <w:iCs w:val="0"/>
                <w:color w:val="000000"/>
                <w:sz w:val="21"/>
                <w:szCs w:val="21"/>
                <w:u w:val="none"/>
              </w:rPr>
            </w:pPr>
          </w:p>
        </w:tc>
        <w:tc>
          <w:tcPr>
            <w:tcW w:w="469" w:type="pct"/>
            <w:tcBorders>
              <w:top w:val="nil"/>
              <w:left w:val="single" w:color="000000" w:sz="8" w:space="0"/>
              <w:bottom w:val="single" w:color="000000" w:sz="8" w:space="0"/>
              <w:right w:val="single" w:color="000000" w:sz="8" w:space="0"/>
            </w:tcBorders>
            <w:noWrap/>
            <w:vAlign w:val="center"/>
          </w:tcPr>
          <w:p w14:paraId="417BEA2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w:t>
            </w:r>
            <w:r>
              <w:rPr>
                <w:rFonts w:hint="default" w:ascii="Times New Roman" w:hAnsi="Times New Roman" w:eastAsia="宋体" w:cs="Times New Roman"/>
                <w:i w:val="0"/>
                <w:iCs w:val="0"/>
                <w:color w:val="000000"/>
                <w:kern w:val="0"/>
                <w:sz w:val="21"/>
                <w:szCs w:val="21"/>
                <w:u w:val="none"/>
                <w:vertAlign w:val="superscript"/>
                <w:lang w:val="en-US" w:eastAsia="zh-CN" w:bidi="ar"/>
              </w:rPr>
              <w:t>+</w:t>
            </w:r>
          </w:p>
        </w:tc>
        <w:tc>
          <w:tcPr>
            <w:tcW w:w="444" w:type="pct"/>
            <w:tcBorders>
              <w:top w:val="nil"/>
              <w:left w:val="single" w:color="000000" w:sz="8" w:space="0"/>
              <w:bottom w:val="single" w:color="000000" w:sz="8" w:space="0"/>
              <w:right w:val="single" w:color="000000" w:sz="8" w:space="0"/>
            </w:tcBorders>
            <w:noWrap/>
            <w:vAlign w:val="center"/>
          </w:tcPr>
          <w:p w14:paraId="3954B58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Na</w:t>
            </w:r>
            <w:r>
              <w:rPr>
                <w:rFonts w:hint="default" w:ascii="Times New Roman" w:hAnsi="Times New Roman" w:eastAsia="宋体" w:cs="Times New Roman"/>
                <w:i w:val="0"/>
                <w:iCs w:val="0"/>
                <w:color w:val="000000"/>
                <w:kern w:val="0"/>
                <w:sz w:val="21"/>
                <w:szCs w:val="21"/>
                <w:u w:val="none"/>
                <w:vertAlign w:val="superscript"/>
                <w:lang w:val="en-US" w:eastAsia="zh-CN" w:bidi="ar"/>
              </w:rPr>
              <w:t>+</w:t>
            </w:r>
          </w:p>
        </w:tc>
        <w:tc>
          <w:tcPr>
            <w:tcW w:w="469" w:type="pct"/>
            <w:tcBorders>
              <w:top w:val="single" w:color="000000" w:sz="8" w:space="0"/>
              <w:left w:val="single" w:color="000000" w:sz="8" w:space="0"/>
              <w:bottom w:val="single" w:color="000000" w:sz="8" w:space="0"/>
              <w:right w:val="single" w:color="000000" w:sz="8" w:space="0"/>
            </w:tcBorders>
            <w:noWrap/>
            <w:vAlign w:val="center"/>
          </w:tcPr>
          <w:p w14:paraId="419DAC3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Ca</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469" w:type="pct"/>
            <w:tcBorders>
              <w:top w:val="single" w:color="000000" w:sz="8" w:space="0"/>
              <w:left w:val="single" w:color="000000" w:sz="8" w:space="0"/>
              <w:bottom w:val="single" w:color="000000" w:sz="8" w:space="0"/>
              <w:right w:val="single" w:color="000000" w:sz="8" w:space="0"/>
            </w:tcBorders>
            <w:noWrap/>
            <w:vAlign w:val="center"/>
          </w:tcPr>
          <w:p w14:paraId="6FA0F26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Mg</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561" w:type="pct"/>
            <w:tcBorders>
              <w:top w:val="single" w:color="000000" w:sz="8" w:space="0"/>
              <w:left w:val="single" w:color="000000" w:sz="8" w:space="0"/>
              <w:bottom w:val="single" w:color="000000" w:sz="8" w:space="0"/>
              <w:right w:val="single" w:color="000000" w:sz="8" w:space="0"/>
            </w:tcBorders>
            <w:noWrap/>
            <w:vAlign w:val="center"/>
          </w:tcPr>
          <w:p w14:paraId="0A8A509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HCO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vertAlign w:val="superscript"/>
                <w:lang w:val="en-US" w:eastAsia="zh-CN" w:bidi="ar"/>
              </w:rPr>
              <w:t>-</w:t>
            </w:r>
          </w:p>
        </w:tc>
        <w:tc>
          <w:tcPr>
            <w:tcW w:w="452" w:type="pct"/>
            <w:tcBorders>
              <w:top w:val="single" w:color="000000" w:sz="8" w:space="0"/>
              <w:left w:val="single" w:color="000000" w:sz="8" w:space="0"/>
              <w:bottom w:val="single" w:color="000000" w:sz="8" w:space="0"/>
              <w:right w:val="single" w:color="000000" w:sz="8" w:space="0"/>
            </w:tcBorders>
            <w:noWrap/>
            <w:vAlign w:val="center"/>
          </w:tcPr>
          <w:p w14:paraId="5D26B72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Cl</w:t>
            </w:r>
            <w:r>
              <w:rPr>
                <w:rFonts w:hint="default" w:ascii="Times New Roman" w:hAnsi="Times New Roman" w:eastAsia="宋体" w:cs="Times New Roman"/>
                <w:i w:val="0"/>
                <w:iCs w:val="0"/>
                <w:color w:val="000000"/>
                <w:kern w:val="0"/>
                <w:sz w:val="21"/>
                <w:szCs w:val="21"/>
                <w:u w:val="none"/>
                <w:vertAlign w:val="superscript"/>
                <w:lang w:val="en-US" w:eastAsia="zh-CN" w:bidi="ar"/>
              </w:rPr>
              <w:t>-</w:t>
            </w:r>
          </w:p>
        </w:tc>
        <w:tc>
          <w:tcPr>
            <w:tcW w:w="477" w:type="pct"/>
            <w:tcBorders>
              <w:top w:val="single" w:color="000000" w:sz="8" w:space="0"/>
              <w:left w:val="single" w:color="000000" w:sz="8" w:space="0"/>
              <w:bottom w:val="single" w:color="000000" w:sz="8" w:space="0"/>
              <w:right w:val="single" w:color="000000" w:sz="8" w:space="0"/>
            </w:tcBorders>
            <w:noWrap/>
            <w:vAlign w:val="center"/>
          </w:tcPr>
          <w:p w14:paraId="2E48DC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4</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496" w:type="pct"/>
            <w:vMerge w:val="continue"/>
            <w:tcBorders>
              <w:top w:val="single" w:color="000000" w:sz="8" w:space="0"/>
              <w:left w:val="single" w:color="000000" w:sz="8" w:space="0"/>
              <w:bottom w:val="single" w:color="000000" w:sz="8" w:space="0"/>
              <w:right w:val="single" w:color="000000" w:sz="8" w:space="0"/>
            </w:tcBorders>
            <w:noWrap/>
            <w:vAlign w:val="center"/>
          </w:tcPr>
          <w:p w14:paraId="2A3F58C3">
            <w:pPr>
              <w:jc w:val="center"/>
              <w:rPr>
                <w:rFonts w:hint="default" w:ascii="Times New Roman" w:hAnsi="Times New Roman" w:eastAsia="宋体" w:cs="Times New Roman"/>
                <w:i w:val="0"/>
                <w:iCs w:val="0"/>
                <w:color w:val="000000"/>
                <w:sz w:val="21"/>
                <w:szCs w:val="21"/>
                <w:u w:val="none"/>
              </w:rPr>
            </w:pPr>
          </w:p>
        </w:tc>
      </w:tr>
      <w:tr w14:paraId="1B708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19" w:type="pct"/>
            <w:vMerge w:val="restart"/>
            <w:tcBorders>
              <w:top w:val="nil"/>
              <w:left w:val="single" w:color="000000" w:sz="8" w:space="0"/>
              <w:bottom w:val="single" w:color="000000" w:sz="8" w:space="0"/>
              <w:right w:val="single" w:color="000000" w:sz="8" w:space="0"/>
            </w:tcBorders>
            <w:noWrap/>
            <w:vAlign w:val="center"/>
          </w:tcPr>
          <w:p w14:paraId="32C1F2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D1</w:t>
            </w:r>
          </w:p>
        </w:tc>
        <w:tc>
          <w:tcPr>
            <w:tcW w:w="838" w:type="pct"/>
            <w:tcBorders>
              <w:top w:val="nil"/>
              <w:left w:val="single" w:color="000000" w:sz="8" w:space="0"/>
              <w:bottom w:val="single" w:color="000000" w:sz="8" w:space="0"/>
              <w:right w:val="single" w:color="000000" w:sz="8" w:space="0"/>
            </w:tcBorders>
            <w:noWrap/>
            <w:vAlign w:val="center"/>
          </w:tcPr>
          <w:p w14:paraId="38F0FE4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毫克当量</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17B7C22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14:paraId="5DEFB2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0.77 </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2048D29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5.55 </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1132E4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1.28 </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35E24B1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452" w:type="pct"/>
            <w:tcBorders>
              <w:top w:val="single" w:color="000000" w:sz="4" w:space="0"/>
              <w:left w:val="single" w:color="000000" w:sz="4" w:space="0"/>
              <w:bottom w:val="single" w:color="000000" w:sz="4" w:space="0"/>
              <w:right w:val="single" w:color="000000" w:sz="4" w:space="0"/>
            </w:tcBorders>
            <w:noWrap w:val="0"/>
            <w:vAlign w:val="center"/>
          </w:tcPr>
          <w:p w14:paraId="621817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0.49 </w:t>
            </w:r>
          </w:p>
        </w:tc>
        <w:tc>
          <w:tcPr>
            <w:tcW w:w="477" w:type="pct"/>
            <w:tcBorders>
              <w:top w:val="single" w:color="000000" w:sz="4" w:space="0"/>
              <w:left w:val="single" w:color="000000" w:sz="4" w:space="0"/>
              <w:bottom w:val="single" w:color="000000" w:sz="4" w:space="0"/>
              <w:right w:val="single" w:color="000000" w:sz="4" w:space="0"/>
            </w:tcBorders>
            <w:noWrap w:val="0"/>
            <w:vAlign w:val="center"/>
          </w:tcPr>
          <w:p w14:paraId="55F2877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0.71 </w:t>
            </w:r>
          </w:p>
        </w:tc>
        <w:tc>
          <w:tcPr>
            <w:tcW w:w="496" w:type="pct"/>
            <w:vMerge w:val="restart"/>
            <w:tcBorders>
              <w:top w:val="nil"/>
              <w:left w:val="single" w:color="000000" w:sz="8" w:space="0"/>
              <w:bottom w:val="single" w:color="000000" w:sz="8" w:space="0"/>
              <w:right w:val="single" w:color="000000" w:sz="8" w:space="0"/>
            </w:tcBorders>
            <w:noWrap/>
            <w:vAlign w:val="center"/>
          </w:tcPr>
          <w:p w14:paraId="72B1739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HCO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-Ca</w:t>
            </w:r>
          </w:p>
        </w:tc>
      </w:tr>
      <w:tr w14:paraId="59C37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19" w:type="pct"/>
            <w:vMerge w:val="continue"/>
            <w:tcBorders>
              <w:top w:val="nil"/>
              <w:left w:val="single" w:color="000000" w:sz="8" w:space="0"/>
              <w:bottom w:val="single" w:color="000000" w:sz="8" w:space="0"/>
              <w:right w:val="single" w:color="000000" w:sz="8" w:space="0"/>
            </w:tcBorders>
            <w:noWrap/>
            <w:vAlign w:val="center"/>
          </w:tcPr>
          <w:p w14:paraId="60CDC407">
            <w:pPr>
              <w:jc w:val="center"/>
              <w:rPr>
                <w:rFonts w:hint="default" w:ascii="Times New Roman" w:hAnsi="Times New Roman" w:eastAsia="宋体" w:cs="Times New Roman"/>
                <w:i w:val="0"/>
                <w:iCs w:val="0"/>
                <w:color w:val="000000"/>
                <w:sz w:val="21"/>
                <w:szCs w:val="21"/>
                <w:u w:val="none"/>
              </w:rPr>
            </w:pPr>
          </w:p>
        </w:tc>
        <w:tc>
          <w:tcPr>
            <w:tcW w:w="838" w:type="pct"/>
            <w:tcBorders>
              <w:top w:val="nil"/>
              <w:left w:val="single" w:color="000000" w:sz="8" w:space="0"/>
              <w:bottom w:val="single" w:color="000000" w:sz="8" w:space="0"/>
              <w:right w:val="single" w:color="000000" w:sz="8" w:space="0"/>
            </w:tcBorders>
            <w:noWrap/>
            <w:vAlign w:val="center"/>
          </w:tcPr>
          <w:p w14:paraId="29150C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毫克当量所在百分比(%)</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306202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0.60</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14:paraId="4FAFD7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10.07</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249C972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72.64</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73DD3F2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16.69</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97AF92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80.61</w:t>
            </w:r>
          </w:p>
        </w:tc>
        <w:tc>
          <w:tcPr>
            <w:tcW w:w="452" w:type="pct"/>
            <w:tcBorders>
              <w:top w:val="single" w:color="000000" w:sz="4" w:space="0"/>
              <w:left w:val="single" w:color="000000" w:sz="4" w:space="0"/>
              <w:bottom w:val="single" w:color="000000" w:sz="4" w:space="0"/>
              <w:right w:val="single" w:color="000000" w:sz="4" w:space="0"/>
            </w:tcBorders>
            <w:noWrap w:val="0"/>
            <w:vAlign w:val="center"/>
          </w:tcPr>
          <w:p w14:paraId="76F9175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7.90</w:t>
            </w:r>
          </w:p>
        </w:tc>
        <w:tc>
          <w:tcPr>
            <w:tcW w:w="477" w:type="pct"/>
            <w:tcBorders>
              <w:top w:val="single" w:color="000000" w:sz="4" w:space="0"/>
              <w:left w:val="single" w:color="000000" w:sz="4" w:space="0"/>
              <w:bottom w:val="single" w:color="000000" w:sz="4" w:space="0"/>
              <w:right w:val="single" w:color="000000" w:sz="4" w:space="0"/>
            </w:tcBorders>
            <w:noWrap w:val="0"/>
            <w:vAlign w:val="center"/>
          </w:tcPr>
          <w:p w14:paraId="1B2FCD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11.49</w:t>
            </w:r>
          </w:p>
        </w:tc>
        <w:tc>
          <w:tcPr>
            <w:tcW w:w="496" w:type="pct"/>
            <w:vMerge w:val="continue"/>
            <w:tcBorders>
              <w:top w:val="nil"/>
              <w:left w:val="single" w:color="000000" w:sz="8" w:space="0"/>
              <w:bottom w:val="single" w:color="000000" w:sz="8" w:space="0"/>
              <w:right w:val="single" w:color="000000" w:sz="8" w:space="0"/>
            </w:tcBorders>
            <w:noWrap/>
            <w:vAlign w:val="center"/>
          </w:tcPr>
          <w:p w14:paraId="2BE0F6D3">
            <w:pPr>
              <w:jc w:val="center"/>
              <w:rPr>
                <w:rFonts w:hint="default" w:ascii="Times New Roman" w:hAnsi="Times New Roman" w:eastAsia="宋体" w:cs="Times New Roman"/>
                <w:i w:val="0"/>
                <w:iCs w:val="0"/>
                <w:color w:val="000000"/>
                <w:sz w:val="21"/>
                <w:szCs w:val="21"/>
                <w:u w:val="none"/>
              </w:rPr>
            </w:pPr>
          </w:p>
        </w:tc>
      </w:tr>
      <w:tr w14:paraId="638A4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19" w:type="pct"/>
            <w:vMerge w:val="continue"/>
            <w:tcBorders>
              <w:top w:val="nil"/>
              <w:left w:val="single" w:color="000000" w:sz="8" w:space="0"/>
              <w:bottom w:val="single" w:color="000000" w:sz="8" w:space="0"/>
              <w:right w:val="single" w:color="000000" w:sz="8" w:space="0"/>
            </w:tcBorders>
            <w:noWrap/>
            <w:vAlign w:val="center"/>
          </w:tcPr>
          <w:p w14:paraId="370F33F5">
            <w:pPr>
              <w:jc w:val="center"/>
              <w:rPr>
                <w:rFonts w:hint="default" w:ascii="Times New Roman" w:hAnsi="Times New Roman" w:eastAsia="宋体" w:cs="Times New Roman"/>
                <w:i w:val="0"/>
                <w:iCs w:val="0"/>
                <w:color w:val="000000"/>
                <w:sz w:val="21"/>
                <w:szCs w:val="21"/>
                <w:u w:val="none"/>
              </w:rPr>
            </w:pPr>
          </w:p>
        </w:tc>
        <w:tc>
          <w:tcPr>
            <w:tcW w:w="838" w:type="pct"/>
            <w:tcBorders>
              <w:top w:val="nil"/>
              <w:left w:val="single" w:color="000000" w:sz="8" w:space="0"/>
              <w:bottom w:val="single" w:color="000000" w:sz="8" w:space="0"/>
              <w:right w:val="single" w:color="000000" w:sz="8" w:space="0"/>
            </w:tcBorders>
            <w:noWrap/>
            <w:vAlign w:val="center"/>
          </w:tcPr>
          <w:p w14:paraId="1890FD2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检测值</w:t>
            </w:r>
          </w:p>
        </w:tc>
        <w:tc>
          <w:tcPr>
            <w:tcW w:w="469" w:type="pct"/>
            <w:tcBorders>
              <w:top w:val="single" w:color="000000" w:sz="8" w:space="0"/>
              <w:left w:val="single" w:color="000000" w:sz="8" w:space="0"/>
              <w:bottom w:val="single" w:color="000000" w:sz="8" w:space="0"/>
              <w:right w:val="single" w:color="000000" w:sz="8" w:space="0"/>
            </w:tcBorders>
            <w:noWrap w:val="0"/>
            <w:vAlign w:val="center"/>
          </w:tcPr>
          <w:p w14:paraId="3905D70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444" w:type="pct"/>
            <w:tcBorders>
              <w:top w:val="nil"/>
              <w:left w:val="single" w:color="000000" w:sz="8" w:space="0"/>
              <w:bottom w:val="single" w:color="000000" w:sz="8" w:space="0"/>
              <w:right w:val="single" w:color="000000" w:sz="8" w:space="0"/>
            </w:tcBorders>
            <w:noWrap w:val="0"/>
            <w:vAlign w:val="center"/>
          </w:tcPr>
          <w:p w14:paraId="79D7A81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469" w:type="pct"/>
            <w:tcBorders>
              <w:top w:val="nil"/>
              <w:left w:val="single" w:color="000000" w:sz="8" w:space="0"/>
              <w:bottom w:val="single" w:color="000000" w:sz="8" w:space="0"/>
              <w:right w:val="single" w:color="000000" w:sz="8" w:space="0"/>
            </w:tcBorders>
            <w:noWrap w:val="0"/>
            <w:vAlign w:val="center"/>
          </w:tcPr>
          <w:p w14:paraId="4485B4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469" w:type="pct"/>
            <w:tcBorders>
              <w:top w:val="nil"/>
              <w:left w:val="single" w:color="000000" w:sz="8" w:space="0"/>
              <w:bottom w:val="single" w:color="000000" w:sz="8" w:space="0"/>
              <w:right w:val="single" w:color="000000" w:sz="8" w:space="0"/>
            </w:tcBorders>
            <w:noWrap w:val="0"/>
            <w:vAlign w:val="center"/>
          </w:tcPr>
          <w:p w14:paraId="5DFBC3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561" w:type="pct"/>
            <w:tcBorders>
              <w:top w:val="nil"/>
              <w:left w:val="single" w:color="000000" w:sz="8" w:space="0"/>
              <w:bottom w:val="single" w:color="000000" w:sz="8" w:space="0"/>
              <w:right w:val="single" w:color="000000" w:sz="8" w:space="0"/>
            </w:tcBorders>
            <w:noWrap w:val="0"/>
            <w:vAlign w:val="center"/>
          </w:tcPr>
          <w:p w14:paraId="621E7A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305</w:t>
            </w:r>
          </w:p>
        </w:tc>
        <w:tc>
          <w:tcPr>
            <w:tcW w:w="452" w:type="pct"/>
            <w:tcBorders>
              <w:top w:val="nil"/>
              <w:left w:val="single" w:color="000000" w:sz="8" w:space="0"/>
              <w:bottom w:val="single" w:color="000000" w:sz="8" w:space="0"/>
              <w:right w:val="single" w:color="000000" w:sz="8" w:space="0"/>
            </w:tcBorders>
            <w:noWrap w:val="0"/>
            <w:vAlign w:val="center"/>
          </w:tcPr>
          <w:p w14:paraId="3006A85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477" w:type="pct"/>
            <w:tcBorders>
              <w:top w:val="nil"/>
              <w:left w:val="single" w:color="000000" w:sz="8" w:space="0"/>
              <w:bottom w:val="single" w:color="000000" w:sz="8" w:space="0"/>
              <w:right w:val="single" w:color="000000" w:sz="8" w:space="0"/>
            </w:tcBorders>
            <w:noWrap w:val="0"/>
            <w:vAlign w:val="center"/>
          </w:tcPr>
          <w:p w14:paraId="7EC2780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34.2</w:t>
            </w:r>
          </w:p>
        </w:tc>
        <w:tc>
          <w:tcPr>
            <w:tcW w:w="496" w:type="pct"/>
            <w:vMerge w:val="continue"/>
            <w:tcBorders>
              <w:top w:val="nil"/>
              <w:left w:val="single" w:color="000000" w:sz="8" w:space="0"/>
              <w:bottom w:val="single" w:color="000000" w:sz="8" w:space="0"/>
              <w:right w:val="single" w:color="000000" w:sz="8" w:space="0"/>
            </w:tcBorders>
            <w:noWrap/>
            <w:vAlign w:val="center"/>
          </w:tcPr>
          <w:p w14:paraId="187B3766">
            <w:pPr>
              <w:jc w:val="center"/>
              <w:rPr>
                <w:rFonts w:hint="default" w:ascii="Times New Roman" w:hAnsi="Times New Roman" w:eastAsia="宋体" w:cs="Times New Roman"/>
                <w:i w:val="0"/>
                <w:iCs w:val="0"/>
                <w:color w:val="000000"/>
                <w:sz w:val="21"/>
                <w:szCs w:val="21"/>
                <w:u w:val="none"/>
              </w:rPr>
            </w:pPr>
          </w:p>
        </w:tc>
      </w:tr>
      <w:tr w14:paraId="25490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19" w:type="pct"/>
            <w:vMerge w:val="restart"/>
            <w:tcBorders>
              <w:top w:val="nil"/>
              <w:left w:val="single" w:color="000000" w:sz="8" w:space="0"/>
              <w:bottom w:val="single" w:color="000000" w:sz="8" w:space="0"/>
              <w:right w:val="single" w:color="000000" w:sz="8" w:space="0"/>
            </w:tcBorders>
            <w:noWrap/>
            <w:vAlign w:val="center"/>
          </w:tcPr>
          <w:p w14:paraId="052CE94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D2</w:t>
            </w:r>
          </w:p>
        </w:tc>
        <w:tc>
          <w:tcPr>
            <w:tcW w:w="838" w:type="pct"/>
            <w:tcBorders>
              <w:top w:val="nil"/>
              <w:left w:val="single" w:color="000000" w:sz="8" w:space="0"/>
              <w:bottom w:val="single" w:color="000000" w:sz="8" w:space="0"/>
              <w:right w:val="single" w:color="000000" w:sz="8" w:space="0"/>
            </w:tcBorders>
            <w:noWrap/>
            <w:vAlign w:val="center"/>
          </w:tcPr>
          <w:p w14:paraId="6D2435B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毫克当量</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2DA462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14:paraId="05A703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0.19 </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6CA44E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2.53 </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75B1A00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0.23 </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652F8FD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2.31 </w:t>
            </w:r>
          </w:p>
        </w:tc>
        <w:tc>
          <w:tcPr>
            <w:tcW w:w="452" w:type="pct"/>
            <w:tcBorders>
              <w:top w:val="single" w:color="000000" w:sz="4" w:space="0"/>
              <w:left w:val="single" w:color="000000" w:sz="4" w:space="0"/>
              <w:bottom w:val="single" w:color="000000" w:sz="4" w:space="0"/>
              <w:right w:val="single" w:color="000000" w:sz="4" w:space="0"/>
            </w:tcBorders>
            <w:noWrap w:val="0"/>
            <w:vAlign w:val="center"/>
          </w:tcPr>
          <w:p w14:paraId="158060E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0.06 </w:t>
            </w:r>
          </w:p>
        </w:tc>
        <w:tc>
          <w:tcPr>
            <w:tcW w:w="477" w:type="pct"/>
            <w:tcBorders>
              <w:top w:val="single" w:color="000000" w:sz="4" w:space="0"/>
              <w:left w:val="single" w:color="000000" w:sz="4" w:space="0"/>
              <w:bottom w:val="single" w:color="000000" w:sz="4" w:space="0"/>
              <w:right w:val="single" w:color="000000" w:sz="4" w:space="0"/>
            </w:tcBorders>
            <w:noWrap w:val="0"/>
            <w:vAlign w:val="center"/>
          </w:tcPr>
          <w:p w14:paraId="1EFF4D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0.48 </w:t>
            </w:r>
          </w:p>
        </w:tc>
        <w:tc>
          <w:tcPr>
            <w:tcW w:w="496" w:type="pct"/>
            <w:vMerge w:val="restart"/>
            <w:tcBorders>
              <w:top w:val="nil"/>
              <w:left w:val="single" w:color="000000" w:sz="8" w:space="0"/>
              <w:bottom w:val="single" w:color="000000" w:sz="8" w:space="0"/>
              <w:right w:val="single" w:color="000000" w:sz="8" w:space="0"/>
            </w:tcBorders>
            <w:noWrap/>
            <w:vAlign w:val="center"/>
          </w:tcPr>
          <w:p w14:paraId="16D2439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HCO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-Ca</w:t>
            </w:r>
          </w:p>
        </w:tc>
      </w:tr>
      <w:tr w14:paraId="477DF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19" w:type="pct"/>
            <w:vMerge w:val="continue"/>
            <w:tcBorders>
              <w:top w:val="nil"/>
              <w:left w:val="single" w:color="000000" w:sz="8" w:space="0"/>
              <w:bottom w:val="single" w:color="000000" w:sz="8" w:space="0"/>
              <w:right w:val="single" w:color="000000" w:sz="8" w:space="0"/>
            </w:tcBorders>
            <w:noWrap/>
            <w:vAlign w:val="center"/>
          </w:tcPr>
          <w:p w14:paraId="01691222">
            <w:pPr>
              <w:jc w:val="center"/>
              <w:rPr>
                <w:rFonts w:hint="default" w:ascii="Times New Roman" w:hAnsi="Times New Roman" w:eastAsia="宋体" w:cs="Times New Roman"/>
                <w:i w:val="0"/>
                <w:iCs w:val="0"/>
                <w:color w:val="000000"/>
                <w:sz w:val="21"/>
                <w:szCs w:val="21"/>
                <w:u w:val="none"/>
              </w:rPr>
            </w:pPr>
          </w:p>
        </w:tc>
        <w:tc>
          <w:tcPr>
            <w:tcW w:w="838" w:type="pct"/>
            <w:tcBorders>
              <w:top w:val="nil"/>
              <w:left w:val="single" w:color="000000" w:sz="8" w:space="0"/>
              <w:bottom w:val="single" w:color="000000" w:sz="8" w:space="0"/>
              <w:right w:val="single" w:color="000000" w:sz="8" w:space="0"/>
            </w:tcBorders>
            <w:noWrap/>
            <w:vAlign w:val="center"/>
          </w:tcPr>
          <w:p w14:paraId="0773D95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毫克当量所在百分比(%)</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5227BCC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0.81</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14:paraId="0FAB382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6.51</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2A31269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84.94</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7E81CC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7.74</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37D445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81.24</w:t>
            </w:r>
          </w:p>
        </w:tc>
        <w:tc>
          <w:tcPr>
            <w:tcW w:w="452" w:type="pct"/>
            <w:tcBorders>
              <w:top w:val="single" w:color="000000" w:sz="4" w:space="0"/>
              <w:left w:val="single" w:color="000000" w:sz="4" w:space="0"/>
              <w:bottom w:val="single" w:color="000000" w:sz="4" w:space="0"/>
              <w:right w:val="single" w:color="000000" w:sz="4" w:space="0"/>
            </w:tcBorders>
            <w:noWrap w:val="0"/>
            <w:vAlign w:val="center"/>
          </w:tcPr>
          <w:p w14:paraId="3F9182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w:t>
            </w:r>
          </w:p>
        </w:tc>
        <w:tc>
          <w:tcPr>
            <w:tcW w:w="477" w:type="pct"/>
            <w:tcBorders>
              <w:top w:val="single" w:color="000000" w:sz="4" w:space="0"/>
              <w:left w:val="single" w:color="000000" w:sz="4" w:space="0"/>
              <w:bottom w:val="single" w:color="000000" w:sz="4" w:space="0"/>
              <w:right w:val="single" w:color="000000" w:sz="4" w:space="0"/>
            </w:tcBorders>
            <w:noWrap w:val="0"/>
            <w:vAlign w:val="center"/>
          </w:tcPr>
          <w:p w14:paraId="124EC4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16.77</w:t>
            </w:r>
          </w:p>
        </w:tc>
        <w:tc>
          <w:tcPr>
            <w:tcW w:w="496" w:type="pct"/>
            <w:vMerge w:val="continue"/>
            <w:tcBorders>
              <w:top w:val="nil"/>
              <w:left w:val="single" w:color="000000" w:sz="8" w:space="0"/>
              <w:bottom w:val="single" w:color="000000" w:sz="8" w:space="0"/>
              <w:right w:val="single" w:color="000000" w:sz="8" w:space="0"/>
            </w:tcBorders>
            <w:noWrap/>
            <w:vAlign w:val="center"/>
          </w:tcPr>
          <w:p w14:paraId="2A04A0EF">
            <w:pPr>
              <w:jc w:val="center"/>
              <w:rPr>
                <w:rFonts w:hint="default" w:ascii="Times New Roman" w:hAnsi="Times New Roman" w:eastAsia="宋体" w:cs="Times New Roman"/>
                <w:i w:val="0"/>
                <w:iCs w:val="0"/>
                <w:color w:val="000000"/>
                <w:sz w:val="21"/>
                <w:szCs w:val="21"/>
                <w:u w:val="none"/>
              </w:rPr>
            </w:pPr>
          </w:p>
        </w:tc>
      </w:tr>
      <w:tr w14:paraId="22F93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19" w:type="pct"/>
            <w:vMerge w:val="continue"/>
            <w:tcBorders>
              <w:top w:val="nil"/>
              <w:left w:val="single" w:color="000000" w:sz="8" w:space="0"/>
              <w:bottom w:val="single" w:color="000000" w:sz="8" w:space="0"/>
              <w:right w:val="single" w:color="000000" w:sz="8" w:space="0"/>
            </w:tcBorders>
            <w:noWrap/>
            <w:vAlign w:val="center"/>
          </w:tcPr>
          <w:p w14:paraId="48A76CBA">
            <w:pPr>
              <w:jc w:val="center"/>
              <w:rPr>
                <w:rFonts w:hint="default" w:ascii="Times New Roman" w:hAnsi="Times New Roman" w:eastAsia="宋体" w:cs="Times New Roman"/>
                <w:i w:val="0"/>
                <w:iCs w:val="0"/>
                <w:color w:val="000000"/>
                <w:sz w:val="21"/>
                <w:szCs w:val="21"/>
                <w:u w:val="none"/>
              </w:rPr>
            </w:pPr>
          </w:p>
        </w:tc>
        <w:tc>
          <w:tcPr>
            <w:tcW w:w="838" w:type="pct"/>
            <w:tcBorders>
              <w:top w:val="nil"/>
              <w:left w:val="single" w:color="000000" w:sz="8" w:space="0"/>
              <w:bottom w:val="single" w:color="000000" w:sz="8" w:space="0"/>
              <w:right w:val="single" w:color="000000" w:sz="8" w:space="0"/>
            </w:tcBorders>
            <w:noWrap/>
            <w:vAlign w:val="center"/>
          </w:tcPr>
          <w:p w14:paraId="6D4BEBD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检测值</w:t>
            </w:r>
          </w:p>
        </w:tc>
        <w:tc>
          <w:tcPr>
            <w:tcW w:w="469" w:type="pct"/>
            <w:tcBorders>
              <w:top w:val="single" w:color="000000" w:sz="8" w:space="0"/>
              <w:left w:val="single" w:color="000000" w:sz="8" w:space="0"/>
              <w:bottom w:val="single" w:color="000000" w:sz="8" w:space="0"/>
              <w:right w:val="single" w:color="000000" w:sz="8" w:space="0"/>
            </w:tcBorders>
            <w:noWrap/>
            <w:vAlign w:val="center"/>
          </w:tcPr>
          <w:p w14:paraId="5D4F416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0.94</w:t>
            </w:r>
          </w:p>
        </w:tc>
        <w:tc>
          <w:tcPr>
            <w:tcW w:w="444" w:type="pct"/>
            <w:tcBorders>
              <w:top w:val="nil"/>
              <w:left w:val="single" w:color="000000" w:sz="8" w:space="0"/>
              <w:bottom w:val="single" w:color="000000" w:sz="8" w:space="0"/>
              <w:right w:val="single" w:color="000000" w:sz="8" w:space="0"/>
            </w:tcBorders>
            <w:noWrap/>
            <w:vAlign w:val="center"/>
          </w:tcPr>
          <w:p w14:paraId="24F369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4.45</w:t>
            </w:r>
          </w:p>
        </w:tc>
        <w:tc>
          <w:tcPr>
            <w:tcW w:w="469" w:type="pct"/>
            <w:tcBorders>
              <w:top w:val="nil"/>
              <w:left w:val="single" w:color="000000" w:sz="8" w:space="0"/>
              <w:bottom w:val="single" w:color="000000" w:sz="8" w:space="0"/>
              <w:right w:val="single" w:color="000000" w:sz="8" w:space="0"/>
            </w:tcBorders>
            <w:noWrap/>
            <w:vAlign w:val="center"/>
          </w:tcPr>
          <w:p w14:paraId="0EC4DD7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50.5</w:t>
            </w:r>
          </w:p>
        </w:tc>
        <w:tc>
          <w:tcPr>
            <w:tcW w:w="469" w:type="pct"/>
            <w:tcBorders>
              <w:top w:val="nil"/>
              <w:left w:val="single" w:color="000000" w:sz="8" w:space="0"/>
              <w:bottom w:val="single" w:color="000000" w:sz="8" w:space="0"/>
              <w:right w:val="single" w:color="000000" w:sz="8" w:space="0"/>
            </w:tcBorders>
            <w:noWrap/>
            <w:vAlign w:val="center"/>
          </w:tcPr>
          <w:p w14:paraId="05A03DF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561" w:type="pct"/>
            <w:tcBorders>
              <w:top w:val="nil"/>
              <w:left w:val="single" w:color="000000" w:sz="8" w:space="0"/>
              <w:bottom w:val="single" w:color="000000" w:sz="8" w:space="0"/>
              <w:right w:val="single" w:color="000000" w:sz="8" w:space="0"/>
            </w:tcBorders>
            <w:noWrap/>
            <w:vAlign w:val="center"/>
          </w:tcPr>
          <w:p w14:paraId="19706F1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452" w:type="pct"/>
            <w:tcBorders>
              <w:top w:val="nil"/>
              <w:left w:val="single" w:color="000000" w:sz="8" w:space="0"/>
              <w:bottom w:val="single" w:color="000000" w:sz="8" w:space="0"/>
              <w:right w:val="single" w:color="000000" w:sz="8" w:space="0"/>
            </w:tcBorders>
            <w:noWrap/>
            <w:vAlign w:val="center"/>
          </w:tcPr>
          <w:p w14:paraId="1BDEEC8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477" w:type="pct"/>
            <w:tcBorders>
              <w:top w:val="nil"/>
              <w:left w:val="single" w:color="000000" w:sz="8" w:space="0"/>
              <w:bottom w:val="single" w:color="000000" w:sz="8" w:space="0"/>
              <w:right w:val="single" w:color="000000" w:sz="8" w:space="0"/>
            </w:tcBorders>
            <w:noWrap/>
            <w:vAlign w:val="center"/>
          </w:tcPr>
          <w:p w14:paraId="4D3F7A9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22.9</w:t>
            </w:r>
          </w:p>
        </w:tc>
        <w:tc>
          <w:tcPr>
            <w:tcW w:w="496" w:type="pct"/>
            <w:vMerge w:val="continue"/>
            <w:tcBorders>
              <w:top w:val="nil"/>
              <w:left w:val="single" w:color="000000" w:sz="8" w:space="0"/>
              <w:bottom w:val="single" w:color="000000" w:sz="8" w:space="0"/>
              <w:right w:val="single" w:color="000000" w:sz="8" w:space="0"/>
            </w:tcBorders>
            <w:noWrap/>
            <w:vAlign w:val="center"/>
          </w:tcPr>
          <w:p w14:paraId="2E1C681F">
            <w:pPr>
              <w:jc w:val="center"/>
              <w:rPr>
                <w:rFonts w:hint="default" w:ascii="Times New Roman" w:hAnsi="Times New Roman" w:eastAsia="宋体" w:cs="Times New Roman"/>
                <w:i w:val="0"/>
                <w:iCs w:val="0"/>
                <w:color w:val="000000"/>
                <w:sz w:val="21"/>
                <w:szCs w:val="21"/>
                <w:u w:val="none"/>
              </w:rPr>
            </w:pPr>
          </w:p>
        </w:tc>
      </w:tr>
      <w:tr w14:paraId="4A8F9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19" w:type="pct"/>
            <w:vMerge w:val="restart"/>
            <w:tcBorders>
              <w:top w:val="nil"/>
              <w:left w:val="single" w:color="000000" w:sz="8" w:space="0"/>
              <w:bottom w:val="single" w:color="000000" w:sz="8" w:space="0"/>
              <w:right w:val="single" w:color="000000" w:sz="8" w:space="0"/>
            </w:tcBorders>
            <w:noWrap/>
            <w:vAlign w:val="center"/>
          </w:tcPr>
          <w:p w14:paraId="521BECF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D3</w:t>
            </w:r>
          </w:p>
        </w:tc>
        <w:tc>
          <w:tcPr>
            <w:tcW w:w="838" w:type="pct"/>
            <w:tcBorders>
              <w:top w:val="nil"/>
              <w:left w:val="single" w:color="000000" w:sz="8" w:space="0"/>
              <w:bottom w:val="single" w:color="000000" w:sz="8" w:space="0"/>
              <w:right w:val="single" w:color="000000" w:sz="8" w:space="0"/>
            </w:tcBorders>
            <w:noWrap/>
            <w:vAlign w:val="center"/>
          </w:tcPr>
          <w:p w14:paraId="555E47F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毫克当量</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2A1C9C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14:paraId="107471E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0.18 </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1B6B461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2.78 </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4C86E5E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0.12 </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AE1755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2.69 </w:t>
            </w:r>
          </w:p>
        </w:tc>
        <w:tc>
          <w:tcPr>
            <w:tcW w:w="452" w:type="pct"/>
            <w:tcBorders>
              <w:top w:val="single" w:color="000000" w:sz="4" w:space="0"/>
              <w:left w:val="single" w:color="000000" w:sz="4" w:space="0"/>
              <w:bottom w:val="single" w:color="000000" w:sz="4" w:space="0"/>
              <w:right w:val="single" w:color="000000" w:sz="4" w:space="0"/>
            </w:tcBorders>
            <w:noWrap w:val="0"/>
            <w:vAlign w:val="center"/>
          </w:tcPr>
          <w:p w14:paraId="2C8175E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c>
          <w:tcPr>
            <w:tcW w:w="477" w:type="pct"/>
            <w:tcBorders>
              <w:top w:val="single" w:color="000000" w:sz="4" w:space="0"/>
              <w:left w:val="single" w:color="000000" w:sz="4" w:space="0"/>
              <w:bottom w:val="single" w:color="000000" w:sz="4" w:space="0"/>
              <w:right w:val="single" w:color="000000" w:sz="4" w:space="0"/>
            </w:tcBorders>
            <w:noWrap w:val="0"/>
            <w:vAlign w:val="center"/>
          </w:tcPr>
          <w:p w14:paraId="4451473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0.28 </w:t>
            </w:r>
          </w:p>
        </w:tc>
        <w:tc>
          <w:tcPr>
            <w:tcW w:w="496" w:type="pct"/>
            <w:vMerge w:val="restart"/>
            <w:tcBorders>
              <w:top w:val="nil"/>
              <w:left w:val="single" w:color="000000" w:sz="8" w:space="0"/>
              <w:bottom w:val="single" w:color="000000" w:sz="8" w:space="0"/>
              <w:right w:val="single" w:color="000000" w:sz="8" w:space="0"/>
            </w:tcBorders>
            <w:noWrap/>
            <w:vAlign w:val="center"/>
          </w:tcPr>
          <w:p w14:paraId="57A05A6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HCO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-Ca</w:t>
            </w:r>
          </w:p>
        </w:tc>
      </w:tr>
      <w:tr w14:paraId="7E433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19" w:type="pct"/>
            <w:vMerge w:val="continue"/>
            <w:tcBorders>
              <w:top w:val="nil"/>
              <w:left w:val="single" w:color="000000" w:sz="8" w:space="0"/>
              <w:bottom w:val="single" w:color="000000" w:sz="8" w:space="0"/>
              <w:right w:val="single" w:color="000000" w:sz="8" w:space="0"/>
            </w:tcBorders>
            <w:noWrap/>
            <w:vAlign w:val="center"/>
          </w:tcPr>
          <w:p w14:paraId="51B9BFBC">
            <w:pPr>
              <w:jc w:val="center"/>
              <w:rPr>
                <w:rFonts w:hint="default" w:ascii="Times New Roman" w:hAnsi="Times New Roman" w:eastAsia="宋体" w:cs="Times New Roman"/>
                <w:i w:val="0"/>
                <w:iCs w:val="0"/>
                <w:color w:val="000000"/>
                <w:sz w:val="21"/>
                <w:szCs w:val="21"/>
                <w:u w:val="none"/>
              </w:rPr>
            </w:pPr>
          </w:p>
        </w:tc>
        <w:tc>
          <w:tcPr>
            <w:tcW w:w="838" w:type="pct"/>
            <w:tcBorders>
              <w:top w:val="nil"/>
              <w:left w:val="single" w:color="000000" w:sz="8" w:space="0"/>
              <w:bottom w:val="single" w:color="000000" w:sz="8" w:space="0"/>
              <w:right w:val="single" w:color="000000" w:sz="8" w:space="0"/>
            </w:tcBorders>
            <w:noWrap/>
            <w:vAlign w:val="center"/>
          </w:tcPr>
          <w:p w14:paraId="35D8CDF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毫克当量所在百分比(%)</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18CD8C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0.79</w:t>
            </w:r>
          </w:p>
        </w:tc>
        <w:tc>
          <w:tcPr>
            <w:tcW w:w="444" w:type="pct"/>
            <w:tcBorders>
              <w:top w:val="single" w:color="000000" w:sz="4" w:space="0"/>
              <w:left w:val="single" w:color="000000" w:sz="4" w:space="0"/>
              <w:bottom w:val="single" w:color="000000" w:sz="4" w:space="0"/>
              <w:right w:val="single" w:color="000000" w:sz="4" w:space="0"/>
            </w:tcBorders>
            <w:noWrap w:val="0"/>
            <w:vAlign w:val="center"/>
          </w:tcPr>
          <w:p w14:paraId="76887A6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5.65</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4F8812D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89.72</w:t>
            </w:r>
          </w:p>
        </w:tc>
        <w:tc>
          <w:tcPr>
            <w:tcW w:w="469" w:type="pct"/>
            <w:tcBorders>
              <w:top w:val="single" w:color="000000" w:sz="4" w:space="0"/>
              <w:left w:val="single" w:color="000000" w:sz="4" w:space="0"/>
              <w:bottom w:val="single" w:color="000000" w:sz="4" w:space="0"/>
              <w:right w:val="single" w:color="000000" w:sz="4" w:space="0"/>
            </w:tcBorders>
            <w:noWrap w:val="0"/>
            <w:vAlign w:val="center"/>
          </w:tcPr>
          <w:p w14:paraId="7C40A82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3.83</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63997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90.21</w:t>
            </w:r>
          </w:p>
        </w:tc>
        <w:tc>
          <w:tcPr>
            <w:tcW w:w="452" w:type="pct"/>
            <w:tcBorders>
              <w:top w:val="single" w:color="000000" w:sz="4" w:space="0"/>
              <w:left w:val="single" w:color="000000" w:sz="4" w:space="0"/>
              <w:bottom w:val="single" w:color="000000" w:sz="4" w:space="0"/>
              <w:right w:val="single" w:color="000000" w:sz="4" w:space="0"/>
            </w:tcBorders>
            <w:noWrap w:val="0"/>
            <w:vAlign w:val="center"/>
          </w:tcPr>
          <w:p w14:paraId="739ADE4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0.49</w:t>
            </w:r>
          </w:p>
        </w:tc>
        <w:tc>
          <w:tcPr>
            <w:tcW w:w="477" w:type="pct"/>
            <w:tcBorders>
              <w:top w:val="single" w:color="000000" w:sz="4" w:space="0"/>
              <w:left w:val="single" w:color="000000" w:sz="4" w:space="0"/>
              <w:bottom w:val="single" w:color="000000" w:sz="4" w:space="0"/>
              <w:right w:val="single" w:color="000000" w:sz="4" w:space="0"/>
            </w:tcBorders>
            <w:noWrap w:val="0"/>
            <w:vAlign w:val="center"/>
          </w:tcPr>
          <w:p w14:paraId="604E484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9.30</w:t>
            </w:r>
          </w:p>
        </w:tc>
        <w:tc>
          <w:tcPr>
            <w:tcW w:w="496" w:type="pct"/>
            <w:vMerge w:val="continue"/>
            <w:tcBorders>
              <w:top w:val="nil"/>
              <w:left w:val="single" w:color="000000" w:sz="8" w:space="0"/>
              <w:bottom w:val="single" w:color="000000" w:sz="8" w:space="0"/>
              <w:right w:val="single" w:color="000000" w:sz="8" w:space="0"/>
            </w:tcBorders>
            <w:noWrap/>
            <w:vAlign w:val="center"/>
          </w:tcPr>
          <w:p w14:paraId="3AB1B940">
            <w:pPr>
              <w:jc w:val="center"/>
              <w:rPr>
                <w:rFonts w:hint="default" w:ascii="Times New Roman" w:hAnsi="Times New Roman" w:eastAsia="宋体" w:cs="Times New Roman"/>
                <w:i w:val="0"/>
                <w:iCs w:val="0"/>
                <w:color w:val="000000"/>
                <w:sz w:val="21"/>
                <w:szCs w:val="21"/>
                <w:u w:val="none"/>
              </w:rPr>
            </w:pPr>
          </w:p>
        </w:tc>
      </w:tr>
      <w:tr w14:paraId="7F8DB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19" w:type="pct"/>
            <w:vMerge w:val="continue"/>
            <w:tcBorders>
              <w:top w:val="nil"/>
              <w:left w:val="single" w:color="000000" w:sz="8" w:space="0"/>
              <w:bottom w:val="single" w:color="000000" w:sz="8" w:space="0"/>
              <w:right w:val="single" w:color="000000" w:sz="8" w:space="0"/>
            </w:tcBorders>
            <w:noWrap/>
            <w:vAlign w:val="center"/>
          </w:tcPr>
          <w:p w14:paraId="547D05B5">
            <w:pPr>
              <w:jc w:val="center"/>
              <w:rPr>
                <w:rFonts w:hint="default" w:ascii="Times New Roman" w:hAnsi="Times New Roman" w:eastAsia="宋体" w:cs="Times New Roman"/>
                <w:i w:val="0"/>
                <w:iCs w:val="0"/>
                <w:color w:val="000000"/>
                <w:sz w:val="21"/>
                <w:szCs w:val="21"/>
                <w:u w:val="none"/>
              </w:rPr>
            </w:pPr>
          </w:p>
        </w:tc>
        <w:tc>
          <w:tcPr>
            <w:tcW w:w="838" w:type="pct"/>
            <w:tcBorders>
              <w:top w:val="nil"/>
              <w:left w:val="single" w:color="000000" w:sz="8" w:space="0"/>
              <w:bottom w:val="single" w:color="000000" w:sz="8" w:space="0"/>
              <w:right w:val="single" w:color="000000" w:sz="8" w:space="0"/>
            </w:tcBorders>
            <w:noWrap/>
            <w:vAlign w:val="center"/>
          </w:tcPr>
          <w:p w14:paraId="5F7B2A1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检测值</w:t>
            </w:r>
          </w:p>
        </w:tc>
        <w:tc>
          <w:tcPr>
            <w:tcW w:w="469" w:type="pct"/>
            <w:tcBorders>
              <w:top w:val="single" w:color="000000" w:sz="8" w:space="0"/>
              <w:left w:val="single" w:color="000000" w:sz="8" w:space="0"/>
              <w:bottom w:val="single" w:color="000000" w:sz="8" w:space="0"/>
              <w:right w:val="single" w:color="000000" w:sz="8" w:space="0"/>
            </w:tcBorders>
            <w:noWrap w:val="0"/>
            <w:vAlign w:val="center"/>
          </w:tcPr>
          <w:p w14:paraId="3A1492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0.96</w:t>
            </w:r>
          </w:p>
        </w:tc>
        <w:tc>
          <w:tcPr>
            <w:tcW w:w="444" w:type="pct"/>
            <w:tcBorders>
              <w:top w:val="nil"/>
              <w:left w:val="single" w:color="000000" w:sz="8" w:space="0"/>
              <w:bottom w:val="single" w:color="000000" w:sz="8" w:space="0"/>
              <w:right w:val="single" w:color="000000" w:sz="8" w:space="0"/>
            </w:tcBorders>
            <w:noWrap w:val="0"/>
            <w:vAlign w:val="center"/>
          </w:tcPr>
          <w:p w14:paraId="3392A0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4.03</w:t>
            </w:r>
          </w:p>
        </w:tc>
        <w:tc>
          <w:tcPr>
            <w:tcW w:w="469" w:type="pct"/>
            <w:tcBorders>
              <w:top w:val="nil"/>
              <w:left w:val="single" w:color="000000" w:sz="8" w:space="0"/>
              <w:bottom w:val="single" w:color="000000" w:sz="8" w:space="0"/>
              <w:right w:val="single" w:color="000000" w:sz="8" w:space="0"/>
            </w:tcBorders>
            <w:noWrap w:val="0"/>
            <w:vAlign w:val="center"/>
          </w:tcPr>
          <w:p w14:paraId="47ED3E1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55.6</w:t>
            </w:r>
          </w:p>
        </w:tc>
        <w:tc>
          <w:tcPr>
            <w:tcW w:w="469" w:type="pct"/>
            <w:tcBorders>
              <w:top w:val="nil"/>
              <w:left w:val="single" w:color="000000" w:sz="8" w:space="0"/>
              <w:bottom w:val="single" w:color="000000" w:sz="8" w:space="0"/>
              <w:right w:val="single" w:color="000000" w:sz="8" w:space="0"/>
            </w:tcBorders>
            <w:noWrap w:val="0"/>
            <w:vAlign w:val="center"/>
          </w:tcPr>
          <w:p w14:paraId="4673249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561" w:type="pct"/>
            <w:tcBorders>
              <w:top w:val="nil"/>
              <w:left w:val="single" w:color="000000" w:sz="8" w:space="0"/>
              <w:bottom w:val="single" w:color="000000" w:sz="8" w:space="0"/>
              <w:right w:val="single" w:color="000000" w:sz="8" w:space="0"/>
            </w:tcBorders>
            <w:noWrap w:val="0"/>
            <w:vAlign w:val="center"/>
          </w:tcPr>
          <w:p w14:paraId="0CF92E4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452" w:type="pct"/>
            <w:tcBorders>
              <w:top w:val="nil"/>
              <w:left w:val="single" w:color="000000" w:sz="8" w:space="0"/>
              <w:bottom w:val="single" w:color="000000" w:sz="8" w:space="0"/>
              <w:right w:val="single" w:color="000000" w:sz="8" w:space="0"/>
            </w:tcBorders>
            <w:noWrap w:val="0"/>
            <w:vAlign w:val="center"/>
          </w:tcPr>
          <w:p w14:paraId="033ADDB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0.518</w:t>
            </w:r>
          </w:p>
        </w:tc>
        <w:tc>
          <w:tcPr>
            <w:tcW w:w="477" w:type="pct"/>
            <w:tcBorders>
              <w:top w:val="nil"/>
              <w:left w:val="single" w:color="000000" w:sz="8" w:space="0"/>
              <w:bottom w:val="single" w:color="000000" w:sz="8" w:space="0"/>
              <w:right w:val="single" w:color="000000" w:sz="8" w:space="0"/>
            </w:tcBorders>
            <w:noWrap w:val="0"/>
            <w:vAlign w:val="center"/>
          </w:tcPr>
          <w:p w14:paraId="2D4DEF5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496" w:type="pct"/>
            <w:vMerge w:val="continue"/>
            <w:tcBorders>
              <w:top w:val="nil"/>
              <w:left w:val="single" w:color="000000" w:sz="8" w:space="0"/>
              <w:bottom w:val="single" w:color="000000" w:sz="8" w:space="0"/>
              <w:right w:val="single" w:color="000000" w:sz="8" w:space="0"/>
            </w:tcBorders>
            <w:noWrap/>
            <w:vAlign w:val="center"/>
          </w:tcPr>
          <w:p w14:paraId="3BFA0EF3">
            <w:pPr>
              <w:jc w:val="center"/>
              <w:rPr>
                <w:rFonts w:hint="default" w:ascii="Times New Roman" w:hAnsi="Times New Roman" w:eastAsia="宋体" w:cs="Times New Roman"/>
                <w:i w:val="0"/>
                <w:iCs w:val="0"/>
                <w:color w:val="000000"/>
                <w:sz w:val="21"/>
                <w:szCs w:val="21"/>
                <w:u w:val="none"/>
              </w:rPr>
            </w:pPr>
          </w:p>
        </w:tc>
      </w:tr>
    </w:tbl>
    <w:p w14:paraId="3FB55F8D">
      <w:pPr>
        <w:widowControl/>
        <w:adjustRightInd w:val="0"/>
        <w:snapToGrid w:val="0"/>
        <w:spacing w:line="480" w:lineRule="exact"/>
        <w:ind w:firstLine="520" w:firstLineChars="200"/>
        <w:rPr>
          <w:rFonts w:hint="default" w:ascii="Times New Roman" w:hAnsi="Times New Roman" w:eastAsia="宋体" w:cs="Times New Roman"/>
          <w:sz w:val="26"/>
          <w:szCs w:val="20"/>
          <w:lang w:val="en-US" w:eastAsia="zh-CN" w:bidi="ar-SA"/>
        </w:rPr>
      </w:pPr>
    </w:p>
    <w:p w14:paraId="68355302">
      <w:pPr>
        <w:pStyle w:val="93"/>
        <w:ind w:firstLine="520"/>
        <w:rPr>
          <w:rFonts w:hint="default" w:ascii="Times New Roman" w:hAnsi="Times New Roman" w:eastAsia="宋体" w:cs="Times New Roman"/>
        </w:rPr>
      </w:pPr>
      <w:r>
        <w:rPr>
          <w:rFonts w:hint="default" w:ascii="Times New Roman" w:hAnsi="Times New Roman" w:eastAsia="宋体" w:cs="Times New Roman"/>
          <w:sz w:val="26"/>
          <w:szCs w:val="20"/>
          <w:lang w:val="en-US" w:eastAsia="zh-CN" w:bidi="ar-SA"/>
        </w:rPr>
        <w:t>根据本项目周边地下水环境的离子监测数据分析，周边地下水化学类型</w:t>
      </w:r>
      <w:r>
        <w:rPr>
          <w:rFonts w:hint="default" w:ascii="Times New Roman" w:hAnsi="Times New Roman" w:eastAsia="宋体" w:cs="Times New Roman"/>
          <w:color w:val="auto"/>
          <w:kern w:val="0"/>
          <w:sz w:val="26"/>
          <w:szCs w:val="26"/>
        </w:rPr>
        <w:t>基本上以HCO</w:t>
      </w:r>
      <w:r>
        <w:rPr>
          <w:rFonts w:hint="default" w:ascii="Times New Roman" w:hAnsi="Times New Roman" w:eastAsia="宋体" w:cs="Times New Roman"/>
          <w:color w:val="auto"/>
          <w:kern w:val="0"/>
          <w:sz w:val="26"/>
          <w:szCs w:val="26"/>
          <w:vertAlign w:val="subscript"/>
        </w:rPr>
        <w:t>3</w:t>
      </w:r>
      <w:r>
        <w:rPr>
          <w:rFonts w:hint="default" w:ascii="Times New Roman" w:hAnsi="Times New Roman" w:eastAsia="宋体" w:cs="Times New Roman"/>
          <w:color w:val="auto"/>
          <w:kern w:val="0"/>
          <w:sz w:val="26"/>
          <w:szCs w:val="26"/>
        </w:rPr>
        <w:t>-Ca型水为主</w:t>
      </w:r>
      <w:r>
        <w:rPr>
          <w:rFonts w:hint="default" w:ascii="Times New Roman" w:hAnsi="Times New Roman" w:eastAsia="宋体" w:cs="Times New Roman"/>
          <w:color w:val="auto"/>
          <w:kern w:val="0"/>
          <w:sz w:val="26"/>
          <w:szCs w:val="20"/>
        </w:rPr>
        <w:t>。</w:t>
      </w:r>
      <w:r>
        <w:rPr>
          <w:rFonts w:hint="default" w:ascii="Times New Roman" w:hAnsi="Times New Roman" w:eastAsia="宋体" w:cs="Times New Roman"/>
          <w:color w:val="auto"/>
          <w:kern w:val="0"/>
          <w:sz w:val="26"/>
          <w:szCs w:val="20"/>
          <w:lang w:val="en-US" w:eastAsia="zh-CN"/>
        </w:rPr>
        <w:t>水环境现状监测结果显示，</w:t>
      </w:r>
      <w:r>
        <w:rPr>
          <w:rFonts w:hint="default" w:ascii="Times New Roman" w:hAnsi="Times New Roman" w:eastAsia="宋体" w:cs="Times New Roman"/>
        </w:rPr>
        <w:t>本项目各项地下水评价指标均满足Ⅲ类水质量标准，评价区内地下水质量总体较好。</w:t>
      </w:r>
    </w:p>
    <w:bookmarkEnd w:id="294"/>
    <w:p w14:paraId="79631EE4">
      <w:pPr>
        <w:adjustRightInd w:val="0"/>
        <w:snapToGrid w:val="0"/>
        <w:spacing w:line="500" w:lineRule="exact"/>
        <w:ind w:firstLine="522" w:firstLineChars="200"/>
        <w:outlineLvl w:val="2"/>
        <w:rPr>
          <w:rFonts w:hint="default" w:ascii="Times New Roman" w:hAnsi="Times New Roman" w:eastAsia="宋体" w:cs="Times New Roman"/>
          <w:b/>
          <w:sz w:val="26"/>
          <w:szCs w:val="26"/>
        </w:rPr>
      </w:pPr>
      <w:r>
        <w:rPr>
          <w:rFonts w:hint="default" w:ascii="Times New Roman" w:hAnsi="Times New Roman" w:eastAsia="宋体" w:cs="Times New Roman"/>
          <w:b/>
          <w:sz w:val="26"/>
          <w:szCs w:val="26"/>
        </w:rPr>
        <w:t>4.2.4声环境质量现状</w:t>
      </w:r>
    </w:p>
    <w:p w14:paraId="13E6ADB7">
      <w:pPr>
        <w:pStyle w:val="93"/>
        <w:ind w:firstLine="52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为全面掌握拟建项目所在区域声环境质量现状情况，本次评价委托重庆国环环境监测有限公司对管</w:t>
      </w:r>
      <w:r>
        <w:rPr>
          <w:rFonts w:hint="default" w:ascii="Times New Roman" w:hAnsi="Times New Roman" w:eastAsia="宋体" w:cs="Times New Roman"/>
          <w:color w:val="auto"/>
          <w:lang w:val="en-US" w:eastAsia="zh-CN"/>
        </w:rPr>
        <w:t>道</w:t>
      </w:r>
      <w:r>
        <w:rPr>
          <w:rFonts w:hint="default" w:ascii="Times New Roman" w:hAnsi="Times New Roman" w:eastAsia="宋体" w:cs="Times New Roman"/>
          <w:color w:val="auto"/>
        </w:rPr>
        <w:t>改建</w:t>
      </w:r>
      <w:r>
        <w:rPr>
          <w:rFonts w:hint="default" w:ascii="Times New Roman" w:hAnsi="Times New Roman" w:eastAsia="宋体" w:cs="Times New Roman"/>
          <w:color w:val="auto"/>
          <w:lang w:val="en-US" w:eastAsia="zh-CN"/>
        </w:rPr>
        <w:t>段</w:t>
      </w:r>
      <w:r>
        <w:rPr>
          <w:rFonts w:hint="default" w:ascii="Times New Roman" w:hAnsi="Times New Roman" w:eastAsia="宋体" w:cs="Times New Roman"/>
          <w:color w:val="auto"/>
        </w:rPr>
        <w:t>周边声环境现状质量进行监测，监测时间为20</w:t>
      </w: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27</w:t>
      </w:r>
      <w:r>
        <w:rPr>
          <w:rFonts w:hint="default" w:ascii="Times New Roman" w:hAnsi="Times New Roman" w:eastAsia="宋体" w:cs="Times New Roman"/>
          <w:color w:val="auto"/>
        </w:rPr>
        <w:t>日~</w:t>
      </w:r>
      <w:r>
        <w:rPr>
          <w:rFonts w:hint="default" w:ascii="Times New Roman" w:hAnsi="Times New Roman" w:eastAsia="宋体" w:cs="Times New Roman"/>
          <w:color w:val="auto"/>
          <w:lang w:val="en-US" w:eastAsia="zh-CN"/>
        </w:rPr>
        <w:t>28</w:t>
      </w:r>
      <w:r>
        <w:rPr>
          <w:rFonts w:hint="default" w:ascii="Times New Roman" w:hAnsi="Times New Roman" w:eastAsia="宋体" w:cs="Times New Roman"/>
          <w:color w:val="auto"/>
        </w:rPr>
        <w:t>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监测数据如下</w:t>
      </w:r>
      <w:r>
        <w:rPr>
          <w:rFonts w:hint="default" w:ascii="Times New Roman" w:hAnsi="Times New Roman" w:eastAsia="宋体" w:cs="Times New Roman"/>
          <w:color w:val="auto"/>
          <w:lang w:eastAsia="zh-CN"/>
        </w:rPr>
        <w:t>。</w:t>
      </w:r>
    </w:p>
    <w:p w14:paraId="70B98FCC">
      <w:pPr>
        <w:pStyle w:val="93"/>
        <w:ind w:firstLine="520"/>
        <w:rPr>
          <w:rFonts w:hint="default" w:ascii="Times New Roman" w:hAnsi="Times New Roman" w:eastAsia="宋体" w:cs="Times New Roman"/>
        </w:rPr>
      </w:pPr>
      <w:r>
        <w:rPr>
          <w:rFonts w:hint="default" w:ascii="Times New Roman" w:hAnsi="Times New Roman" w:eastAsia="宋体" w:cs="Times New Roman"/>
        </w:rPr>
        <w:t>（1）监测点位</w:t>
      </w:r>
    </w:p>
    <w:p w14:paraId="7D19DFF4">
      <w:pPr>
        <w:pStyle w:val="93"/>
        <w:ind w:firstLine="520"/>
        <w:rPr>
          <w:rFonts w:hint="default" w:ascii="Times New Roman" w:hAnsi="Times New Roman" w:eastAsia="宋体" w:cs="Times New Roman"/>
        </w:rPr>
      </w:pPr>
      <w:r>
        <w:rPr>
          <w:rFonts w:hint="default" w:ascii="Times New Roman" w:hAnsi="Times New Roman" w:eastAsia="宋体" w:cs="Times New Roman"/>
        </w:rPr>
        <w:t>本次评价共布设</w:t>
      </w:r>
      <w:r>
        <w:rPr>
          <w:rFonts w:hint="default" w:ascii="Times New Roman" w:hAnsi="Times New Roman" w:eastAsia="宋体" w:cs="Times New Roman"/>
          <w:lang w:val="en-US" w:eastAsia="zh-CN"/>
        </w:rPr>
        <w:t>2</w:t>
      </w:r>
      <w:r>
        <w:rPr>
          <w:rFonts w:hint="default" w:ascii="Times New Roman" w:hAnsi="Times New Roman" w:eastAsia="宋体" w:cs="Times New Roman"/>
        </w:rPr>
        <w:t>个监测点位。实测监测点位详见表4.2-4。</w:t>
      </w:r>
    </w:p>
    <w:p w14:paraId="2653635F">
      <w:pPr>
        <w:pStyle w:val="88"/>
        <w:rPr>
          <w:rFonts w:hint="default" w:ascii="Times New Roman" w:hAnsi="Times New Roman" w:eastAsia="宋体" w:cs="Times New Roman"/>
        </w:rPr>
      </w:pPr>
    </w:p>
    <w:p w14:paraId="431434A6">
      <w:pPr>
        <w:pStyle w:val="85"/>
        <w:rPr>
          <w:rFonts w:hint="default" w:ascii="Times New Roman" w:hAnsi="Times New Roman" w:eastAsia="宋体" w:cs="Times New Roman"/>
        </w:rPr>
      </w:pPr>
      <w:r>
        <w:rPr>
          <w:rFonts w:hint="default" w:ascii="Times New Roman" w:hAnsi="Times New Roman" w:eastAsia="宋体" w:cs="Times New Roman"/>
        </w:rPr>
        <w:t>表4.2-</w:t>
      </w:r>
      <w:r>
        <w:rPr>
          <w:rFonts w:hint="default" w:ascii="Times New Roman" w:hAnsi="Times New Roman" w:eastAsia="宋体" w:cs="Times New Roman"/>
          <w:lang w:val="en-US" w:eastAsia="zh-CN"/>
        </w:rPr>
        <w:t>5</w:t>
      </w:r>
      <w:r>
        <w:rPr>
          <w:rFonts w:hint="default" w:ascii="Times New Roman" w:hAnsi="Times New Roman" w:eastAsia="宋体" w:cs="Times New Roman"/>
        </w:rPr>
        <w:t xml:space="preserve"> 声环境质量现状实测监测点位一览表</w:t>
      </w:r>
    </w:p>
    <w:tbl>
      <w:tblPr>
        <w:tblStyle w:val="29"/>
        <w:tblW w:w="48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6"/>
        <w:gridCol w:w="4288"/>
        <w:gridCol w:w="3014"/>
      </w:tblGrid>
      <w:tr w14:paraId="17964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76" w:type="dxa"/>
            <w:noWrap w:val="0"/>
            <w:vAlign w:val="center"/>
          </w:tcPr>
          <w:p w14:paraId="6D0C725D">
            <w:pPr>
              <w:pStyle w:val="87"/>
              <w:rPr>
                <w:rFonts w:hint="default" w:ascii="Times New Roman" w:hAnsi="Times New Roman" w:eastAsia="宋体" w:cs="Times New Roman"/>
              </w:rPr>
            </w:pPr>
            <w:r>
              <w:rPr>
                <w:rFonts w:hint="default" w:ascii="Times New Roman" w:hAnsi="Times New Roman" w:eastAsia="宋体" w:cs="Times New Roman"/>
              </w:rPr>
              <w:t>序号</w:t>
            </w:r>
          </w:p>
        </w:tc>
        <w:tc>
          <w:tcPr>
            <w:tcW w:w="4288" w:type="dxa"/>
            <w:noWrap w:val="0"/>
            <w:vAlign w:val="center"/>
          </w:tcPr>
          <w:p w14:paraId="679E6F9F">
            <w:pPr>
              <w:pStyle w:val="87"/>
              <w:rPr>
                <w:rFonts w:hint="default" w:ascii="Times New Roman" w:hAnsi="Times New Roman" w:eastAsia="宋体" w:cs="Times New Roman"/>
              </w:rPr>
            </w:pPr>
            <w:r>
              <w:rPr>
                <w:rFonts w:hint="default" w:ascii="Times New Roman" w:hAnsi="Times New Roman" w:eastAsia="宋体" w:cs="Times New Roman"/>
              </w:rPr>
              <w:t>项目位置</w:t>
            </w:r>
          </w:p>
        </w:tc>
        <w:tc>
          <w:tcPr>
            <w:tcW w:w="3014" w:type="dxa"/>
            <w:noWrap w:val="0"/>
            <w:vAlign w:val="center"/>
          </w:tcPr>
          <w:p w14:paraId="012DA494">
            <w:pPr>
              <w:pStyle w:val="87"/>
              <w:rPr>
                <w:rFonts w:hint="default" w:ascii="Times New Roman" w:hAnsi="Times New Roman" w:eastAsia="宋体" w:cs="Times New Roman"/>
              </w:rPr>
            </w:pPr>
            <w:r>
              <w:rPr>
                <w:rFonts w:hint="default" w:ascii="Times New Roman" w:hAnsi="Times New Roman" w:eastAsia="宋体" w:cs="Times New Roman"/>
              </w:rPr>
              <w:t>备注</w:t>
            </w:r>
          </w:p>
        </w:tc>
      </w:tr>
      <w:tr w14:paraId="7FF45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76" w:type="dxa"/>
            <w:noWrap w:val="0"/>
            <w:vAlign w:val="center"/>
          </w:tcPr>
          <w:p w14:paraId="4D8633E3">
            <w:pPr>
              <w:pStyle w:val="87"/>
              <w:rPr>
                <w:rFonts w:hint="default" w:ascii="Times New Roman" w:hAnsi="Times New Roman" w:eastAsia="宋体" w:cs="Times New Roman"/>
              </w:rPr>
            </w:pPr>
            <w:r>
              <w:rPr>
                <w:rFonts w:hint="default" w:ascii="Times New Roman" w:hAnsi="Times New Roman" w:eastAsia="宋体" w:cs="Times New Roman"/>
                <w:lang w:val="en-US" w:eastAsia="zh-CN"/>
              </w:rPr>
              <w:t>N</w:t>
            </w:r>
            <w:r>
              <w:rPr>
                <w:rFonts w:hint="default" w:ascii="Times New Roman" w:hAnsi="Times New Roman" w:eastAsia="宋体" w:cs="Times New Roman"/>
              </w:rPr>
              <w:t>1#</w:t>
            </w:r>
          </w:p>
        </w:tc>
        <w:tc>
          <w:tcPr>
            <w:tcW w:w="4288" w:type="dxa"/>
            <w:noWrap w:val="0"/>
            <w:vAlign w:val="center"/>
          </w:tcPr>
          <w:p w14:paraId="3D40C7B8">
            <w:pPr>
              <w:pStyle w:val="87"/>
              <w:rPr>
                <w:rFonts w:hint="default" w:ascii="Times New Roman" w:hAnsi="Times New Roman" w:eastAsia="宋体" w:cs="Times New Roman"/>
              </w:rPr>
            </w:pPr>
            <w:r>
              <w:rPr>
                <w:rFonts w:hint="default" w:ascii="Times New Roman" w:hAnsi="Times New Roman" w:eastAsia="宋体" w:cs="Times New Roman"/>
                <w:sz w:val="22"/>
                <w:szCs w:val="22"/>
                <w:lang w:val="en-US" w:eastAsia="zh-CN"/>
              </w:rPr>
              <w:t>拟改建管线沿线南侧农舍</w:t>
            </w:r>
          </w:p>
        </w:tc>
        <w:tc>
          <w:tcPr>
            <w:tcW w:w="3014" w:type="dxa"/>
            <w:noWrap w:val="0"/>
            <w:vAlign w:val="center"/>
          </w:tcPr>
          <w:p w14:paraId="36589129">
            <w:pPr>
              <w:pStyle w:val="87"/>
              <w:rPr>
                <w:rFonts w:hint="default" w:ascii="Times New Roman" w:hAnsi="Times New Roman" w:eastAsia="宋体" w:cs="Times New Roman"/>
              </w:rPr>
            </w:pPr>
            <w:r>
              <w:rPr>
                <w:rFonts w:hint="default" w:ascii="Times New Roman" w:hAnsi="Times New Roman" w:eastAsia="宋体" w:cs="Times New Roman"/>
              </w:rPr>
              <w:t>环境噪声</w:t>
            </w:r>
          </w:p>
        </w:tc>
      </w:tr>
      <w:tr w14:paraId="1520D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76" w:type="dxa"/>
            <w:noWrap w:val="0"/>
            <w:vAlign w:val="center"/>
          </w:tcPr>
          <w:p w14:paraId="43AED8D2">
            <w:pPr>
              <w:pStyle w:val="87"/>
              <w:rPr>
                <w:rFonts w:hint="default" w:ascii="Times New Roman" w:hAnsi="Times New Roman" w:eastAsia="宋体" w:cs="Times New Roman"/>
              </w:rPr>
            </w:pPr>
            <w:r>
              <w:rPr>
                <w:rFonts w:hint="default" w:ascii="Times New Roman" w:hAnsi="Times New Roman" w:eastAsia="宋体" w:cs="Times New Roman"/>
                <w:lang w:val="en-US" w:eastAsia="zh-CN"/>
              </w:rPr>
              <w:t>N2</w:t>
            </w:r>
            <w:r>
              <w:rPr>
                <w:rFonts w:hint="default" w:ascii="Times New Roman" w:hAnsi="Times New Roman" w:eastAsia="宋体" w:cs="Times New Roman"/>
              </w:rPr>
              <w:t>#</w:t>
            </w:r>
          </w:p>
        </w:tc>
        <w:tc>
          <w:tcPr>
            <w:tcW w:w="4288" w:type="dxa"/>
            <w:noWrap w:val="0"/>
            <w:vAlign w:val="center"/>
          </w:tcPr>
          <w:p w14:paraId="0D070EC6">
            <w:pPr>
              <w:pStyle w:val="87"/>
              <w:rPr>
                <w:rFonts w:hint="default" w:ascii="Times New Roman" w:hAnsi="Times New Roman" w:eastAsia="宋体" w:cs="Times New Roman"/>
                <w:szCs w:val="22"/>
              </w:rPr>
            </w:pPr>
            <w:r>
              <w:rPr>
                <w:rFonts w:hint="default" w:ascii="Times New Roman" w:hAnsi="Times New Roman" w:eastAsia="宋体" w:cs="Times New Roman"/>
                <w:sz w:val="22"/>
                <w:szCs w:val="22"/>
                <w:lang w:val="en-US" w:eastAsia="zh-CN"/>
              </w:rPr>
              <w:t>拟改建管线沿线北侧农舍</w:t>
            </w:r>
          </w:p>
        </w:tc>
        <w:tc>
          <w:tcPr>
            <w:tcW w:w="3014" w:type="dxa"/>
            <w:noWrap w:val="0"/>
            <w:vAlign w:val="center"/>
          </w:tcPr>
          <w:p w14:paraId="2D352A46">
            <w:pPr>
              <w:pStyle w:val="87"/>
              <w:rPr>
                <w:rFonts w:hint="default" w:ascii="Times New Roman" w:hAnsi="Times New Roman" w:eastAsia="宋体" w:cs="Times New Roman"/>
              </w:rPr>
            </w:pPr>
            <w:r>
              <w:rPr>
                <w:rFonts w:hint="default" w:ascii="Times New Roman" w:hAnsi="Times New Roman" w:eastAsia="宋体" w:cs="Times New Roman"/>
              </w:rPr>
              <w:t>环境噪声</w:t>
            </w:r>
          </w:p>
        </w:tc>
      </w:tr>
    </w:tbl>
    <w:p w14:paraId="2E4C2F76">
      <w:pPr>
        <w:pStyle w:val="88"/>
        <w:rPr>
          <w:rFonts w:hint="default" w:ascii="Times New Roman" w:hAnsi="Times New Roman" w:eastAsia="宋体" w:cs="Times New Roman"/>
        </w:rPr>
      </w:pPr>
    </w:p>
    <w:p w14:paraId="1E8C7497">
      <w:pPr>
        <w:pStyle w:val="93"/>
        <w:ind w:firstLine="520"/>
        <w:rPr>
          <w:rFonts w:hint="default" w:ascii="Times New Roman" w:hAnsi="Times New Roman" w:eastAsia="宋体" w:cs="Times New Roman"/>
        </w:rPr>
      </w:pPr>
      <w:r>
        <w:rPr>
          <w:rFonts w:hint="default" w:ascii="Times New Roman" w:hAnsi="Times New Roman" w:eastAsia="宋体" w:cs="Times New Roman"/>
        </w:rPr>
        <w:t>（2）监测因子</w:t>
      </w:r>
    </w:p>
    <w:p w14:paraId="14C63D82">
      <w:pPr>
        <w:pStyle w:val="93"/>
        <w:ind w:firstLine="520"/>
        <w:rPr>
          <w:rFonts w:hint="default" w:ascii="Times New Roman" w:hAnsi="Times New Roman" w:eastAsia="宋体" w:cs="Times New Roman"/>
        </w:rPr>
      </w:pPr>
      <w:r>
        <w:rPr>
          <w:rFonts w:hint="default" w:ascii="Times New Roman" w:hAnsi="Times New Roman" w:eastAsia="宋体" w:cs="Times New Roman"/>
        </w:rPr>
        <w:t>等效连续声级。</w:t>
      </w:r>
    </w:p>
    <w:p w14:paraId="4507F80C">
      <w:pPr>
        <w:pStyle w:val="93"/>
        <w:ind w:firstLine="520"/>
        <w:rPr>
          <w:rFonts w:hint="default" w:ascii="Times New Roman" w:hAnsi="Times New Roman" w:eastAsia="宋体" w:cs="Times New Roman"/>
        </w:rPr>
      </w:pPr>
      <w:r>
        <w:rPr>
          <w:rFonts w:hint="default" w:ascii="Times New Roman" w:hAnsi="Times New Roman" w:eastAsia="宋体" w:cs="Times New Roman"/>
        </w:rPr>
        <w:t>（3）监测时间及频率</w:t>
      </w:r>
    </w:p>
    <w:p w14:paraId="46188507">
      <w:pPr>
        <w:pStyle w:val="93"/>
        <w:ind w:firstLine="520"/>
        <w:rPr>
          <w:rFonts w:hint="default" w:ascii="Times New Roman" w:hAnsi="Times New Roman" w:eastAsia="宋体" w:cs="Times New Roman"/>
        </w:rPr>
      </w:pPr>
      <w:r>
        <w:rPr>
          <w:rFonts w:hint="default" w:ascii="Times New Roman" w:hAnsi="Times New Roman" w:eastAsia="宋体" w:cs="Times New Roman"/>
        </w:rPr>
        <w:t>202</w:t>
      </w:r>
      <w:r>
        <w:rPr>
          <w:rFonts w:hint="default" w:ascii="Times New Roman" w:hAnsi="Times New Roman" w:eastAsia="宋体" w:cs="Times New Roman"/>
          <w:lang w:val="en-US" w:eastAsia="zh-CN"/>
        </w:rPr>
        <w:t>5</w:t>
      </w:r>
      <w:r>
        <w:rPr>
          <w:rFonts w:hint="default" w:ascii="Times New Roman" w:hAnsi="Times New Roman" w:eastAsia="宋体" w:cs="Times New Roman"/>
        </w:rPr>
        <w:t>年</w:t>
      </w:r>
      <w:r>
        <w:rPr>
          <w:rFonts w:hint="default" w:ascii="Times New Roman" w:hAnsi="Times New Roman" w:eastAsia="宋体" w:cs="Times New Roman"/>
          <w:lang w:val="en-US" w:eastAsia="zh-CN"/>
        </w:rPr>
        <w:t>9</w:t>
      </w:r>
      <w:r>
        <w:rPr>
          <w:rFonts w:hint="default" w:ascii="Times New Roman" w:hAnsi="Times New Roman" w:eastAsia="宋体" w:cs="Times New Roman"/>
        </w:rPr>
        <w:t>月</w:t>
      </w:r>
      <w:r>
        <w:rPr>
          <w:rFonts w:hint="default" w:ascii="Times New Roman" w:hAnsi="Times New Roman" w:eastAsia="宋体" w:cs="Times New Roman"/>
          <w:lang w:val="en-US" w:eastAsia="zh-CN"/>
        </w:rPr>
        <w:t>27</w:t>
      </w:r>
      <w:r>
        <w:rPr>
          <w:rFonts w:hint="default" w:ascii="Times New Roman" w:hAnsi="Times New Roman" w:eastAsia="宋体" w:cs="Times New Roman"/>
        </w:rPr>
        <w:t>日至</w:t>
      </w:r>
      <w:r>
        <w:rPr>
          <w:rFonts w:hint="default" w:ascii="Times New Roman" w:hAnsi="Times New Roman" w:eastAsia="宋体" w:cs="Times New Roman"/>
          <w:lang w:val="en-US" w:eastAsia="zh-CN"/>
        </w:rPr>
        <w:t>28</w:t>
      </w:r>
      <w:r>
        <w:rPr>
          <w:rFonts w:hint="default" w:ascii="Times New Roman" w:hAnsi="Times New Roman" w:eastAsia="宋体" w:cs="Times New Roman"/>
        </w:rPr>
        <w:t>日，连续监测2天，每天昼间、夜间各监测一次。</w:t>
      </w:r>
    </w:p>
    <w:p w14:paraId="2362E0AA">
      <w:pPr>
        <w:pStyle w:val="93"/>
        <w:ind w:firstLine="520"/>
        <w:rPr>
          <w:rFonts w:hint="default" w:ascii="Times New Roman" w:hAnsi="Times New Roman" w:eastAsia="宋体" w:cs="Times New Roman"/>
        </w:rPr>
      </w:pPr>
      <w:r>
        <w:rPr>
          <w:rFonts w:hint="default" w:ascii="Times New Roman" w:hAnsi="Times New Roman" w:eastAsia="宋体" w:cs="Times New Roman"/>
        </w:rPr>
        <w:t>（4）评价标准</w:t>
      </w:r>
    </w:p>
    <w:p w14:paraId="3174D3FE">
      <w:pPr>
        <w:pStyle w:val="93"/>
        <w:ind w:firstLine="520"/>
        <w:rPr>
          <w:rFonts w:hint="default" w:ascii="Times New Roman" w:hAnsi="Times New Roman" w:eastAsia="宋体" w:cs="Times New Roman"/>
        </w:rPr>
      </w:pPr>
      <w:r>
        <w:rPr>
          <w:rFonts w:hint="default" w:ascii="Times New Roman" w:hAnsi="Times New Roman" w:eastAsia="宋体" w:cs="Times New Roman"/>
        </w:rPr>
        <w:t>《声环境质量标准》（GB3096</w:t>
      </w:r>
      <w:r>
        <w:rPr>
          <w:rFonts w:hint="default" w:ascii="Times New Roman" w:hAnsi="Times New Roman" w:eastAsia="宋体" w:cs="Times New Roman"/>
          <w:lang w:eastAsia="zh-CN"/>
        </w:rPr>
        <w:t>—</w:t>
      </w:r>
      <w:r>
        <w:rPr>
          <w:rFonts w:hint="default" w:ascii="Times New Roman" w:hAnsi="Times New Roman" w:eastAsia="宋体" w:cs="Times New Roman"/>
        </w:rPr>
        <w:t>2008）2类声功能区标准。</w:t>
      </w:r>
    </w:p>
    <w:p w14:paraId="12362545">
      <w:pPr>
        <w:pStyle w:val="93"/>
        <w:ind w:firstLine="520"/>
        <w:rPr>
          <w:rFonts w:hint="default" w:ascii="Times New Roman" w:hAnsi="Times New Roman" w:eastAsia="宋体" w:cs="Times New Roman"/>
        </w:rPr>
      </w:pPr>
      <w:r>
        <w:rPr>
          <w:rFonts w:hint="default" w:ascii="Times New Roman" w:hAnsi="Times New Roman" w:eastAsia="宋体" w:cs="Times New Roman"/>
        </w:rPr>
        <w:t>（5）监测及评价结果</w:t>
      </w:r>
    </w:p>
    <w:p w14:paraId="39A8D141">
      <w:pPr>
        <w:pStyle w:val="93"/>
        <w:ind w:firstLine="520"/>
        <w:rPr>
          <w:rFonts w:hint="default" w:ascii="Times New Roman" w:hAnsi="Times New Roman" w:eastAsia="宋体" w:cs="Times New Roman"/>
        </w:rPr>
      </w:pPr>
      <w:r>
        <w:rPr>
          <w:rFonts w:hint="default" w:ascii="Times New Roman" w:hAnsi="Times New Roman" w:eastAsia="宋体" w:cs="Times New Roman"/>
        </w:rPr>
        <w:t>本项目实测声环境监测及评价结果详见表4.2-5。</w:t>
      </w:r>
    </w:p>
    <w:p w14:paraId="48A42C10">
      <w:pPr>
        <w:snapToGrid w:val="0"/>
        <w:jc w:val="center"/>
        <w:rPr>
          <w:rFonts w:hint="default" w:ascii="Times New Roman" w:hAnsi="Times New Roman" w:eastAsia="宋体" w:cs="Times New Roman"/>
          <w:sz w:val="26"/>
          <w:szCs w:val="26"/>
        </w:rPr>
      </w:pPr>
    </w:p>
    <w:p w14:paraId="0462A165">
      <w:pPr>
        <w:pStyle w:val="85"/>
        <w:rPr>
          <w:rFonts w:hint="default" w:ascii="Times New Roman" w:hAnsi="Times New Roman" w:eastAsia="宋体" w:cs="Times New Roma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表4.2-</w:t>
      </w:r>
      <w:r>
        <w:rPr>
          <w:rFonts w:hint="default" w:ascii="Times New Roman" w:hAnsi="Times New Roman" w:eastAsia="宋体" w:cs="Times New Roman"/>
          <w:lang w:val="en-US" w:eastAsia="zh-CN"/>
        </w:rPr>
        <w:t>6</w:t>
      </w:r>
      <w:r>
        <w:rPr>
          <w:rFonts w:hint="default" w:ascii="Times New Roman" w:hAnsi="Times New Roman" w:eastAsia="宋体" w:cs="Times New Roman"/>
        </w:rPr>
        <w:t xml:space="preserve">  噪声监测结果统计表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 xml:space="preserve">       单位：dB（A）</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977"/>
        <w:gridCol w:w="1006"/>
        <w:gridCol w:w="1603"/>
        <w:gridCol w:w="1561"/>
        <w:gridCol w:w="1314"/>
      </w:tblGrid>
      <w:tr w14:paraId="2431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86" w:type="pct"/>
            <w:noWrap/>
            <w:vAlign w:val="center"/>
          </w:tcPr>
          <w:p w14:paraId="7ED0292C">
            <w:pPr>
              <w:pStyle w:val="87"/>
              <w:jc w:val="center"/>
              <w:rPr>
                <w:rFonts w:hint="default" w:ascii="Times New Roman" w:hAnsi="Times New Roman" w:eastAsia="宋体" w:cs="Times New Roman"/>
              </w:rPr>
            </w:pPr>
            <w:r>
              <w:rPr>
                <w:rFonts w:hint="default" w:ascii="Times New Roman" w:hAnsi="Times New Roman" w:eastAsia="宋体" w:cs="Times New Roman"/>
              </w:rPr>
              <w:t>监测日期</w:t>
            </w:r>
          </w:p>
        </w:tc>
        <w:tc>
          <w:tcPr>
            <w:tcW w:w="546" w:type="pct"/>
            <w:noWrap/>
            <w:vAlign w:val="center"/>
          </w:tcPr>
          <w:p w14:paraId="56BFCE4E">
            <w:pPr>
              <w:pStyle w:val="87"/>
              <w:jc w:val="center"/>
              <w:rPr>
                <w:rFonts w:hint="default" w:ascii="Times New Roman" w:hAnsi="Times New Roman" w:eastAsia="宋体" w:cs="Times New Roman"/>
              </w:rPr>
            </w:pPr>
            <w:r>
              <w:rPr>
                <w:rFonts w:hint="default" w:ascii="Times New Roman" w:hAnsi="Times New Roman" w:eastAsia="宋体" w:cs="Times New Roman"/>
              </w:rPr>
              <w:t>时段</w:t>
            </w:r>
          </w:p>
        </w:tc>
        <w:tc>
          <w:tcPr>
            <w:tcW w:w="562" w:type="pct"/>
            <w:noWrap/>
            <w:vAlign w:val="center"/>
          </w:tcPr>
          <w:p w14:paraId="4612C7FA">
            <w:pPr>
              <w:pStyle w:val="87"/>
              <w:jc w:val="center"/>
              <w:rPr>
                <w:rFonts w:hint="default" w:ascii="Times New Roman" w:hAnsi="Times New Roman" w:eastAsia="宋体" w:cs="Times New Roman"/>
              </w:rPr>
            </w:pPr>
            <w:r>
              <w:rPr>
                <w:rFonts w:hint="default" w:ascii="Times New Roman" w:hAnsi="Times New Roman" w:eastAsia="宋体" w:cs="Times New Roman"/>
              </w:rPr>
              <w:t>标准值</w:t>
            </w:r>
          </w:p>
        </w:tc>
        <w:tc>
          <w:tcPr>
            <w:tcW w:w="896" w:type="pct"/>
            <w:noWrap/>
            <w:vAlign w:val="center"/>
          </w:tcPr>
          <w:p w14:paraId="5DD4C672">
            <w:pPr>
              <w:pStyle w:val="87"/>
              <w:jc w:val="center"/>
              <w:rPr>
                <w:rFonts w:hint="default" w:ascii="Times New Roman" w:hAnsi="Times New Roman" w:eastAsia="宋体" w:cs="Times New Roman"/>
              </w:rPr>
            </w:pPr>
            <w:r>
              <w:rPr>
                <w:rFonts w:hint="default" w:ascii="Times New Roman" w:hAnsi="Times New Roman" w:eastAsia="宋体" w:cs="Times New Roman"/>
                <w:lang w:val="en-US" w:eastAsia="zh-CN"/>
              </w:rPr>
              <w:t>N</w:t>
            </w:r>
            <w:r>
              <w:rPr>
                <w:rFonts w:hint="default" w:ascii="Times New Roman" w:hAnsi="Times New Roman" w:eastAsia="宋体" w:cs="Times New Roman"/>
              </w:rPr>
              <w:t>1#监测结果</w:t>
            </w:r>
          </w:p>
        </w:tc>
        <w:tc>
          <w:tcPr>
            <w:tcW w:w="872" w:type="pct"/>
            <w:noWrap w:val="0"/>
            <w:vAlign w:val="center"/>
          </w:tcPr>
          <w:p w14:paraId="600DB024">
            <w:pPr>
              <w:pStyle w:val="87"/>
              <w:jc w:val="center"/>
              <w:rPr>
                <w:rFonts w:hint="default" w:ascii="Times New Roman" w:hAnsi="Times New Roman" w:eastAsia="宋体" w:cs="Times New Roman"/>
              </w:rPr>
            </w:pPr>
            <w:r>
              <w:rPr>
                <w:rFonts w:hint="default" w:ascii="Times New Roman" w:hAnsi="Times New Roman" w:eastAsia="宋体" w:cs="Times New Roman"/>
                <w:lang w:val="en-US" w:eastAsia="zh-CN"/>
              </w:rPr>
              <w:t>N</w:t>
            </w:r>
            <w:r>
              <w:rPr>
                <w:rFonts w:hint="default" w:ascii="Times New Roman" w:hAnsi="Times New Roman" w:eastAsia="宋体" w:cs="Times New Roman"/>
              </w:rPr>
              <w:t>2#监测结果</w:t>
            </w:r>
          </w:p>
        </w:tc>
        <w:tc>
          <w:tcPr>
            <w:tcW w:w="734" w:type="pct"/>
            <w:noWrap w:val="0"/>
            <w:vAlign w:val="center"/>
          </w:tcPr>
          <w:p w14:paraId="2D97FAEF">
            <w:pPr>
              <w:pStyle w:val="87"/>
              <w:jc w:val="center"/>
              <w:rPr>
                <w:rFonts w:hint="default" w:ascii="Times New Roman" w:hAnsi="Times New Roman" w:eastAsia="宋体" w:cs="Times New Roman"/>
              </w:rPr>
            </w:pPr>
            <w:r>
              <w:rPr>
                <w:rFonts w:hint="default" w:ascii="Times New Roman" w:hAnsi="Times New Roman" w:eastAsia="宋体" w:cs="Times New Roman"/>
              </w:rPr>
              <w:t>达标情况</w:t>
            </w:r>
          </w:p>
        </w:tc>
      </w:tr>
      <w:tr w14:paraId="005C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6" w:type="pct"/>
            <w:vMerge w:val="restart"/>
            <w:noWrap/>
            <w:vAlign w:val="center"/>
          </w:tcPr>
          <w:p w14:paraId="75084365">
            <w:pPr>
              <w:pStyle w:val="87"/>
              <w:jc w:val="center"/>
              <w:rPr>
                <w:rFonts w:hint="default" w:ascii="Times New Roman" w:hAnsi="Times New Roman" w:eastAsia="宋体" w:cs="Times New Roman"/>
                <w:lang w:val="en-US" w:eastAsia="zh-CN"/>
              </w:rPr>
            </w:pPr>
            <w:r>
              <w:rPr>
                <w:rFonts w:hint="default" w:ascii="Times New Roman" w:hAnsi="Times New Roman" w:eastAsia="宋体" w:cs="Times New Roman"/>
              </w:rPr>
              <w:t>202</w:t>
            </w:r>
            <w:r>
              <w:rPr>
                <w:rFonts w:hint="default" w:ascii="Times New Roman" w:hAnsi="Times New Roman" w:eastAsia="宋体" w:cs="Times New Roman"/>
                <w:lang w:val="en-US" w:eastAsia="zh-CN"/>
              </w:rPr>
              <w:t>5</w:t>
            </w:r>
            <w:r>
              <w:rPr>
                <w:rFonts w:hint="default" w:ascii="Times New Roman" w:hAnsi="Times New Roman" w:eastAsia="宋体" w:cs="Times New Roman"/>
              </w:rPr>
              <w:t>/</w:t>
            </w:r>
            <w:r>
              <w:rPr>
                <w:rFonts w:hint="default" w:ascii="Times New Roman" w:hAnsi="Times New Roman" w:eastAsia="宋体" w:cs="Times New Roman"/>
                <w:lang w:val="en-US" w:eastAsia="zh-CN"/>
              </w:rPr>
              <w:t>09</w:t>
            </w:r>
            <w:r>
              <w:rPr>
                <w:rFonts w:hint="default" w:ascii="Times New Roman" w:hAnsi="Times New Roman" w:eastAsia="宋体" w:cs="Times New Roman"/>
              </w:rPr>
              <w:t>/</w:t>
            </w:r>
            <w:r>
              <w:rPr>
                <w:rFonts w:hint="default" w:ascii="Times New Roman" w:hAnsi="Times New Roman" w:eastAsia="宋体" w:cs="Times New Roman"/>
                <w:lang w:val="en-US" w:eastAsia="zh-CN"/>
              </w:rPr>
              <w:t>27</w:t>
            </w:r>
          </w:p>
        </w:tc>
        <w:tc>
          <w:tcPr>
            <w:tcW w:w="546" w:type="pct"/>
            <w:noWrap/>
            <w:vAlign w:val="center"/>
          </w:tcPr>
          <w:p w14:paraId="15BAE1E9">
            <w:pPr>
              <w:pStyle w:val="87"/>
              <w:jc w:val="center"/>
              <w:rPr>
                <w:rFonts w:hint="default" w:ascii="Times New Roman" w:hAnsi="Times New Roman" w:eastAsia="宋体" w:cs="Times New Roman"/>
              </w:rPr>
            </w:pPr>
            <w:r>
              <w:rPr>
                <w:rFonts w:hint="default" w:ascii="Times New Roman" w:hAnsi="Times New Roman" w:eastAsia="宋体" w:cs="Times New Roman"/>
              </w:rPr>
              <w:t>昼间</w:t>
            </w:r>
          </w:p>
        </w:tc>
        <w:tc>
          <w:tcPr>
            <w:tcW w:w="562" w:type="pct"/>
            <w:noWrap/>
            <w:vAlign w:val="center"/>
          </w:tcPr>
          <w:p w14:paraId="628B9F1E">
            <w:pPr>
              <w:pStyle w:val="87"/>
              <w:jc w:val="center"/>
              <w:rPr>
                <w:rFonts w:hint="default" w:ascii="Times New Roman" w:hAnsi="Times New Roman" w:eastAsia="宋体" w:cs="Times New Roman"/>
              </w:rPr>
            </w:pPr>
            <w:r>
              <w:rPr>
                <w:rFonts w:hint="default" w:ascii="Times New Roman" w:hAnsi="Times New Roman" w:eastAsia="宋体" w:cs="Times New Roman"/>
              </w:rPr>
              <w:t>60</w:t>
            </w:r>
          </w:p>
        </w:tc>
        <w:tc>
          <w:tcPr>
            <w:tcW w:w="896" w:type="pct"/>
            <w:noWrap w:val="0"/>
            <w:vAlign w:val="center"/>
          </w:tcPr>
          <w:p w14:paraId="00FF64D4">
            <w:pPr>
              <w:pStyle w:val="87"/>
              <w:jc w:val="center"/>
              <w:rPr>
                <w:rFonts w:hint="default" w:ascii="Times New Roman" w:hAnsi="Times New Roman" w:eastAsia="宋体" w:cs="Times New Roman"/>
                <w:lang w:val="en-US" w:eastAsia="zh-CN"/>
              </w:rPr>
            </w:pPr>
            <w:r>
              <w:rPr>
                <w:rFonts w:hint="default" w:ascii="Times New Roman" w:hAnsi="Times New Roman" w:eastAsia="宋体" w:cs="Times New Roman"/>
                <w:szCs w:val="22"/>
                <w:lang w:val="en-US" w:eastAsia="zh-CN"/>
              </w:rPr>
              <w:t>48</w:t>
            </w:r>
          </w:p>
        </w:tc>
        <w:tc>
          <w:tcPr>
            <w:tcW w:w="872" w:type="pct"/>
            <w:noWrap w:val="0"/>
            <w:vAlign w:val="center"/>
          </w:tcPr>
          <w:p w14:paraId="62088B99">
            <w:pPr>
              <w:pStyle w:val="87"/>
              <w:jc w:val="center"/>
              <w:rPr>
                <w:rFonts w:hint="default" w:ascii="Times New Roman" w:hAnsi="Times New Roman" w:eastAsia="宋体" w:cs="Times New Roman"/>
                <w:lang w:val="en-US" w:eastAsia="zh-CN"/>
              </w:rPr>
            </w:pPr>
            <w:r>
              <w:rPr>
                <w:rFonts w:hint="default" w:ascii="Times New Roman" w:hAnsi="Times New Roman" w:eastAsia="宋体" w:cs="Times New Roman"/>
                <w:szCs w:val="22"/>
                <w:lang w:val="en-US" w:eastAsia="zh-CN"/>
              </w:rPr>
              <w:t>47</w:t>
            </w:r>
          </w:p>
        </w:tc>
        <w:tc>
          <w:tcPr>
            <w:tcW w:w="734" w:type="pct"/>
            <w:noWrap w:val="0"/>
            <w:vAlign w:val="center"/>
          </w:tcPr>
          <w:p w14:paraId="2E4D1D30">
            <w:pPr>
              <w:pStyle w:val="87"/>
              <w:jc w:val="center"/>
              <w:rPr>
                <w:rFonts w:hint="default" w:ascii="Times New Roman" w:hAnsi="Times New Roman" w:eastAsia="宋体" w:cs="Times New Roman"/>
              </w:rPr>
            </w:pPr>
            <w:r>
              <w:rPr>
                <w:rFonts w:hint="default" w:ascii="Times New Roman" w:hAnsi="Times New Roman" w:eastAsia="宋体" w:cs="Times New Roman"/>
              </w:rPr>
              <w:t>达标</w:t>
            </w:r>
          </w:p>
        </w:tc>
      </w:tr>
      <w:tr w14:paraId="20DB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6" w:type="pct"/>
            <w:vMerge w:val="continue"/>
            <w:noWrap w:val="0"/>
            <w:vAlign w:val="center"/>
          </w:tcPr>
          <w:p w14:paraId="2F11FAB9">
            <w:pPr>
              <w:pStyle w:val="87"/>
              <w:jc w:val="center"/>
              <w:rPr>
                <w:rFonts w:hint="default" w:ascii="Times New Roman" w:hAnsi="Times New Roman" w:eastAsia="宋体" w:cs="Times New Roman"/>
              </w:rPr>
            </w:pPr>
          </w:p>
        </w:tc>
        <w:tc>
          <w:tcPr>
            <w:tcW w:w="546" w:type="pct"/>
            <w:noWrap/>
            <w:vAlign w:val="center"/>
          </w:tcPr>
          <w:p w14:paraId="3332313D">
            <w:pPr>
              <w:pStyle w:val="87"/>
              <w:jc w:val="center"/>
              <w:rPr>
                <w:rFonts w:hint="default" w:ascii="Times New Roman" w:hAnsi="Times New Roman" w:eastAsia="宋体" w:cs="Times New Roman"/>
              </w:rPr>
            </w:pPr>
            <w:r>
              <w:rPr>
                <w:rFonts w:hint="default" w:ascii="Times New Roman" w:hAnsi="Times New Roman" w:eastAsia="宋体" w:cs="Times New Roman"/>
              </w:rPr>
              <w:t>夜间</w:t>
            </w:r>
          </w:p>
        </w:tc>
        <w:tc>
          <w:tcPr>
            <w:tcW w:w="562" w:type="pct"/>
            <w:noWrap/>
            <w:vAlign w:val="center"/>
          </w:tcPr>
          <w:p w14:paraId="3C994D44">
            <w:pPr>
              <w:pStyle w:val="87"/>
              <w:jc w:val="center"/>
              <w:rPr>
                <w:rFonts w:hint="default" w:ascii="Times New Roman" w:hAnsi="Times New Roman" w:eastAsia="宋体" w:cs="Times New Roman"/>
              </w:rPr>
            </w:pPr>
            <w:r>
              <w:rPr>
                <w:rFonts w:hint="default" w:ascii="Times New Roman" w:hAnsi="Times New Roman" w:eastAsia="宋体" w:cs="Times New Roman"/>
              </w:rPr>
              <w:t>50</w:t>
            </w:r>
          </w:p>
        </w:tc>
        <w:tc>
          <w:tcPr>
            <w:tcW w:w="896" w:type="pct"/>
            <w:noWrap w:val="0"/>
            <w:vAlign w:val="center"/>
          </w:tcPr>
          <w:p w14:paraId="4E5A6780">
            <w:pPr>
              <w:pStyle w:val="87"/>
              <w:jc w:val="center"/>
              <w:rPr>
                <w:rFonts w:hint="default" w:ascii="Times New Roman" w:hAnsi="Times New Roman" w:eastAsia="宋体" w:cs="Times New Roman"/>
              </w:rPr>
            </w:pPr>
            <w:r>
              <w:rPr>
                <w:rFonts w:hint="default" w:ascii="Times New Roman" w:hAnsi="Times New Roman" w:eastAsia="宋体" w:cs="Times New Roman"/>
                <w:szCs w:val="22"/>
              </w:rPr>
              <w:t>46</w:t>
            </w:r>
          </w:p>
        </w:tc>
        <w:tc>
          <w:tcPr>
            <w:tcW w:w="872" w:type="pct"/>
            <w:noWrap w:val="0"/>
            <w:vAlign w:val="center"/>
          </w:tcPr>
          <w:p w14:paraId="73AC6D19">
            <w:pPr>
              <w:pStyle w:val="87"/>
              <w:jc w:val="center"/>
              <w:rPr>
                <w:rFonts w:hint="default" w:ascii="Times New Roman" w:hAnsi="Times New Roman" w:eastAsia="宋体" w:cs="Times New Roman"/>
                <w:lang w:eastAsia="zh-CN"/>
              </w:rPr>
            </w:pPr>
            <w:r>
              <w:rPr>
                <w:rFonts w:hint="default" w:ascii="Times New Roman" w:hAnsi="Times New Roman" w:eastAsia="宋体" w:cs="Times New Roman"/>
                <w:szCs w:val="22"/>
              </w:rPr>
              <w:t>4</w:t>
            </w:r>
            <w:r>
              <w:rPr>
                <w:rFonts w:hint="default" w:ascii="Times New Roman" w:hAnsi="Times New Roman" w:eastAsia="宋体" w:cs="Times New Roman"/>
                <w:szCs w:val="22"/>
                <w:lang w:val="en-US" w:eastAsia="zh-CN"/>
              </w:rPr>
              <w:t>6</w:t>
            </w:r>
          </w:p>
        </w:tc>
        <w:tc>
          <w:tcPr>
            <w:tcW w:w="734" w:type="pct"/>
            <w:noWrap w:val="0"/>
            <w:vAlign w:val="center"/>
          </w:tcPr>
          <w:p w14:paraId="425AAEFD">
            <w:pPr>
              <w:pStyle w:val="87"/>
              <w:jc w:val="center"/>
              <w:rPr>
                <w:rFonts w:hint="default" w:ascii="Times New Roman" w:hAnsi="Times New Roman" w:eastAsia="宋体" w:cs="Times New Roman"/>
              </w:rPr>
            </w:pPr>
            <w:r>
              <w:rPr>
                <w:rFonts w:hint="default" w:ascii="Times New Roman" w:hAnsi="Times New Roman" w:eastAsia="宋体" w:cs="Times New Roman"/>
              </w:rPr>
              <w:t>达标</w:t>
            </w:r>
          </w:p>
        </w:tc>
      </w:tr>
      <w:tr w14:paraId="759C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6" w:type="pct"/>
            <w:vMerge w:val="restart"/>
            <w:noWrap/>
            <w:vAlign w:val="center"/>
          </w:tcPr>
          <w:p w14:paraId="39AEE959">
            <w:pPr>
              <w:pStyle w:val="87"/>
              <w:jc w:val="center"/>
              <w:rPr>
                <w:rFonts w:hint="default" w:ascii="Times New Roman" w:hAnsi="Times New Roman" w:eastAsia="宋体" w:cs="Times New Roman"/>
                <w:lang w:val="en-US" w:eastAsia="zh-CN"/>
              </w:rPr>
            </w:pPr>
            <w:r>
              <w:rPr>
                <w:rFonts w:hint="default" w:ascii="Times New Roman" w:hAnsi="Times New Roman" w:eastAsia="宋体" w:cs="Times New Roman"/>
              </w:rPr>
              <w:t>202</w:t>
            </w:r>
            <w:r>
              <w:rPr>
                <w:rFonts w:hint="default" w:ascii="Times New Roman" w:hAnsi="Times New Roman" w:eastAsia="宋体" w:cs="Times New Roman"/>
                <w:lang w:val="en-US" w:eastAsia="zh-CN"/>
              </w:rPr>
              <w:t>5/09</w:t>
            </w:r>
            <w:r>
              <w:rPr>
                <w:rFonts w:hint="default" w:ascii="Times New Roman" w:hAnsi="Times New Roman" w:eastAsia="宋体" w:cs="Times New Roman"/>
              </w:rPr>
              <w:t>/</w:t>
            </w:r>
            <w:r>
              <w:rPr>
                <w:rFonts w:hint="default" w:ascii="Times New Roman" w:hAnsi="Times New Roman" w:eastAsia="宋体" w:cs="Times New Roman"/>
                <w:lang w:val="en-US" w:eastAsia="zh-CN"/>
              </w:rPr>
              <w:t>28</w:t>
            </w:r>
          </w:p>
        </w:tc>
        <w:tc>
          <w:tcPr>
            <w:tcW w:w="546" w:type="pct"/>
            <w:noWrap/>
            <w:vAlign w:val="center"/>
          </w:tcPr>
          <w:p w14:paraId="56065F10">
            <w:pPr>
              <w:pStyle w:val="87"/>
              <w:jc w:val="center"/>
              <w:rPr>
                <w:rFonts w:hint="default" w:ascii="Times New Roman" w:hAnsi="Times New Roman" w:eastAsia="宋体" w:cs="Times New Roman"/>
              </w:rPr>
            </w:pPr>
            <w:r>
              <w:rPr>
                <w:rFonts w:hint="default" w:ascii="Times New Roman" w:hAnsi="Times New Roman" w:eastAsia="宋体" w:cs="Times New Roman"/>
              </w:rPr>
              <w:t>昼间</w:t>
            </w:r>
          </w:p>
        </w:tc>
        <w:tc>
          <w:tcPr>
            <w:tcW w:w="562" w:type="pct"/>
            <w:noWrap/>
            <w:vAlign w:val="center"/>
          </w:tcPr>
          <w:p w14:paraId="322799C7">
            <w:pPr>
              <w:pStyle w:val="87"/>
              <w:jc w:val="center"/>
              <w:rPr>
                <w:rFonts w:hint="default" w:ascii="Times New Roman" w:hAnsi="Times New Roman" w:eastAsia="宋体" w:cs="Times New Roman"/>
              </w:rPr>
            </w:pPr>
            <w:r>
              <w:rPr>
                <w:rFonts w:hint="default" w:ascii="Times New Roman" w:hAnsi="Times New Roman" w:eastAsia="宋体" w:cs="Times New Roman"/>
              </w:rPr>
              <w:t>60</w:t>
            </w:r>
          </w:p>
        </w:tc>
        <w:tc>
          <w:tcPr>
            <w:tcW w:w="896" w:type="pct"/>
            <w:noWrap w:val="0"/>
            <w:vAlign w:val="center"/>
          </w:tcPr>
          <w:p w14:paraId="02C016CB">
            <w:pPr>
              <w:pStyle w:val="87"/>
              <w:jc w:val="center"/>
              <w:rPr>
                <w:rFonts w:hint="default" w:ascii="Times New Roman" w:hAnsi="Times New Roman" w:eastAsia="宋体" w:cs="Times New Roman"/>
              </w:rPr>
            </w:pPr>
            <w:r>
              <w:rPr>
                <w:rFonts w:hint="default" w:ascii="Times New Roman" w:hAnsi="Times New Roman" w:eastAsia="宋体" w:cs="Times New Roman"/>
                <w:szCs w:val="22"/>
              </w:rPr>
              <w:t>49</w:t>
            </w:r>
          </w:p>
        </w:tc>
        <w:tc>
          <w:tcPr>
            <w:tcW w:w="872" w:type="pct"/>
            <w:noWrap w:val="0"/>
            <w:vAlign w:val="center"/>
          </w:tcPr>
          <w:p w14:paraId="6044AB13">
            <w:pPr>
              <w:pStyle w:val="87"/>
              <w:jc w:val="center"/>
              <w:rPr>
                <w:rFonts w:hint="default" w:ascii="Times New Roman" w:hAnsi="Times New Roman" w:eastAsia="宋体" w:cs="Times New Roman"/>
                <w:lang w:val="en-US" w:eastAsia="zh-CN"/>
              </w:rPr>
            </w:pPr>
            <w:r>
              <w:rPr>
                <w:rFonts w:hint="default" w:ascii="Times New Roman" w:hAnsi="Times New Roman" w:eastAsia="宋体" w:cs="Times New Roman"/>
                <w:szCs w:val="22"/>
                <w:lang w:val="en-US" w:eastAsia="zh-CN"/>
              </w:rPr>
              <w:t>52</w:t>
            </w:r>
          </w:p>
        </w:tc>
        <w:tc>
          <w:tcPr>
            <w:tcW w:w="734" w:type="pct"/>
            <w:noWrap w:val="0"/>
            <w:vAlign w:val="center"/>
          </w:tcPr>
          <w:p w14:paraId="750A29F6">
            <w:pPr>
              <w:pStyle w:val="87"/>
              <w:jc w:val="center"/>
              <w:rPr>
                <w:rFonts w:hint="default" w:ascii="Times New Roman" w:hAnsi="Times New Roman" w:eastAsia="宋体" w:cs="Times New Roman"/>
              </w:rPr>
            </w:pPr>
            <w:r>
              <w:rPr>
                <w:rFonts w:hint="default" w:ascii="Times New Roman" w:hAnsi="Times New Roman" w:eastAsia="宋体" w:cs="Times New Roman"/>
              </w:rPr>
              <w:t>达标</w:t>
            </w:r>
          </w:p>
        </w:tc>
      </w:tr>
      <w:tr w14:paraId="5CBB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6" w:type="pct"/>
            <w:vMerge w:val="continue"/>
            <w:noWrap w:val="0"/>
            <w:vAlign w:val="center"/>
          </w:tcPr>
          <w:p w14:paraId="163AAED5">
            <w:pPr>
              <w:pStyle w:val="87"/>
              <w:jc w:val="center"/>
              <w:rPr>
                <w:rFonts w:hint="default" w:ascii="Times New Roman" w:hAnsi="Times New Roman" w:eastAsia="宋体" w:cs="Times New Roman"/>
              </w:rPr>
            </w:pPr>
          </w:p>
        </w:tc>
        <w:tc>
          <w:tcPr>
            <w:tcW w:w="546" w:type="pct"/>
            <w:noWrap/>
            <w:vAlign w:val="center"/>
          </w:tcPr>
          <w:p w14:paraId="346AA38A">
            <w:pPr>
              <w:pStyle w:val="87"/>
              <w:jc w:val="center"/>
              <w:rPr>
                <w:rFonts w:hint="default" w:ascii="Times New Roman" w:hAnsi="Times New Roman" w:eastAsia="宋体" w:cs="Times New Roman"/>
              </w:rPr>
            </w:pPr>
            <w:r>
              <w:rPr>
                <w:rFonts w:hint="default" w:ascii="Times New Roman" w:hAnsi="Times New Roman" w:eastAsia="宋体" w:cs="Times New Roman"/>
              </w:rPr>
              <w:t>夜间</w:t>
            </w:r>
          </w:p>
        </w:tc>
        <w:tc>
          <w:tcPr>
            <w:tcW w:w="562" w:type="pct"/>
            <w:noWrap/>
            <w:vAlign w:val="center"/>
          </w:tcPr>
          <w:p w14:paraId="469C2CAE">
            <w:pPr>
              <w:pStyle w:val="87"/>
              <w:jc w:val="center"/>
              <w:rPr>
                <w:rFonts w:hint="default" w:ascii="Times New Roman" w:hAnsi="Times New Roman" w:eastAsia="宋体" w:cs="Times New Roman"/>
              </w:rPr>
            </w:pPr>
            <w:r>
              <w:rPr>
                <w:rFonts w:hint="default" w:ascii="Times New Roman" w:hAnsi="Times New Roman" w:eastAsia="宋体" w:cs="Times New Roman"/>
              </w:rPr>
              <w:t>50</w:t>
            </w:r>
          </w:p>
        </w:tc>
        <w:tc>
          <w:tcPr>
            <w:tcW w:w="896" w:type="pct"/>
            <w:noWrap w:val="0"/>
            <w:vAlign w:val="center"/>
          </w:tcPr>
          <w:p w14:paraId="5853FCE0">
            <w:pPr>
              <w:pStyle w:val="87"/>
              <w:jc w:val="center"/>
              <w:rPr>
                <w:rFonts w:hint="default" w:ascii="Times New Roman" w:hAnsi="Times New Roman" w:eastAsia="宋体" w:cs="Times New Roman"/>
                <w:lang w:eastAsia="zh-CN"/>
              </w:rPr>
            </w:pPr>
            <w:r>
              <w:rPr>
                <w:rFonts w:hint="default" w:ascii="Times New Roman" w:hAnsi="Times New Roman" w:eastAsia="宋体" w:cs="Times New Roman"/>
                <w:szCs w:val="22"/>
              </w:rPr>
              <w:t>4</w:t>
            </w:r>
            <w:r>
              <w:rPr>
                <w:rFonts w:hint="default" w:ascii="Times New Roman" w:hAnsi="Times New Roman" w:eastAsia="宋体" w:cs="Times New Roman"/>
                <w:szCs w:val="22"/>
                <w:lang w:val="en-US" w:eastAsia="zh-CN"/>
              </w:rPr>
              <w:t>7</w:t>
            </w:r>
          </w:p>
        </w:tc>
        <w:tc>
          <w:tcPr>
            <w:tcW w:w="872" w:type="pct"/>
            <w:noWrap w:val="0"/>
            <w:vAlign w:val="center"/>
          </w:tcPr>
          <w:p w14:paraId="47AA4BEC">
            <w:pPr>
              <w:pStyle w:val="87"/>
              <w:jc w:val="center"/>
              <w:rPr>
                <w:rFonts w:hint="default" w:ascii="Times New Roman" w:hAnsi="Times New Roman" w:eastAsia="宋体" w:cs="Times New Roman"/>
                <w:lang w:val="en-US" w:eastAsia="zh-CN"/>
              </w:rPr>
            </w:pPr>
            <w:r>
              <w:rPr>
                <w:rFonts w:hint="default" w:ascii="Times New Roman" w:hAnsi="Times New Roman" w:eastAsia="宋体" w:cs="Times New Roman"/>
                <w:szCs w:val="22"/>
                <w:lang w:val="en-US" w:eastAsia="zh-CN"/>
              </w:rPr>
              <w:t>47</w:t>
            </w:r>
          </w:p>
        </w:tc>
        <w:tc>
          <w:tcPr>
            <w:tcW w:w="734" w:type="pct"/>
            <w:noWrap w:val="0"/>
            <w:vAlign w:val="center"/>
          </w:tcPr>
          <w:p w14:paraId="1F6D8787">
            <w:pPr>
              <w:pStyle w:val="87"/>
              <w:jc w:val="center"/>
              <w:rPr>
                <w:rFonts w:hint="default" w:ascii="Times New Roman" w:hAnsi="Times New Roman" w:eastAsia="宋体" w:cs="Times New Roman"/>
              </w:rPr>
            </w:pPr>
            <w:r>
              <w:rPr>
                <w:rFonts w:hint="default" w:ascii="Times New Roman" w:hAnsi="Times New Roman" w:eastAsia="宋体" w:cs="Times New Roman"/>
              </w:rPr>
              <w:t>达标</w:t>
            </w:r>
          </w:p>
        </w:tc>
      </w:tr>
    </w:tbl>
    <w:p w14:paraId="06F87D6D">
      <w:pPr>
        <w:pStyle w:val="88"/>
        <w:rPr>
          <w:rFonts w:hint="default" w:ascii="Times New Roman" w:hAnsi="Times New Roman" w:eastAsia="宋体" w:cs="Times New Roman"/>
        </w:rPr>
      </w:pPr>
    </w:p>
    <w:p w14:paraId="4F6B187D">
      <w:pPr>
        <w:pStyle w:val="93"/>
        <w:ind w:firstLine="520"/>
        <w:rPr>
          <w:rFonts w:hint="default" w:ascii="Times New Roman" w:hAnsi="Times New Roman" w:eastAsia="宋体" w:cs="Times New Roman"/>
        </w:rPr>
      </w:pPr>
      <w:r>
        <w:rPr>
          <w:rFonts w:hint="default" w:ascii="Times New Roman" w:hAnsi="Times New Roman" w:eastAsia="宋体" w:cs="Times New Roman"/>
        </w:rPr>
        <w:t>监测结果表明，各监测点噪声满足相应标准要求，区域声环境质量较好。</w:t>
      </w:r>
    </w:p>
    <w:p w14:paraId="09BA9EFF">
      <w:pPr>
        <w:adjustRightInd w:val="0"/>
        <w:snapToGrid w:val="0"/>
        <w:spacing w:line="460" w:lineRule="exact"/>
        <w:ind w:firstLine="522"/>
        <w:outlineLvl w:val="1"/>
        <w:rPr>
          <w:rFonts w:hint="default" w:ascii="Times New Roman" w:hAnsi="Times New Roman" w:eastAsia="宋体" w:cs="Times New Roman"/>
          <w:b/>
          <w:color w:val="auto"/>
          <w:sz w:val="26"/>
          <w:szCs w:val="26"/>
        </w:rPr>
      </w:pPr>
      <w:bookmarkStart w:id="295" w:name="_Toc24539"/>
      <w:r>
        <w:rPr>
          <w:rFonts w:hint="default" w:ascii="Times New Roman" w:hAnsi="Times New Roman" w:eastAsia="宋体" w:cs="Times New Roman"/>
          <w:b/>
          <w:color w:val="auto"/>
          <w:sz w:val="26"/>
          <w:szCs w:val="26"/>
        </w:rPr>
        <w:t>4.3 生态环境现状</w:t>
      </w:r>
      <w:bookmarkEnd w:id="295"/>
    </w:p>
    <w:p w14:paraId="174FDACC">
      <w:pPr>
        <w:adjustRightInd w:val="0"/>
        <w:snapToGrid w:val="0"/>
        <w:spacing w:line="46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4.3.1 生态功能区划</w:t>
      </w:r>
    </w:p>
    <w:p w14:paraId="7BB5BF92">
      <w:pPr>
        <w:autoSpaceDE w:val="0"/>
        <w:autoSpaceDN w:val="0"/>
        <w:adjustRightInd w:val="0"/>
        <w:spacing w:line="480" w:lineRule="exact"/>
        <w:ind w:firstLine="520" w:firstLineChars="200"/>
        <w:textAlignment w:val="baseline"/>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（1）全国生态功能区划</w:t>
      </w:r>
    </w:p>
    <w:p w14:paraId="7DE57BA6">
      <w:pPr>
        <w:autoSpaceDE w:val="0"/>
        <w:autoSpaceDN w:val="0"/>
        <w:adjustRightInd w:val="0"/>
        <w:spacing w:line="480" w:lineRule="exact"/>
        <w:ind w:firstLine="520" w:firstLineChars="200"/>
        <w:textAlignment w:val="baseline"/>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eastAsia="zh-CN"/>
        </w:rPr>
        <w:t>根据《</w:t>
      </w:r>
      <w:r>
        <w:rPr>
          <w:rFonts w:hint="default" w:ascii="Times New Roman" w:hAnsi="Times New Roman" w:eastAsia="宋体" w:cs="Times New Roman"/>
          <w:color w:val="auto"/>
          <w:sz w:val="26"/>
          <w:szCs w:val="26"/>
          <w:lang w:val="en-US" w:eastAsia="zh-CN"/>
        </w:rPr>
        <w:t>全国生态功能区划</w:t>
      </w:r>
      <w:r>
        <w:rPr>
          <w:rFonts w:hint="default" w:ascii="Times New Roman" w:hAnsi="Times New Roman" w:eastAsia="宋体" w:cs="Times New Roman"/>
          <w:color w:val="auto"/>
          <w:sz w:val="26"/>
          <w:szCs w:val="26"/>
          <w:lang w:eastAsia="zh-CN"/>
        </w:rPr>
        <w:t>（修编）》，项目区属于“IIII 人居保障功能区，Ⅲ-02 重点城镇群人居保障功能区，Ⅲ</w:t>
      </w:r>
      <w:r>
        <w:rPr>
          <w:rFonts w:hint="default" w:ascii="Times New Roman" w:hAnsi="Times New Roman" w:eastAsia="宋体" w:cs="Times New Roman"/>
          <w:color w:val="auto"/>
          <w:sz w:val="26"/>
          <w:szCs w:val="26"/>
          <w:lang w:val="en-US" w:eastAsia="zh-CN"/>
        </w:rPr>
        <w:t>-02-16 重庆城镇群</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w:t>
      </w:r>
    </w:p>
    <w:p w14:paraId="149C3F50">
      <w:pPr>
        <w:autoSpaceDE w:val="0"/>
        <w:autoSpaceDN w:val="0"/>
        <w:adjustRightInd w:val="0"/>
        <w:spacing w:line="480" w:lineRule="exact"/>
        <w:ind w:firstLine="520" w:firstLineChars="200"/>
        <w:textAlignment w:val="baseline"/>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该类型区的主要生态问题：城镇无序扩张，城镇环境污染严重，环保设施严重滞后，城镇生态功能低下，人居环境恶化。该类型区的生态保护主要方向：以生态环境承载力为基础，规划城市发展规模、产业方向；建设生态城市，优化产业结构，发展循环经济，提高资源利用效率；加快城市环境保护基础设施建设，加强城乡环境综合整治；城镇发展坚持以人为本，从长计议，节约资源，保护环境，科学规划。</w:t>
      </w:r>
    </w:p>
    <w:p w14:paraId="434291CA">
      <w:pPr>
        <w:numPr>
          <w:ilvl w:val="0"/>
          <w:numId w:val="0"/>
        </w:numPr>
        <w:autoSpaceDE w:val="0"/>
        <w:autoSpaceDN w:val="0"/>
        <w:adjustRightInd w:val="0"/>
        <w:spacing w:line="480" w:lineRule="exact"/>
        <w:ind w:left="0" w:leftChars="0" w:firstLine="520" w:firstLineChars="200"/>
        <w:textAlignment w:val="baseline"/>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lang w:val="en-US" w:eastAsia="zh-CN" w:bidi="ar-SA"/>
        </w:rPr>
        <w:t>（2）</w:t>
      </w:r>
      <w:r>
        <w:rPr>
          <w:rFonts w:hint="default" w:ascii="Times New Roman" w:hAnsi="Times New Roman" w:eastAsia="宋体" w:cs="Times New Roman"/>
          <w:color w:val="auto"/>
          <w:sz w:val="26"/>
          <w:szCs w:val="26"/>
          <w:highlight w:val="none"/>
          <w:lang w:val="en-US" w:eastAsia="zh-CN"/>
        </w:rPr>
        <w:t>重庆</w:t>
      </w:r>
      <w:r>
        <w:rPr>
          <w:rFonts w:hint="default" w:ascii="Times New Roman" w:hAnsi="Times New Roman" w:eastAsia="宋体" w:cs="Times New Roman"/>
          <w:color w:val="auto"/>
          <w:sz w:val="26"/>
          <w:szCs w:val="26"/>
          <w:highlight w:val="none"/>
        </w:rPr>
        <w:t>生态功能区划（修编）</w:t>
      </w:r>
    </w:p>
    <w:p w14:paraId="7263F313">
      <w:pPr>
        <w:numPr>
          <w:ilvl w:val="0"/>
          <w:numId w:val="0"/>
        </w:numPr>
        <w:autoSpaceDE w:val="0"/>
        <w:autoSpaceDN w:val="0"/>
        <w:adjustRightInd w:val="0"/>
        <w:spacing w:line="480" w:lineRule="exact"/>
        <w:ind w:left="0" w:leftChars="0" w:firstLine="520" w:firstLineChars="200"/>
        <w:textAlignment w:val="baseline"/>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color w:val="auto"/>
          <w:sz w:val="26"/>
          <w:szCs w:val="26"/>
        </w:rPr>
        <w:t>本项目位于</w:t>
      </w:r>
      <w:r>
        <w:rPr>
          <w:rFonts w:hint="default" w:ascii="Times New Roman" w:hAnsi="Times New Roman" w:eastAsia="宋体" w:cs="Times New Roman"/>
          <w:color w:val="auto"/>
          <w:sz w:val="26"/>
          <w:szCs w:val="26"/>
          <w:lang w:eastAsia="zh-CN"/>
        </w:rPr>
        <w:t>重庆市綦江区文龙街道</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根据</w:t>
      </w:r>
      <w:r>
        <w:rPr>
          <w:rFonts w:hint="default" w:ascii="Times New Roman" w:hAnsi="Times New Roman" w:eastAsia="宋体" w:cs="Times New Roman"/>
          <w:color w:val="auto"/>
          <w:sz w:val="26"/>
          <w:szCs w:val="26"/>
          <w:highlight w:val="none"/>
        </w:rPr>
        <w:t>《重庆市生态功能区划（修编）》，项目区属于</w:t>
      </w:r>
      <w:r>
        <w:rPr>
          <w:rFonts w:hint="default" w:ascii="Times New Roman" w:hAnsi="Times New Roman" w:eastAsia="宋体" w:cs="Times New Roman"/>
          <w:color w:val="auto"/>
          <w:kern w:val="0"/>
          <w:sz w:val="26"/>
          <w:szCs w:val="26"/>
          <w:highlight w:val="none"/>
          <w:lang w:eastAsia="zh-CN"/>
        </w:rPr>
        <w:t>“</w:t>
      </w:r>
      <w:r>
        <w:rPr>
          <w:rFonts w:hint="default" w:ascii="Times New Roman" w:hAnsi="Times New Roman" w:eastAsia="宋体" w:cs="Times New Roman"/>
          <w:color w:val="auto"/>
          <w:kern w:val="0"/>
          <w:sz w:val="26"/>
          <w:szCs w:val="26"/>
          <w:highlight w:val="none"/>
          <w:shd w:val="clear" w:fill="FFFFFF"/>
          <w:lang w:eastAsia="zh-CN"/>
        </w:rPr>
        <w:t>Ⅳ</w:t>
      </w:r>
      <w:r>
        <w:rPr>
          <w:rFonts w:hint="default" w:ascii="Times New Roman" w:hAnsi="Times New Roman" w:eastAsia="宋体" w:cs="Times New Roman"/>
          <w:color w:val="auto"/>
          <w:kern w:val="0"/>
          <w:sz w:val="26"/>
          <w:szCs w:val="26"/>
          <w:highlight w:val="none"/>
          <w:lang w:val="en-US" w:eastAsia="zh-CN"/>
        </w:rPr>
        <w:t>渝中-西丘陵-低山生态区</w:t>
      </w:r>
      <w:r>
        <w:rPr>
          <w:rFonts w:hint="default" w:ascii="Times New Roman" w:hAnsi="Times New Roman" w:eastAsia="宋体" w:cs="Times New Roman"/>
          <w:color w:val="auto"/>
          <w:kern w:val="0"/>
          <w:sz w:val="26"/>
          <w:szCs w:val="26"/>
          <w:highlight w:val="none"/>
          <w:lang w:eastAsia="zh-CN"/>
        </w:rPr>
        <w:t>，</w:t>
      </w:r>
      <w:r>
        <w:rPr>
          <w:rFonts w:hint="default" w:ascii="Times New Roman" w:hAnsi="Times New Roman" w:eastAsia="宋体" w:cs="Times New Roman"/>
          <w:color w:val="auto"/>
          <w:kern w:val="0"/>
          <w:sz w:val="26"/>
          <w:szCs w:val="26"/>
          <w:highlight w:val="none"/>
        </w:rPr>
        <w:t>IV</w:t>
      </w:r>
      <w:r>
        <w:rPr>
          <w:rFonts w:hint="default" w:ascii="Times New Roman" w:hAnsi="Times New Roman" w:eastAsia="宋体" w:cs="Times New Roman"/>
          <w:color w:val="auto"/>
          <w:kern w:val="0"/>
          <w:sz w:val="26"/>
          <w:szCs w:val="26"/>
          <w:highlight w:val="none"/>
          <w:vertAlign w:val="subscript"/>
          <w:lang w:val="en-US" w:eastAsia="zh-CN"/>
        </w:rPr>
        <w:t>2</w:t>
      </w:r>
      <w:r>
        <w:rPr>
          <w:rFonts w:hint="default" w:ascii="Times New Roman" w:hAnsi="Times New Roman" w:eastAsia="宋体" w:cs="Times New Roman"/>
          <w:color w:val="auto"/>
          <w:kern w:val="0"/>
          <w:sz w:val="26"/>
          <w:szCs w:val="26"/>
          <w:highlight w:val="none"/>
          <w:lang w:val="en-US" w:eastAsia="zh-CN"/>
        </w:rPr>
        <w:t>渝西南常绿阔叶林生态亚区，</w:t>
      </w:r>
      <w:r>
        <w:rPr>
          <w:rFonts w:hint="default" w:ascii="Times New Roman" w:hAnsi="Times New Roman" w:eastAsia="宋体" w:cs="Times New Roman"/>
          <w:color w:val="auto"/>
          <w:kern w:val="0"/>
          <w:sz w:val="26"/>
          <w:szCs w:val="26"/>
          <w:highlight w:val="none"/>
        </w:rPr>
        <w:t>IV</w:t>
      </w:r>
      <w:r>
        <w:rPr>
          <w:rFonts w:hint="default" w:ascii="Times New Roman" w:hAnsi="Times New Roman" w:eastAsia="宋体" w:cs="Times New Roman"/>
          <w:color w:val="auto"/>
          <w:kern w:val="0"/>
          <w:sz w:val="26"/>
          <w:szCs w:val="26"/>
          <w:highlight w:val="none"/>
          <w:vertAlign w:val="subscript"/>
          <w:lang w:val="en-US" w:eastAsia="zh-CN"/>
        </w:rPr>
        <w:t>2</w:t>
      </w:r>
      <w:r>
        <w:rPr>
          <w:rFonts w:hint="default" w:ascii="Times New Roman" w:hAnsi="Times New Roman" w:eastAsia="宋体" w:cs="Times New Roman"/>
          <w:color w:val="auto"/>
          <w:kern w:val="0"/>
          <w:sz w:val="26"/>
          <w:szCs w:val="26"/>
          <w:highlight w:val="none"/>
          <w:vertAlign w:val="subscript"/>
        </w:rPr>
        <w:t>-2</w:t>
      </w:r>
      <w:r>
        <w:rPr>
          <w:rFonts w:hint="default" w:ascii="Times New Roman" w:hAnsi="Times New Roman" w:eastAsia="宋体" w:cs="Times New Roman"/>
          <w:color w:val="auto"/>
          <w:kern w:val="0"/>
          <w:sz w:val="26"/>
          <w:szCs w:val="26"/>
          <w:highlight w:val="none"/>
          <w:lang w:val="en-US" w:eastAsia="zh-CN"/>
        </w:rPr>
        <w:t>江津-綦江低山丘陵水文调蓄</w:t>
      </w:r>
      <w:r>
        <w:rPr>
          <w:rFonts w:hint="default" w:ascii="Times New Roman" w:hAnsi="Times New Roman" w:eastAsia="宋体" w:cs="Times New Roman"/>
          <w:color w:val="auto"/>
          <w:kern w:val="0"/>
          <w:sz w:val="26"/>
          <w:szCs w:val="26"/>
          <w:highlight w:val="none"/>
        </w:rPr>
        <w:t>生态功能区</w:t>
      </w:r>
      <w:r>
        <w:rPr>
          <w:rFonts w:hint="default" w:ascii="Times New Roman" w:hAnsi="Times New Roman" w:eastAsia="宋体" w:cs="Times New Roman"/>
          <w:color w:val="auto"/>
          <w:kern w:val="0"/>
          <w:sz w:val="26"/>
          <w:szCs w:val="26"/>
          <w:highlight w:val="none"/>
          <w:lang w:eastAsia="zh-CN"/>
        </w:rPr>
        <w:t>”</w:t>
      </w:r>
      <w:r>
        <w:rPr>
          <w:rFonts w:hint="default" w:ascii="Times New Roman" w:hAnsi="Times New Roman" w:eastAsia="宋体" w:cs="Times New Roman"/>
          <w:snapToGrid w:val="0"/>
          <w:color w:val="auto"/>
          <w:sz w:val="26"/>
          <w:szCs w:val="26"/>
        </w:rPr>
        <w:t>。</w:t>
      </w:r>
    </w:p>
    <w:p w14:paraId="09B84FD7">
      <w:pPr>
        <w:pStyle w:val="85"/>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4.3-1 本项目范围内生态功能区划特征一览表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7495"/>
      </w:tblGrid>
      <w:tr w14:paraId="50E4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1" w:type="pct"/>
            <w:noWrap w:val="0"/>
            <w:vAlign w:val="center"/>
          </w:tcPr>
          <w:p w14:paraId="62638DAC">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特征名称</w:t>
            </w:r>
          </w:p>
        </w:tc>
        <w:tc>
          <w:tcPr>
            <w:tcW w:w="4188" w:type="pct"/>
            <w:noWrap w:val="0"/>
            <w:vAlign w:val="center"/>
          </w:tcPr>
          <w:p w14:paraId="1B1773CD">
            <w:pPr>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val="en-US" w:eastAsia="zh-CN"/>
              </w:rPr>
              <w:t>特征描述</w:t>
            </w:r>
          </w:p>
        </w:tc>
      </w:tr>
      <w:tr w14:paraId="5A9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1" w:type="pct"/>
            <w:noWrap w:val="0"/>
            <w:vAlign w:val="center"/>
          </w:tcPr>
          <w:p w14:paraId="528497E0">
            <w:pPr>
              <w:jc w:val="center"/>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rPr>
              <w:t>生态环境敏感性和生态服务功能重要性</w:t>
            </w:r>
          </w:p>
        </w:tc>
        <w:tc>
          <w:tcPr>
            <w:tcW w:w="4188" w:type="pct"/>
            <w:noWrap w:val="0"/>
            <w:vAlign w:val="center"/>
          </w:tcPr>
          <w:p w14:paraId="48FC2075">
            <w:pPr>
              <w:jc w:val="both"/>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rPr>
              <w:t>江津区和</w:t>
            </w:r>
            <w:r>
              <w:rPr>
                <w:rFonts w:hint="default" w:ascii="Times New Roman" w:hAnsi="Times New Roman" w:eastAsia="宋体" w:cs="Times New Roman"/>
                <w:color w:val="auto"/>
                <w:shd w:val="clear" w:fill="FFFFFF"/>
                <w:vertAlign w:val="baseline"/>
              </w:rPr>
              <w:t>綦江县</w:t>
            </w:r>
            <w:r>
              <w:rPr>
                <w:rFonts w:hint="default" w:ascii="Times New Roman" w:hAnsi="Times New Roman" w:eastAsia="宋体" w:cs="Times New Roman"/>
                <w:color w:val="auto"/>
                <w:vertAlign w:val="baseline"/>
              </w:rPr>
              <w:t>土壤侵蚀中度及以上敏感区占土地面积的比分别为50.57%和77.37%；石漠化中度以上敏感区占土地面积的比分别为1.49%和13.46%；生境中度敏感以上面积占土地面积的比分别为23.95%和24.99%；酸雨中度及以上敏感区占土地面积的比分别为67.99%和93.98%。酸雨和土壤侵蚀敏感区的范围较大。江津区和</w:t>
            </w:r>
            <w:r>
              <w:rPr>
                <w:rFonts w:hint="default" w:ascii="Times New Roman" w:hAnsi="Times New Roman" w:eastAsia="宋体" w:cs="Times New Roman"/>
                <w:color w:val="auto"/>
                <w:shd w:val="clear" w:fill="FFFFFF"/>
                <w:vertAlign w:val="baseline"/>
              </w:rPr>
              <w:t>綦江县</w:t>
            </w:r>
            <w:r>
              <w:rPr>
                <w:rFonts w:hint="default" w:ascii="Times New Roman" w:hAnsi="Times New Roman" w:eastAsia="宋体" w:cs="Times New Roman"/>
                <w:color w:val="auto"/>
                <w:vertAlign w:val="baseline"/>
              </w:rPr>
              <w:t>生物多样性保护中等重要以上面积比分别为14.67%和0.03%，重要性等级分别为2（较重要）和1（不重要）；水源涵养中等重要以上面积比分别为33.79%和21.86%，重要性等级分别为2（较重要）和1（不重要）；土壤保持能力中等重要以上面积比分别为72.41%和87.44%，重要性等级分别为2（较重要）和3（中等重要）；营养物质保持中等重要以上面积比分别为61.13%和54.1%，重要性等级分别为2（较重要）和1（不重要）。</w:t>
            </w:r>
          </w:p>
          <w:p w14:paraId="30D0335B">
            <w:pPr>
              <w:jc w:val="both"/>
              <w:rPr>
                <w:rFonts w:hint="default" w:ascii="Times New Roman" w:hAnsi="Times New Roman" w:eastAsia="宋体" w:cs="Times New Roman"/>
                <w:color w:val="auto"/>
                <w:vertAlign w:val="baseline"/>
              </w:rPr>
            </w:pPr>
            <w:r>
              <w:rPr>
                <w:rFonts w:hint="default" w:ascii="Times New Roman" w:hAnsi="Times New Roman" w:eastAsia="宋体" w:cs="Times New Roman"/>
                <w:b/>
                <w:bCs/>
                <w:color w:val="auto"/>
                <w:vertAlign w:val="baseline"/>
              </w:rPr>
              <w:t>土壤保持</w:t>
            </w:r>
            <w:r>
              <w:rPr>
                <w:rFonts w:hint="default" w:ascii="Times New Roman" w:hAnsi="Times New Roman" w:eastAsia="宋体" w:cs="Times New Roman"/>
                <w:color w:val="auto"/>
                <w:vertAlign w:val="baseline"/>
              </w:rPr>
              <w:t>为本功能区的首位生态服务功能。</w:t>
            </w:r>
          </w:p>
        </w:tc>
      </w:tr>
      <w:tr w14:paraId="37A0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1" w:type="pct"/>
            <w:noWrap w:val="0"/>
            <w:vAlign w:val="center"/>
          </w:tcPr>
          <w:p w14:paraId="3646F5D6">
            <w:pPr>
              <w:jc w:val="center"/>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lang w:val="en-US" w:eastAsia="zh-CN"/>
              </w:rPr>
              <w:t>主要生态环境问题</w:t>
            </w:r>
          </w:p>
          <w:p w14:paraId="4242769A">
            <w:pPr>
              <w:jc w:val="center"/>
              <w:rPr>
                <w:rFonts w:hint="default" w:ascii="Times New Roman" w:hAnsi="Times New Roman" w:eastAsia="宋体" w:cs="Times New Roman"/>
                <w:color w:val="auto"/>
                <w:vertAlign w:val="baseline"/>
              </w:rPr>
            </w:pPr>
          </w:p>
        </w:tc>
        <w:tc>
          <w:tcPr>
            <w:tcW w:w="4188" w:type="pct"/>
            <w:noWrap w:val="0"/>
            <w:vAlign w:val="center"/>
          </w:tcPr>
          <w:p w14:paraId="1B68C43F">
            <w:pPr>
              <w:jc w:val="both"/>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lang w:val="en-US" w:eastAsia="zh-CN"/>
              </w:rPr>
              <w:t>林地覆盖率高于全市平均水平，区内林地面积超过了30%，但局部区域森林生态系统有退化趋势，工业、生活、旅游对植被造成的破坏比较严重。次级河流存在一定的水质污染问题，长江干支流的水质保护面临压力。地质灾害频繁，土壤侵蚀敏感性区域分布较广。</w:t>
            </w:r>
          </w:p>
        </w:tc>
      </w:tr>
      <w:tr w14:paraId="6520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1" w:type="pct"/>
            <w:noWrap w:val="0"/>
            <w:vAlign w:val="center"/>
          </w:tcPr>
          <w:p w14:paraId="20711C67">
            <w:pPr>
              <w:jc w:val="center"/>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lang w:val="en-US" w:eastAsia="zh-CN"/>
              </w:rPr>
              <w:t>生态功能定位</w:t>
            </w:r>
          </w:p>
        </w:tc>
        <w:tc>
          <w:tcPr>
            <w:tcW w:w="4188" w:type="pct"/>
            <w:noWrap w:val="0"/>
            <w:vAlign w:val="center"/>
          </w:tcPr>
          <w:p w14:paraId="36E41208">
            <w:pPr>
              <w:jc w:val="both"/>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lang w:val="en-US" w:eastAsia="zh-CN"/>
              </w:rPr>
              <w:t>土壤保持、营养物质保持、水源涵养、生物多样性保护中等重要及以上面积，分别占本功能区面积的44.98%、33.40%、16.60%、5.02%，土壤保持和营养物质保持功能极重要，因此，主导生态功能为水文调蓄和水源涵养，辅助功能为生态恢复与重建、水土保持，生物多样性保护。</w:t>
            </w:r>
          </w:p>
        </w:tc>
      </w:tr>
      <w:tr w14:paraId="76FE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1" w:type="pct"/>
            <w:noWrap w:val="0"/>
            <w:vAlign w:val="center"/>
          </w:tcPr>
          <w:p w14:paraId="263AA989">
            <w:pPr>
              <w:jc w:val="center"/>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lang w:val="en-US" w:eastAsia="zh-CN"/>
              </w:rPr>
              <w:t>生态功能保护与建设的方向和任务</w:t>
            </w:r>
          </w:p>
        </w:tc>
        <w:tc>
          <w:tcPr>
            <w:tcW w:w="4188" w:type="pct"/>
            <w:noWrap w:val="0"/>
            <w:vAlign w:val="center"/>
          </w:tcPr>
          <w:p w14:paraId="4BA71355">
            <w:pPr>
              <w:jc w:val="both"/>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lang w:val="en-US" w:eastAsia="zh-CN"/>
              </w:rPr>
              <w:t>本区生态功能保护与建设应围绕加强水土保持和水源涵养进行。</w:t>
            </w:r>
          </w:p>
          <w:p w14:paraId="18B05BCA">
            <w:pPr>
              <w:jc w:val="both"/>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lang w:val="en-US" w:eastAsia="zh-CN"/>
              </w:rPr>
              <w:t>重点任务是大力开展陡坡耕地的退耕还林和裸岩石山的植被恢复，加大水土保持力度，进一步提高辖区内的森林覆盖率。建设完整的亚热带常绿阔叶林植被体系，强化水文调蓄功能。实施矿山污染生态重建，加强工矿废弃地和工矿废渣的环境监管与治理，鼓励各种渠道的植被恢复，加快损毁农田的复垦进程；加大环境保护设施建设，增加</w:t>
            </w:r>
            <w:r>
              <w:rPr>
                <w:rFonts w:hint="default" w:ascii="Times New Roman" w:hAnsi="Times New Roman" w:eastAsia="宋体" w:cs="Times New Roman"/>
                <w:color w:val="auto"/>
                <w:shd w:val="clear" w:fill="FFFFFF"/>
                <w:vertAlign w:val="baseline"/>
                <w:lang w:val="en-US" w:eastAsia="zh-CN"/>
              </w:rPr>
              <w:t>生活废水处理</w:t>
            </w:r>
            <w:r>
              <w:rPr>
                <w:rFonts w:hint="default" w:ascii="Times New Roman" w:hAnsi="Times New Roman" w:eastAsia="宋体" w:cs="Times New Roman"/>
                <w:color w:val="auto"/>
                <w:vertAlign w:val="baseline"/>
                <w:lang w:val="en-US" w:eastAsia="zh-CN"/>
              </w:rPr>
              <w:t>装置，严格控制未达标生产废水的排放。积极开展长江干支流的水质污染综合整治，保护饮用水源地。</w:t>
            </w:r>
          </w:p>
        </w:tc>
      </w:tr>
    </w:tbl>
    <w:p w14:paraId="0BCD7EF7">
      <w:pPr>
        <w:rPr>
          <w:rFonts w:hint="default" w:ascii="Times New Roman" w:hAnsi="Times New Roman" w:eastAsia="宋体" w:cs="Times New Roman"/>
          <w:color w:val="auto"/>
        </w:rPr>
      </w:pPr>
    </w:p>
    <w:p w14:paraId="5757A15B">
      <w:pPr>
        <w:rPr>
          <w:rFonts w:hint="default" w:ascii="Times New Roman" w:hAnsi="Times New Roman" w:eastAsia="宋体" w:cs="Times New Roman"/>
          <w:color w:val="auto"/>
        </w:rPr>
      </w:pPr>
    </w:p>
    <w:p w14:paraId="47BD8032">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6"/>
          <w:szCs w:val="26"/>
          <w:highlight w:val="none"/>
        </w:rPr>
      </w:pPr>
      <w:r>
        <w:rPr>
          <w:rFonts w:hint="eastAsia" w:ascii="Times New Roman" w:hAnsi="Times New Roman" w:cs="Times New Roman"/>
          <w:color w:val="auto"/>
          <w:vertAlign w:val="baseline"/>
          <w:lang w:val="en-US" w:eastAsia="zh-CN"/>
        </w:rPr>
        <w:t>***</w:t>
      </w:r>
      <w:r>
        <w:rPr>
          <w:rFonts w:hint="default" w:ascii="Times New Roman" w:hAnsi="Times New Roman" w:eastAsia="宋体" w:cs="Times New Roman"/>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1352550</wp:posOffset>
                </wp:positionH>
                <wp:positionV relativeFrom="paragraph">
                  <wp:posOffset>3465830</wp:posOffset>
                </wp:positionV>
                <wp:extent cx="635" cy="0"/>
                <wp:effectExtent l="0" t="4445" r="0" b="5080"/>
                <wp:wrapNone/>
                <wp:docPr id="72" name="直接连接符 72"/>
                <wp:cNvGraphicFramePr/>
                <a:graphic xmlns:a="http://schemas.openxmlformats.org/drawingml/2006/main">
                  <a:graphicData uri="http://schemas.microsoft.com/office/word/2010/wordprocessingShape">
                    <wps:wsp>
                      <wps:cNvCnPr/>
                      <wps:spPr>
                        <a:xfrm flipV="1">
                          <a:off x="0" y="0"/>
                          <a:ext cx="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flip:y;margin-left:106.5pt;margin-top:272.9pt;height:0pt;width:0.05pt;z-index:251660288;mso-width-relative:page;mso-height-relative:page;" filled="f" stroked="t" coordsize="21600,21600" o:gfxdata="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waD7/XAAAACwEAAA8AAAAAAAAAAQAgAAAAIgAAAGRycy9kb3ducmV2LnhtbFBL&#10;AQIUABQAAAAIAIdO4kB/Qy6p9wEAANkDAAAOAAAAAAAAAAEAIAAAACYBAABkcnMvZTJvRG9jLnht&#10;bFBLBQYAAAAABgAGAFkBAACPBQAAAAA=&#10;">
                <v:fill on="f" focussize="0,0"/>
                <v:stroke weight="0.5pt" color="#000000" miterlimit="8" joinstyle="miter"/>
                <v:imagedata o:title=""/>
                <o:lock v:ext="edit" aspectratio="f"/>
              </v:line>
            </w:pict>
          </mc:Fallback>
        </mc:AlternateContent>
      </w:r>
    </w:p>
    <w:p w14:paraId="2BE417AB">
      <w:pPr>
        <w:pStyle w:val="58"/>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4.3</w:t>
      </w:r>
      <w:r>
        <w:rPr>
          <w:rFonts w:hint="default" w:ascii="Times New Roman" w:hAnsi="Times New Roman" w:eastAsia="宋体" w:cs="Times New Roman"/>
          <w:b/>
          <w:color w:val="auto"/>
          <w:sz w:val="21"/>
          <w:szCs w:val="21"/>
        </w:rPr>
        <w:t>-1   项目与重庆市生态功能区划位置关系图</w:t>
      </w:r>
    </w:p>
    <w:p w14:paraId="18414888">
      <w:pPr>
        <w:adjustRightInd w:val="0"/>
        <w:snapToGrid w:val="0"/>
        <w:spacing w:line="500" w:lineRule="exact"/>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4.3.2 土地利用现状</w:t>
      </w:r>
    </w:p>
    <w:p w14:paraId="31238C7D">
      <w:pPr>
        <w:keepNext w:val="0"/>
        <w:keepLines w:val="0"/>
        <w:pageBreakBefore w:val="0"/>
        <w:widowControl w:val="0"/>
        <w:kinsoku/>
        <w:wordWrap/>
        <w:overflowPunct/>
        <w:topLinePunct w:val="0"/>
        <w:autoSpaceDE/>
        <w:autoSpaceDN/>
        <w:bidi w:val="0"/>
        <w:adjustRightInd/>
        <w:snapToGrid/>
        <w:spacing w:line="480" w:lineRule="exact"/>
        <w:ind w:firstLine="522"/>
        <w:textAlignment w:val="auto"/>
        <w:rPr>
          <w:rFonts w:hint="default" w:ascii="Times New Roman" w:hAnsi="Times New Roman" w:eastAsia="宋体" w:cs="Times New Roman"/>
          <w:snapToGrid w:val="0"/>
          <w:color w:val="auto"/>
          <w:kern w:val="0"/>
          <w:sz w:val="26"/>
          <w:szCs w:val="26"/>
        </w:rPr>
      </w:pPr>
      <w:r>
        <w:rPr>
          <w:rFonts w:hint="default" w:ascii="Times New Roman" w:hAnsi="Times New Roman" w:eastAsia="宋体" w:cs="Times New Roman"/>
          <w:snapToGrid w:val="0"/>
          <w:color w:val="auto"/>
          <w:sz w:val="26"/>
          <w:szCs w:val="26"/>
          <w:lang w:val="en-US" w:eastAsia="zh-CN"/>
        </w:rPr>
        <w:t>本项目运用ArcGIS NV软件对2024年10月获取的2.1米分辨率卫星影像进行解译，生成评价区域的土地利用现状图，并据此对评价范围内的土地利用现状类型进行了统计分析，将评价区土地利用情况划分为耕地、林地、草地、住宅用地、公共管理与公共服务用地、交通运输用地、水域及水利设施用地共7大类型。土地利用现状以林地为主，面积占比约59.50%，以马尾松、杉木等针叶林为主；其次为耕地，面积占比为27.37%，主要种植了玉米、水稻、番薯等农作物。本项目评价区域内以林地和耕地为主，植被覆盖率较高，生态环境质量较好</w:t>
      </w:r>
      <w:r>
        <w:rPr>
          <w:rFonts w:hint="default" w:ascii="Times New Roman" w:hAnsi="Times New Roman" w:eastAsia="宋体" w:cs="Times New Roman"/>
          <w:snapToGrid w:val="0"/>
          <w:color w:val="auto"/>
          <w:sz w:val="26"/>
          <w:szCs w:val="26"/>
          <w:lang w:val="en-US" w:eastAsia="zh-CN"/>
        </w:rPr>
        <w:fldChar w:fldCharType="begin"/>
      </w:r>
      <w:r>
        <w:rPr>
          <w:rFonts w:hint="default" w:ascii="Times New Roman" w:hAnsi="Times New Roman" w:eastAsia="宋体" w:cs="Times New Roman"/>
          <w:snapToGrid w:val="0"/>
          <w:color w:val="auto"/>
          <w:sz w:val="26"/>
          <w:szCs w:val="26"/>
          <w:lang w:val="en-US" w:eastAsia="zh-CN"/>
        </w:rPr>
        <w:instrText xml:space="preserve"> HYPERLINK \l "bookmark118" </w:instrText>
      </w:r>
      <w:r>
        <w:rPr>
          <w:rFonts w:hint="default" w:ascii="Times New Roman" w:hAnsi="Times New Roman" w:eastAsia="宋体" w:cs="Times New Roman"/>
          <w:snapToGrid w:val="0"/>
          <w:color w:val="auto"/>
          <w:sz w:val="26"/>
          <w:szCs w:val="26"/>
          <w:lang w:val="en-US" w:eastAsia="zh-CN"/>
        </w:rPr>
        <w:fldChar w:fldCharType="separate"/>
      </w:r>
      <w:r>
        <w:rPr>
          <w:rFonts w:hint="default" w:ascii="Times New Roman" w:hAnsi="Times New Roman" w:eastAsia="宋体" w:cs="Times New Roman"/>
          <w:snapToGrid w:val="0"/>
          <w:color w:val="auto"/>
          <w:sz w:val="26"/>
          <w:szCs w:val="26"/>
          <w:lang w:val="en-US" w:eastAsia="zh-CN"/>
        </w:rPr>
        <w:t>。</w:t>
      </w:r>
      <w:r>
        <w:rPr>
          <w:rFonts w:hint="default" w:ascii="Times New Roman" w:hAnsi="Times New Roman" w:eastAsia="宋体" w:cs="Times New Roman"/>
          <w:snapToGrid w:val="0"/>
          <w:color w:val="auto"/>
          <w:sz w:val="26"/>
          <w:szCs w:val="26"/>
          <w:lang w:val="en-US" w:eastAsia="zh-CN"/>
        </w:rPr>
        <w:fldChar w:fldCharType="end"/>
      </w:r>
    </w:p>
    <w:p w14:paraId="5CF1CBD9">
      <w:pPr>
        <w:keepNext w:val="0"/>
        <w:keepLines w:val="0"/>
        <w:pageBreakBefore w:val="0"/>
        <w:widowControl w:val="0"/>
        <w:kinsoku/>
        <w:wordWrap/>
        <w:overflowPunct/>
        <w:topLinePunct w:val="0"/>
        <w:autoSpaceDE/>
        <w:autoSpaceDN/>
        <w:bidi w:val="0"/>
        <w:adjustRightInd/>
        <w:snapToGrid/>
        <w:spacing w:line="480" w:lineRule="exact"/>
        <w:ind w:left="0"/>
        <w:jc w:val="center"/>
        <w:textAlignment w:val="auto"/>
        <w:rPr>
          <w:rFonts w:hint="default" w:ascii="Times New Roman" w:hAnsi="Times New Roman" w:eastAsia="宋体" w:cs="Times New Roman"/>
          <w:b/>
          <w:bCs/>
          <w:color w:val="auto"/>
          <w:spacing w:val="-3"/>
          <w:sz w:val="24"/>
          <w:szCs w:val="24"/>
          <w:lang w:val="zh-CN" w:eastAsia="zh-CN"/>
        </w:rPr>
      </w:pPr>
      <w:r>
        <w:rPr>
          <w:rFonts w:hint="default" w:ascii="Times New Roman" w:hAnsi="Times New Roman" w:eastAsia="宋体" w:cs="Times New Roman"/>
          <w:b/>
          <w:bCs/>
          <w:color w:val="auto"/>
          <w:spacing w:val="-3"/>
          <w:sz w:val="26"/>
          <w:szCs w:val="26"/>
          <w:lang w:val="zh-CN" w:eastAsia="zh-CN"/>
        </w:rPr>
        <w:t>表4.</w:t>
      </w:r>
      <w:r>
        <w:rPr>
          <w:rFonts w:hint="default" w:ascii="Times New Roman" w:hAnsi="Times New Roman" w:eastAsia="宋体" w:cs="Times New Roman"/>
          <w:b/>
          <w:bCs/>
          <w:color w:val="auto"/>
          <w:spacing w:val="-3"/>
          <w:sz w:val="26"/>
          <w:szCs w:val="26"/>
          <w:lang w:val="en-US" w:eastAsia="zh-CN"/>
        </w:rPr>
        <w:t>3</w:t>
      </w:r>
      <w:r>
        <w:rPr>
          <w:rFonts w:hint="default" w:ascii="Times New Roman" w:hAnsi="Times New Roman" w:eastAsia="宋体" w:cs="Times New Roman"/>
          <w:b/>
          <w:bCs/>
          <w:color w:val="auto"/>
          <w:spacing w:val="-3"/>
          <w:sz w:val="26"/>
          <w:szCs w:val="26"/>
          <w:lang w:val="zh-CN" w:eastAsia="zh-CN"/>
        </w:rPr>
        <w:t>-</w:t>
      </w:r>
      <w:r>
        <w:rPr>
          <w:rFonts w:hint="default" w:ascii="Times New Roman" w:hAnsi="Times New Roman" w:eastAsia="宋体" w:cs="Times New Roman"/>
          <w:b/>
          <w:bCs/>
          <w:color w:val="auto"/>
          <w:spacing w:val="-3"/>
          <w:sz w:val="26"/>
          <w:szCs w:val="26"/>
          <w:lang w:val="en-US" w:eastAsia="zh-CN"/>
        </w:rPr>
        <w:t>2</w:t>
      </w:r>
      <w:r>
        <w:rPr>
          <w:rFonts w:hint="default" w:ascii="Times New Roman" w:hAnsi="Times New Roman" w:eastAsia="宋体" w:cs="Times New Roman"/>
          <w:b/>
          <w:bCs/>
          <w:color w:val="auto"/>
          <w:spacing w:val="-3"/>
          <w:sz w:val="26"/>
          <w:szCs w:val="26"/>
          <w:lang w:val="zh-CN" w:eastAsia="zh-CN"/>
        </w:rPr>
        <w:t xml:space="preserve"> 项目生态评价范围土地利用现状统计表</w:t>
      </w:r>
    </w:p>
    <w:tbl>
      <w:tblPr>
        <w:tblStyle w:val="2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18"/>
        <w:gridCol w:w="2640"/>
        <w:gridCol w:w="1565"/>
        <w:gridCol w:w="1318"/>
      </w:tblGrid>
      <w:tr w14:paraId="09C06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387" w:type="pct"/>
            <w:gridSpan w:val="2"/>
            <w:tcBorders>
              <w:top w:val="single" w:color="000000" w:sz="8" w:space="0"/>
              <w:left w:val="single" w:color="000000" w:sz="8" w:space="0"/>
              <w:bottom w:val="single" w:color="000000" w:sz="8" w:space="0"/>
              <w:right w:val="single" w:color="000000" w:sz="8" w:space="0"/>
            </w:tcBorders>
            <w:noWrap/>
            <w:vAlign w:val="center"/>
          </w:tcPr>
          <w:p w14:paraId="3956811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土地利用分类</w:t>
            </w:r>
          </w:p>
        </w:tc>
        <w:tc>
          <w:tcPr>
            <w:tcW w:w="875" w:type="pct"/>
            <w:vMerge w:val="restart"/>
            <w:tcBorders>
              <w:top w:val="single" w:color="000000" w:sz="8" w:space="0"/>
              <w:left w:val="nil"/>
              <w:bottom w:val="single" w:color="000000" w:sz="8" w:space="0"/>
              <w:right w:val="single" w:color="000000" w:sz="8" w:space="0"/>
            </w:tcBorders>
            <w:noWrap/>
            <w:vAlign w:val="center"/>
          </w:tcPr>
          <w:p w14:paraId="6289E0F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面积（hm</w:t>
            </w:r>
            <w:r>
              <w:rPr>
                <w:rFonts w:hint="default" w:ascii="Times New Roman" w:hAnsi="Times New Roman" w:eastAsia="宋体" w:cs="Times New Roman"/>
                <w:b/>
                <w:bCs/>
                <w:i w:val="0"/>
                <w:iCs w:val="0"/>
                <w:color w:val="auto"/>
                <w:kern w:val="0"/>
                <w:sz w:val="21"/>
                <w:szCs w:val="21"/>
                <w:u w:val="none"/>
                <w:vertAlign w:val="superscript"/>
                <w:lang w:val="en-US" w:eastAsia="zh-CN" w:bidi="ar"/>
              </w:rPr>
              <w:t>2</w:t>
            </w:r>
            <w:r>
              <w:rPr>
                <w:rStyle w:val="110"/>
                <w:rFonts w:hint="default" w:ascii="Times New Roman" w:hAnsi="Times New Roman" w:eastAsia="宋体" w:cs="Times New Roman"/>
                <w:color w:val="auto"/>
                <w:sz w:val="21"/>
                <w:szCs w:val="21"/>
                <w:lang w:val="en-US" w:eastAsia="zh-CN" w:bidi="ar"/>
              </w:rPr>
              <w:t>）</w:t>
            </w:r>
          </w:p>
        </w:tc>
        <w:tc>
          <w:tcPr>
            <w:tcW w:w="737" w:type="pct"/>
            <w:vMerge w:val="restart"/>
            <w:tcBorders>
              <w:top w:val="single" w:color="000000" w:sz="8" w:space="0"/>
              <w:left w:val="nil"/>
              <w:bottom w:val="single" w:color="000000" w:sz="8" w:space="0"/>
              <w:right w:val="single" w:color="000000" w:sz="8" w:space="0"/>
            </w:tcBorders>
            <w:noWrap/>
            <w:vAlign w:val="center"/>
          </w:tcPr>
          <w:p w14:paraId="50B5805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占比（%</w:t>
            </w:r>
            <w:r>
              <w:rPr>
                <w:rStyle w:val="110"/>
                <w:rFonts w:hint="default" w:ascii="Times New Roman" w:hAnsi="Times New Roman" w:eastAsia="宋体" w:cs="Times New Roman"/>
                <w:color w:val="auto"/>
                <w:sz w:val="21"/>
                <w:szCs w:val="21"/>
                <w:lang w:val="en-US" w:eastAsia="zh-CN" w:bidi="ar"/>
              </w:rPr>
              <w:t>）</w:t>
            </w:r>
          </w:p>
        </w:tc>
      </w:tr>
      <w:tr w14:paraId="2EF18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tcBorders>
              <w:top w:val="nil"/>
              <w:left w:val="single" w:color="000000" w:sz="8" w:space="0"/>
              <w:bottom w:val="single" w:color="000000" w:sz="8" w:space="0"/>
              <w:right w:val="single" w:color="000000" w:sz="8" w:space="0"/>
            </w:tcBorders>
            <w:noWrap/>
            <w:vAlign w:val="center"/>
          </w:tcPr>
          <w:p w14:paraId="7017270A">
            <w:pPr>
              <w:keepNext w:val="0"/>
              <w:keepLines w:val="0"/>
              <w:widowControl/>
              <w:suppressLineNumbers w:val="0"/>
              <w:jc w:val="center"/>
              <w:textAlignment w:val="bottom"/>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一级类</w:t>
            </w:r>
          </w:p>
        </w:tc>
        <w:tc>
          <w:tcPr>
            <w:tcW w:w="1476" w:type="pct"/>
            <w:tcBorders>
              <w:top w:val="nil"/>
              <w:left w:val="nil"/>
              <w:bottom w:val="single" w:color="000000" w:sz="8" w:space="0"/>
              <w:right w:val="single" w:color="000000" w:sz="8" w:space="0"/>
            </w:tcBorders>
            <w:noWrap/>
            <w:vAlign w:val="center"/>
          </w:tcPr>
          <w:p w14:paraId="3433E39E">
            <w:pPr>
              <w:keepNext w:val="0"/>
              <w:keepLines w:val="0"/>
              <w:widowControl/>
              <w:suppressLineNumbers w:val="0"/>
              <w:jc w:val="center"/>
              <w:textAlignment w:val="bottom"/>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二级类</w:t>
            </w:r>
          </w:p>
        </w:tc>
        <w:tc>
          <w:tcPr>
            <w:tcW w:w="875" w:type="pct"/>
            <w:vMerge w:val="continue"/>
            <w:tcBorders>
              <w:top w:val="single" w:color="000000" w:sz="8" w:space="0"/>
              <w:left w:val="nil"/>
              <w:bottom w:val="single" w:color="000000" w:sz="8" w:space="0"/>
              <w:right w:val="single" w:color="000000" w:sz="8" w:space="0"/>
            </w:tcBorders>
            <w:noWrap/>
            <w:vAlign w:val="center"/>
          </w:tcPr>
          <w:p w14:paraId="7F90E4EE">
            <w:pPr>
              <w:jc w:val="center"/>
              <w:rPr>
                <w:rFonts w:hint="default" w:ascii="Times New Roman" w:hAnsi="Times New Roman" w:eastAsia="宋体" w:cs="Times New Roman"/>
                <w:b/>
                <w:bCs/>
                <w:i w:val="0"/>
                <w:iCs w:val="0"/>
                <w:color w:val="auto"/>
                <w:sz w:val="21"/>
                <w:szCs w:val="21"/>
                <w:u w:val="none"/>
              </w:rPr>
            </w:pPr>
          </w:p>
        </w:tc>
        <w:tc>
          <w:tcPr>
            <w:tcW w:w="737" w:type="pct"/>
            <w:vMerge w:val="continue"/>
            <w:tcBorders>
              <w:top w:val="single" w:color="000000" w:sz="8" w:space="0"/>
              <w:left w:val="nil"/>
              <w:bottom w:val="single" w:color="000000" w:sz="8" w:space="0"/>
              <w:right w:val="single" w:color="000000" w:sz="8" w:space="0"/>
            </w:tcBorders>
            <w:noWrap/>
            <w:vAlign w:val="center"/>
          </w:tcPr>
          <w:p w14:paraId="2F2FC69D">
            <w:pPr>
              <w:jc w:val="center"/>
              <w:rPr>
                <w:rFonts w:hint="default" w:ascii="Times New Roman" w:hAnsi="Times New Roman" w:eastAsia="宋体" w:cs="Times New Roman"/>
                <w:b/>
                <w:bCs/>
                <w:i w:val="0"/>
                <w:iCs w:val="0"/>
                <w:color w:val="auto"/>
                <w:sz w:val="21"/>
                <w:szCs w:val="21"/>
                <w:u w:val="none"/>
              </w:rPr>
            </w:pPr>
          </w:p>
        </w:tc>
      </w:tr>
      <w:tr w14:paraId="7A886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vMerge w:val="restart"/>
            <w:tcBorders>
              <w:top w:val="nil"/>
              <w:left w:val="single" w:color="000000" w:sz="8" w:space="0"/>
              <w:bottom w:val="single" w:color="000000" w:sz="8" w:space="0"/>
              <w:right w:val="single" w:color="000000" w:sz="8" w:space="0"/>
            </w:tcBorders>
            <w:noWrap/>
            <w:vAlign w:val="center"/>
          </w:tcPr>
          <w:p w14:paraId="5158DE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w:t>
            </w:r>
            <w:r>
              <w:rPr>
                <w:rStyle w:val="111"/>
                <w:rFonts w:hint="default" w:ascii="Times New Roman" w:hAnsi="Times New Roman" w:eastAsia="宋体" w:cs="Times New Roman"/>
                <w:color w:val="auto"/>
                <w:sz w:val="21"/>
                <w:szCs w:val="21"/>
                <w:lang w:val="en-US" w:eastAsia="zh-CN" w:bidi="ar"/>
              </w:rPr>
              <w:t>耕地</w:t>
            </w:r>
          </w:p>
        </w:tc>
        <w:tc>
          <w:tcPr>
            <w:tcW w:w="1476" w:type="pct"/>
            <w:tcBorders>
              <w:top w:val="nil"/>
              <w:left w:val="nil"/>
              <w:bottom w:val="single" w:color="000000" w:sz="8" w:space="0"/>
              <w:right w:val="single" w:color="000000" w:sz="8" w:space="0"/>
            </w:tcBorders>
            <w:noWrap/>
            <w:vAlign w:val="center"/>
          </w:tcPr>
          <w:p w14:paraId="2054A6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0101</w:t>
            </w:r>
            <w:r>
              <w:rPr>
                <w:rStyle w:val="111"/>
                <w:rFonts w:hint="default" w:ascii="Times New Roman" w:hAnsi="Times New Roman" w:eastAsia="宋体" w:cs="Times New Roman"/>
                <w:color w:val="auto"/>
                <w:sz w:val="21"/>
                <w:szCs w:val="21"/>
                <w:lang w:val="en-US" w:eastAsia="zh-CN" w:bidi="ar"/>
              </w:rPr>
              <w:t>水田</w:t>
            </w:r>
          </w:p>
        </w:tc>
        <w:tc>
          <w:tcPr>
            <w:tcW w:w="1565" w:type="dxa"/>
            <w:tcBorders>
              <w:top w:val="nil"/>
              <w:left w:val="nil"/>
              <w:bottom w:val="single" w:color="000000" w:sz="8" w:space="0"/>
              <w:right w:val="single" w:color="000000" w:sz="8" w:space="0"/>
            </w:tcBorders>
            <w:noWrap/>
            <w:vAlign w:val="center"/>
          </w:tcPr>
          <w:p w14:paraId="653A7A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3.95</w:t>
            </w:r>
          </w:p>
        </w:tc>
        <w:tc>
          <w:tcPr>
            <w:tcW w:w="1318" w:type="dxa"/>
            <w:tcBorders>
              <w:top w:val="nil"/>
              <w:left w:val="nil"/>
              <w:bottom w:val="single" w:color="000000" w:sz="8" w:space="0"/>
              <w:right w:val="single" w:color="000000" w:sz="8" w:space="0"/>
            </w:tcBorders>
            <w:noWrap/>
            <w:vAlign w:val="center"/>
          </w:tcPr>
          <w:p w14:paraId="56AE6A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3.59</w:t>
            </w:r>
          </w:p>
        </w:tc>
      </w:tr>
      <w:tr w14:paraId="05C92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vMerge w:val="continue"/>
            <w:tcBorders>
              <w:top w:val="nil"/>
              <w:left w:val="single" w:color="000000" w:sz="8" w:space="0"/>
              <w:bottom w:val="single" w:color="000000" w:sz="8" w:space="0"/>
              <w:right w:val="single" w:color="000000" w:sz="8" w:space="0"/>
            </w:tcBorders>
            <w:noWrap/>
            <w:vAlign w:val="center"/>
          </w:tcPr>
          <w:p w14:paraId="5EB520B9">
            <w:pPr>
              <w:jc w:val="center"/>
              <w:rPr>
                <w:rFonts w:hint="default" w:ascii="Times New Roman" w:hAnsi="Times New Roman" w:eastAsia="宋体" w:cs="Times New Roman"/>
                <w:i w:val="0"/>
                <w:iCs w:val="0"/>
                <w:color w:val="auto"/>
                <w:sz w:val="21"/>
                <w:szCs w:val="21"/>
                <w:u w:val="none"/>
              </w:rPr>
            </w:pPr>
          </w:p>
        </w:tc>
        <w:tc>
          <w:tcPr>
            <w:tcW w:w="1476" w:type="pct"/>
            <w:tcBorders>
              <w:top w:val="nil"/>
              <w:left w:val="nil"/>
              <w:bottom w:val="single" w:color="000000" w:sz="8" w:space="0"/>
              <w:right w:val="single" w:color="000000" w:sz="8" w:space="0"/>
            </w:tcBorders>
            <w:noWrap/>
            <w:vAlign w:val="center"/>
          </w:tcPr>
          <w:p w14:paraId="59495E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0103</w:t>
            </w:r>
            <w:r>
              <w:rPr>
                <w:rStyle w:val="111"/>
                <w:rFonts w:hint="default" w:ascii="Times New Roman" w:hAnsi="Times New Roman" w:eastAsia="宋体" w:cs="Times New Roman"/>
                <w:color w:val="auto"/>
                <w:sz w:val="21"/>
                <w:szCs w:val="21"/>
                <w:lang w:val="en-US" w:eastAsia="zh-CN" w:bidi="ar"/>
              </w:rPr>
              <w:t>旱地</w:t>
            </w:r>
          </w:p>
        </w:tc>
        <w:tc>
          <w:tcPr>
            <w:tcW w:w="1565" w:type="dxa"/>
            <w:tcBorders>
              <w:top w:val="nil"/>
              <w:left w:val="nil"/>
              <w:bottom w:val="single" w:color="000000" w:sz="8" w:space="0"/>
              <w:right w:val="single" w:color="000000" w:sz="8" w:space="0"/>
            </w:tcBorders>
            <w:noWrap/>
            <w:vAlign w:val="center"/>
          </w:tcPr>
          <w:p w14:paraId="6D2AC3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26.18</w:t>
            </w:r>
          </w:p>
        </w:tc>
        <w:tc>
          <w:tcPr>
            <w:tcW w:w="1318" w:type="dxa"/>
            <w:tcBorders>
              <w:top w:val="nil"/>
              <w:left w:val="nil"/>
              <w:bottom w:val="single" w:color="000000" w:sz="8" w:space="0"/>
              <w:right w:val="single" w:color="000000" w:sz="8" w:space="0"/>
            </w:tcBorders>
            <w:noWrap/>
            <w:vAlign w:val="center"/>
          </w:tcPr>
          <w:p w14:paraId="2A9BC7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23.77</w:t>
            </w:r>
          </w:p>
        </w:tc>
      </w:tr>
      <w:tr w14:paraId="590F8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vMerge w:val="restart"/>
            <w:tcBorders>
              <w:top w:val="nil"/>
              <w:left w:val="single" w:color="000000" w:sz="8" w:space="0"/>
              <w:bottom w:val="single" w:color="000000" w:sz="8" w:space="0"/>
              <w:right w:val="single" w:color="000000" w:sz="8" w:space="0"/>
            </w:tcBorders>
            <w:noWrap/>
            <w:vAlign w:val="center"/>
          </w:tcPr>
          <w:p w14:paraId="17A3C1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w:t>
            </w:r>
            <w:r>
              <w:rPr>
                <w:rStyle w:val="111"/>
                <w:rFonts w:hint="default" w:ascii="Times New Roman" w:hAnsi="Times New Roman" w:eastAsia="宋体" w:cs="Times New Roman"/>
                <w:color w:val="auto"/>
                <w:sz w:val="21"/>
                <w:szCs w:val="21"/>
                <w:lang w:val="en-US" w:eastAsia="zh-CN" w:bidi="ar"/>
              </w:rPr>
              <w:t>林地</w:t>
            </w:r>
          </w:p>
        </w:tc>
        <w:tc>
          <w:tcPr>
            <w:tcW w:w="1476" w:type="pct"/>
            <w:tcBorders>
              <w:top w:val="nil"/>
              <w:left w:val="nil"/>
              <w:bottom w:val="single" w:color="000000" w:sz="8" w:space="0"/>
              <w:right w:val="single" w:color="000000" w:sz="8" w:space="0"/>
            </w:tcBorders>
            <w:noWrap/>
            <w:vAlign w:val="center"/>
          </w:tcPr>
          <w:p w14:paraId="0F3CA8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0301</w:t>
            </w:r>
            <w:r>
              <w:rPr>
                <w:rStyle w:val="111"/>
                <w:rFonts w:hint="default" w:ascii="Times New Roman" w:hAnsi="Times New Roman" w:eastAsia="宋体" w:cs="Times New Roman"/>
                <w:color w:val="auto"/>
                <w:sz w:val="21"/>
                <w:szCs w:val="21"/>
                <w:lang w:val="en-US" w:eastAsia="zh-CN" w:bidi="ar"/>
              </w:rPr>
              <w:t>乔木林地</w:t>
            </w:r>
          </w:p>
        </w:tc>
        <w:tc>
          <w:tcPr>
            <w:tcW w:w="1565" w:type="dxa"/>
            <w:tcBorders>
              <w:top w:val="nil"/>
              <w:left w:val="nil"/>
              <w:bottom w:val="single" w:color="000000" w:sz="8" w:space="0"/>
              <w:right w:val="single" w:color="000000" w:sz="8" w:space="0"/>
            </w:tcBorders>
            <w:noWrap/>
            <w:vAlign w:val="center"/>
          </w:tcPr>
          <w:p w14:paraId="10D49B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51.88</w:t>
            </w:r>
          </w:p>
        </w:tc>
        <w:tc>
          <w:tcPr>
            <w:tcW w:w="1318" w:type="dxa"/>
            <w:tcBorders>
              <w:top w:val="nil"/>
              <w:left w:val="nil"/>
              <w:bottom w:val="single" w:color="000000" w:sz="8" w:space="0"/>
              <w:right w:val="single" w:color="000000" w:sz="8" w:space="0"/>
            </w:tcBorders>
            <w:noWrap/>
            <w:vAlign w:val="center"/>
          </w:tcPr>
          <w:p w14:paraId="77210B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47.11</w:t>
            </w:r>
          </w:p>
        </w:tc>
      </w:tr>
      <w:tr w14:paraId="4EC0D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vMerge w:val="continue"/>
            <w:tcBorders>
              <w:top w:val="nil"/>
              <w:left w:val="single" w:color="000000" w:sz="8" w:space="0"/>
              <w:bottom w:val="single" w:color="000000" w:sz="8" w:space="0"/>
              <w:right w:val="single" w:color="000000" w:sz="8" w:space="0"/>
            </w:tcBorders>
            <w:noWrap/>
            <w:vAlign w:val="center"/>
          </w:tcPr>
          <w:p w14:paraId="60887828">
            <w:pPr>
              <w:jc w:val="center"/>
              <w:rPr>
                <w:rFonts w:hint="default" w:ascii="Times New Roman" w:hAnsi="Times New Roman" w:eastAsia="宋体" w:cs="Times New Roman"/>
                <w:i w:val="0"/>
                <w:iCs w:val="0"/>
                <w:color w:val="auto"/>
                <w:sz w:val="21"/>
                <w:szCs w:val="21"/>
                <w:u w:val="none"/>
              </w:rPr>
            </w:pPr>
          </w:p>
        </w:tc>
        <w:tc>
          <w:tcPr>
            <w:tcW w:w="1476" w:type="pct"/>
            <w:tcBorders>
              <w:top w:val="nil"/>
              <w:left w:val="nil"/>
              <w:bottom w:val="single" w:color="000000" w:sz="8" w:space="0"/>
              <w:right w:val="single" w:color="000000" w:sz="8" w:space="0"/>
            </w:tcBorders>
            <w:noWrap/>
            <w:vAlign w:val="center"/>
          </w:tcPr>
          <w:p w14:paraId="682574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0302</w:t>
            </w:r>
            <w:r>
              <w:rPr>
                <w:rStyle w:val="111"/>
                <w:rFonts w:hint="default" w:ascii="Times New Roman" w:hAnsi="Times New Roman" w:eastAsia="宋体" w:cs="Times New Roman"/>
                <w:color w:val="auto"/>
                <w:sz w:val="21"/>
                <w:szCs w:val="21"/>
                <w:lang w:val="en-US" w:eastAsia="zh-CN" w:bidi="ar"/>
              </w:rPr>
              <w:t>竹林地</w:t>
            </w:r>
          </w:p>
        </w:tc>
        <w:tc>
          <w:tcPr>
            <w:tcW w:w="1565" w:type="dxa"/>
            <w:tcBorders>
              <w:top w:val="nil"/>
              <w:left w:val="nil"/>
              <w:bottom w:val="single" w:color="000000" w:sz="8" w:space="0"/>
              <w:right w:val="single" w:color="000000" w:sz="8" w:space="0"/>
            </w:tcBorders>
            <w:noWrap/>
            <w:vAlign w:val="center"/>
          </w:tcPr>
          <w:p w14:paraId="0DD5BF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3.2</w:t>
            </w:r>
          </w:p>
        </w:tc>
        <w:tc>
          <w:tcPr>
            <w:tcW w:w="1318" w:type="dxa"/>
            <w:tcBorders>
              <w:top w:val="nil"/>
              <w:left w:val="nil"/>
              <w:bottom w:val="single" w:color="000000" w:sz="8" w:space="0"/>
              <w:right w:val="single" w:color="000000" w:sz="8" w:space="0"/>
            </w:tcBorders>
            <w:noWrap/>
            <w:vAlign w:val="center"/>
          </w:tcPr>
          <w:p w14:paraId="51A6ED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2.91</w:t>
            </w:r>
          </w:p>
        </w:tc>
      </w:tr>
      <w:tr w14:paraId="452F9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vMerge w:val="continue"/>
            <w:tcBorders>
              <w:top w:val="nil"/>
              <w:left w:val="single" w:color="000000" w:sz="8" w:space="0"/>
              <w:bottom w:val="single" w:color="000000" w:sz="8" w:space="0"/>
              <w:right w:val="single" w:color="000000" w:sz="8" w:space="0"/>
            </w:tcBorders>
            <w:noWrap/>
            <w:vAlign w:val="center"/>
          </w:tcPr>
          <w:p w14:paraId="4D8893DA">
            <w:pPr>
              <w:jc w:val="center"/>
              <w:rPr>
                <w:rFonts w:hint="default" w:ascii="Times New Roman" w:hAnsi="Times New Roman" w:eastAsia="宋体" w:cs="Times New Roman"/>
                <w:i w:val="0"/>
                <w:iCs w:val="0"/>
                <w:color w:val="auto"/>
                <w:sz w:val="21"/>
                <w:szCs w:val="21"/>
                <w:u w:val="none"/>
              </w:rPr>
            </w:pPr>
          </w:p>
        </w:tc>
        <w:tc>
          <w:tcPr>
            <w:tcW w:w="1476" w:type="pct"/>
            <w:tcBorders>
              <w:top w:val="nil"/>
              <w:left w:val="nil"/>
              <w:bottom w:val="single" w:color="000000" w:sz="8" w:space="0"/>
              <w:right w:val="single" w:color="000000" w:sz="8" w:space="0"/>
            </w:tcBorders>
            <w:noWrap/>
            <w:vAlign w:val="center"/>
          </w:tcPr>
          <w:p w14:paraId="11F10A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0305</w:t>
            </w:r>
            <w:r>
              <w:rPr>
                <w:rStyle w:val="111"/>
                <w:rFonts w:hint="default" w:ascii="Times New Roman" w:hAnsi="Times New Roman" w:eastAsia="宋体" w:cs="Times New Roman"/>
                <w:color w:val="auto"/>
                <w:sz w:val="21"/>
                <w:szCs w:val="21"/>
                <w:lang w:val="en-US" w:eastAsia="zh-CN" w:bidi="ar"/>
              </w:rPr>
              <w:t>灌木林地</w:t>
            </w:r>
          </w:p>
        </w:tc>
        <w:tc>
          <w:tcPr>
            <w:tcW w:w="1565" w:type="dxa"/>
            <w:tcBorders>
              <w:top w:val="nil"/>
              <w:left w:val="nil"/>
              <w:bottom w:val="single" w:color="000000" w:sz="8" w:space="0"/>
              <w:right w:val="single" w:color="000000" w:sz="8" w:space="0"/>
            </w:tcBorders>
            <w:noWrap/>
            <w:vAlign w:val="center"/>
          </w:tcPr>
          <w:p w14:paraId="387E51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10.45</w:t>
            </w:r>
          </w:p>
        </w:tc>
        <w:tc>
          <w:tcPr>
            <w:tcW w:w="1318" w:type="dxa"/>
            <w:tcBorders>
              <w:top w:val="nil"/>
              <w:left w:val="nil"/>
              <w:bottom w:val="single" w:color="000000" w:sz="8" w:space="0"/>
              <w:right w:val="single" w:color="000000" w:sz="8" w:space="0"/>
            </w:tcBorders>
            <w:noWrap/>
            <w:vAlign w:val="center"/>
          </w:tcPr>
          <w:p w14:paraId="213E39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9.49</w:t>
            </w:r>
          </w:p>
        </w:tc>
      </w:tr>
      <w:tr w14:paraId="1A97C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tcBorders>
              <w:top w:val="nil"/>
              <w:left w:val="single" w:color="000000" w:sz="8" w:space="0"/>
              <w:bottom w:val="single" w:color="000000" w:sz="8" w:space="0"/>
              <w:right w:val="single" w:color="000000" w:sz="8" w:space="0"/>
            </w:tcBorders>
            <w:noWrap/>
            <w:vAlign w:val="center"/>
          </w:tcPr>
          <w:p w14:paraId="2D09D3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w:t>
            </w:r>
            <w:r>
              <w:rPr>
                <w:rStyle w:val="111"/>
                <w:rFonts w:hint="default" w:ascii="Times New Roman" w:hAnsi="Times New Roman" w:eastAsia="宋体" w:cs="Times New Roman"/>
                <w:color w:val="auto"/>
                <w:sz w:val="21"/>
                <w:szCs w:val="21"/>
                <w:lang w:val="en-US" w:eastAsia="zh-CN" w:bidi="ar"/>
              </w:rPr>
              <w:t>草地</w:t>
            </w:r>
          </w:p>
        </w:tc>
        <w:tc>
          <w:tcPr>
            <w:tcW w:w="1476" w:type="pct"/>
            <w:tcBorders>
              <w:top w:val="nil"/>
              <w:left w:val="nil"/>
              <w:bottom w:val="single" w:color="000000" w:sz="8" w:space="0"/>
              <w:right w:val="single" w:color="000000" w:sz="8" w:space="0"/>
            </w:tcBorders>
            <w:noWrap/>
            <w:vAlign w:val="center"/>
          </w:tcPr>
          <w:p w14:paraId="755C42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0404</w:t>
            </w:r>
            <w:r>
              <w:rPr>
                <w:rStyle w:val="111"/>
                <w:rFonts w:hint="default" w:ascii="Times New Roman" w:hAnsi="Times New Roman" w:eastAsia="宋体" w:cs="Times New Roman"/>
                <w:color w:val="auto"/>
                <w:sz w:val="21"/>
                <w:szCs w:val="21"/>
                <w:lang w:val="en-US" w:eastAsia="zh-CN" w:bidi="ar"/>
              </w:rPr>
              <w:t>其他草地</w:t>
            </w:r>
          </w:p>
        </w:tc>
        <w:tc>
          <w:tcPr>
            <w:tcW w:w="1565" w:type="dxa"/>
            <w:tcBorders>
              <w:top w:val="nil"/>
              <w:left w:val="nil"/>
              <w:bottom w:val="single" w:color="000000" w:sz="8" w:space="0"/>
              <w:right w:val="single" w:color="000000" w:sz="8" w:space="0"/>
            </w:tcBorders>
            <w:noWrap/>
            <w:vAlign w:val="center"/>
          </w:tcPr>
          <w:p w14:paraId="4EC5D6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0.73</w:t>
            </w:r>
          </w:p>
        </w:tc>
        <w:tc>
          <w:tcPr>
            <w:tcW w:w="1318" w:type="dxa"/>
            <w:tcBorders>
              <w:top w:val="nil"/>
              <w:left w:val="nil"/>
              <w:bottom w:val="single" w:color="000000" w:sz="8" w:space="0"/>
              <w:right w:val="single" w:color="000000" w:sz="8" w:space="0"/>
            </w:tcBorders>
            <w:noWrap/>
            <w:vAlign w:val="center"/>
          </w:tcPr>
          <w:p w14:paraId="498730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0.66</w:t>
            </w:r>
          </w:p>
        </w:tc>
      </w:tr>
      <w:tr w14:paraId="0BED8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tcBorders>
              <w:top w:val="nil"/>
              <w:left w:val="single" w:color="000000" w:sz="8" w:space="0"/>
              <w:bottom w:val="single" w:color="000000" w:sz="8" w:space="0"/>
              <w:right w:val="single" w:color="000000" w:sz="8" w:space="0"/>
            </w:tcBorders>
            <w:noWrap/>
            <w:vAlign w:val="center"/>
          </w:tcPr>
          <w:p w14:paraId="16961E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w:t>
            </w:r>
            <w:r>
              <w:rPr>
                <w:rStyle w:val="111"/>
                <w:rFonts w:hint="default" w:ascii="Times New Roman" w:hAnsi="Times New Roman" w:eastAsia="宋体" w:cs="Times New Roman"/>
                <w:color w:val="auto"/>
                <w:sz w:val="21"/>
                <w:szCs w:val="21"/>
                <w:lang w:val="en-US" w:eastAsia="zh-CN" w:bidi="ar"/>
              </w:rPr>
              <w:t>住宅用地</w:t>
            </w:r>
          </w:p>
        </w:tc>
        <w:tc>
          <w:tcPr>
            <w:tcW w:w="1476" w:type="pct"/>
            <w:tcBorders>
              <w:top w:val="nil"/>
              <w:left w:val="nil"/>
              <w:bottom w:val="single" w:color="000000" w:sz="8" w:space="0"/>
              <w:right w:val="single" w:color="000000" w:sz="8" w:space="0"/>
            </w:tcBorders>
            <w:noWrap/>
            <w:vAlign w:val="center"/>
          </w:tcPr>
          <w:p w14:paraId="45184D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0702</w:t>
            </w:r>
            <w:r>
              <w:rPr>
                <w:rStyle w:val="111"/>
                <w:rFonts w:hint="default" w:ascii="Times New Roman" w:hAnsi="Times New Roman" w:eastAsia="宋体" w:cs="Times New Roman"/>
                <w:color w:val="auto"/>
                <w:sz w:val="21"/>
                <w:szCs w:val="21"/>
                <w:lang w:val="en-US" w:eastAsia="zh-CN" w:bidi="ar"/>
              </w:rPr>
              <w:t>农村宅基地</w:t>
            </w:r>
          </w:p>
        </w:tc>
        <w:tc>
          <w:tcPr>
            <w:tcW w:w="1565" w:type="dxa"/>
            <w:tcBorders>
              <w:top w:val="nil"/>
              <w:left w:val="nil"/>
              <w:bottom w:val="single" w:color="000000" w:sz="8" w:space="0"/>
              <w:right w:val="single" w:color="000000" w:sz="8" w:space="0"/>
            </w:tcBorders>
            <w:noWrap/>
            <w:vAlign w:val="center"/>
          </w:tcPr>
          <w:p w14:paraId="744380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1.69</w:t>
            </w:r>
          </w:p>
        </w:tc>
        <w:tc>
          <w:tcPr>
            <w:tcW w:w="1318" w:type="dxa"/>
            <w:tcBorders>
              <w:top w:val="nil"/>
              <w:left w:val="nil"/>
              <w:bottom w:val="single" w:color="000000" w:sz="8" w:space="0"/>
              <w:right w:val="single" w:color="000000" w:sz="8" w:space="0"/>
            </w:tcBorders>
            <w:noWrap/>
            <w:vAlign w:val="center"/>
          </w:tcPr>
          <w:p w14:paraId="773D7C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r>
      <w:tr w14:paraId="47CA9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tcBorders>
              <w:top w:val="nil"/>
              <w:left w:val="single" w:color="000000" w:sz="8" w:space="0"/>
              <w:bottom w:val="single" w:color="000000" w:sz="8" w:space="0"/>
              <w:right w:val="single" w:color="000000" w:sz="8" w:space="0"/>
            </w:tcBorders>
            <w:noWrap/>
            <w:vAlign w:val="center"/>
          </w:tcPr>
          <w:p w14:paraId="6EA2C5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w:t>
            </w:r>
            <w:r>
              <w:rPr>
                <w:rStyle w:val="111"/>
                <w:rFonts w:hint="default" w:ascii="Times New Roman" w:hAnsi="Times New Roman" w:eastAsia="宋体" w:cs="Times New Roman"/>
                <w:color w:val="auto"/>
                <w:sz w:val="21"/>
                <w:szCs w:val="21"/>
                <w:lang w:val="en-US" w:eastAsia="zh-CN" w:bidi="ar"/>
              </w:rPr>
              <w:t>公共管理与公共服务用地</w:t>
            </w:r>
          </w:p>
        </w:tc>
        <w:tc>
          <w:tcPr>
            <w:tcW w:w="1476" w:type="pct"/>
            <w:tcBorders>
              <w:top w:val="nil"/>
              <w:left w:val="nil"/>
              <w:bottom w:val="single" w:color="000000" w:sz="8" w:space="0"/>
              <w:right w:val="single" w:color="000000" w:sz="8" w:space="0"/>
            </w:tcBorders>
            <w:noWrap/>
            <w:vAlign w:val="center"/>
          </w:tcPr>
          <w:p w14:paraId="162415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0801机关团体用地</w:t>
            </w:r>
          </w:p>
        </w:tc>
        <w:tc>
          <w:tcPr>
            <w:tcW w:w="1565" w:type="dxa"/>
            <w:tcBorders>
              <w:top w:val="nil"/>
              <w:left w:val="nil"/>
              <w:bottom w:val="single" w:color="000000" w:sz="8" w:space="0"/>
              <w:right w:val="single" w:color="000000" w:sz="8" w:space="0"/>
            </w:tcBorders>
            <w:noWrap/>
            <w:vAlign w:val="center"/>
          </w:tcPr>
          <w:p w14:paraId="697175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0.21</w:t>
            </w:r>
          </w:p>
        </w:tc>
        <w:tc>
          <w:tcPr>
            <w:tcW w:w="1318" w:type="dxa"/>
            <w:tcBorders>
              <w:top w:val="nil"/>
              <w:left w:val="nil"/>
              <w:bottom w:val="single" w:color="000000" w:sz="8" w:space="0"/>
              <w:right w:val="single" w:color="000000" w:sz="8" w:space="0"/>
            </w:tcBorders>
            <w:noWrap/>
            <w:vAlign w:val="center"/>
          </w:tcPr>
          <w:p w14:paraId="4CD199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0.19</w:t>
            </w:r>
          </w:p>
        </w:tc>
      </w:tr>
      <w:tr w14:paraId="45D9B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tcBorders>
              <w:top w:val="nil"/>
              <w:left w:val="single" w:color="000000" w:sz="8" w:space="0"/>
              <w:bottom w:val="single" w:color="000000" w:sz="8" w:space="0"/>
              <w:right w:val="single" w:color="000000" w:sz="8" w:space="0"/>
            </w:tcBorders>
            <w:noWrap/>
            <w:vAlign w:val="center"/>
          </w:tcPr>
          <w:p w14:paraId="02E47B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r>
              <w:rPr>
                <w:rStyle w:val="111"/>
                <w:rFonts w:hint="default" w:ascii="Times New Roman" w:hAnsi="Times New Roman" w:eastAsia="宋体" w:cs="Times New Roman"/>
                <w:color w:val="auto"/>
                <w:sz w:val="21"/>
                <w:szCs w:val="21"/>
                <w:lang w:val="en-US" w:eastAsia="zh-CN" w:bidi="ar"/>
              </w:rPr>
              <w:t>交通运输用地</w:t>
            </w:r>
          </w:p>
        </w:tc>
        <w:tc>
          <w:tcPr>
            <w:tcW w:w="1476" w:type="pct"/>
            <w:tcBorders>
              <w:top w:val="nil"/>
              <w:left w:val="nil"/>
              <w:bottom w:val="single" w:color="000000" w:sz="8" w:space="0"/>
              <w:right w:val="single" w:color="000000" w:sz="8" w:space="0"/>
            </w:tcBorders>
            <w:noWrap/>
            <w:vAlign w:val="center"/>
          </w:tcPr>
          <w:p w14:paraId="7040F9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snapToGrid w:val="0"/>
                <w:color w:val="auto"/>
                <w:kern w:val="0"/>
                <w:sz w:val="22"/>
                <w:szCs w:val="22"/>
                <w:lang w:val="en-US" w:eastAsia="zh-CN"/>
              </w:rPr>
              <w:t>006农村道路</w:t>
            </w:r>
          </w:p>
        </w:tc>
        <w:tc>
          <w:tcPr>
            <w:tcW w:w="1565" w:type="dxa"/>
            <w:tcBorders>
              <w:top w:val="nil"/>
              <w:left w:val="nil"/>
              <w:bottom w:val="single" w:color="000000" w:sz="8" w:space="0"/>
              <w:right w:val="single" w:color="000000" w:sz="8" w:space="0"/>
            </w:tcBorders>
            <w:noWrap/>
            <w:vAlign w:val="center"/>
          </w:tcPr>
          <w:p w14:paraId="4E8426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1.87</w:t>
            </w:r>
          </w:p>
        </w:tc>
        <w:tc>
          <w:tcPr>
            <w:tcW w:w="1318" w:type="dxa"/>
            <w:tcBorders>
              <w:top w:val="nil"/>
              <w:left w:val="nil"/>
              <w:bottom w:val="single" w:color="000000" w:sz="8" w:space="0"/>
              <w:right w:val="single" w:color="000000" w:sz="8" w:space="0"/>
            </w:tcBorders>
            <w:noWrap/>
            <w:vAlign w:val="center"/>
          </w:tcPr>
          <w:p w14:paraId="36A0C7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w:t>
            </w:r>
          </w:p>
        </w:tc>
      </w:tr>
      <w:tr w14:paraId="38B46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vMerge w:val="restart"/>
            <w:tcBorders>
              <w:top w:val="nil"/>
              <w:left w:val="single" w:color="000000" w:sz="8" w:space="0"/>
              <w:right w:val="single" w:color="000000" w:sz="8" w:space="0"/>
            </w:tcBorders>
            <w:noWrap/>
            <w:vAlign w:val="center"/>
          </w:tcPr>
          <w:p w14:paraId="4182AE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r>
              <w:rPr>
                <w:rStyle w:val="111"/>
                <w:rFonts w:hint="default" w:ascii="Times New Roman" w:hAnsi="Times New Roman" w:eastAsia="宋体" w:cs="Times New Roman"/>
                <w:color w:val="auto"/>
                <w:sz w:val="21"/>
                <w:szCs w:val="21"/>
                <w:lang w:val="en-US" w:eastAsia="zh-CN" w:bidi="ar"/>
              </w:rPr>
              <w:t>水域及水利设施用地</w:t>
            </w:r>
          </w:p>
        </w:tc>
        <w:tc>
          <w:tcPr>
            <w:tcW w:w="2640" w:type="dxa"/>
            <w:tcBorders>
              <w:top w:val="nil"/>
              <w:left w:val="nil"/>
              <w:bottom w:val="single" w:color="000000" w:sz="8" w:space="0"/>
              <w:right w:val="single" w:color="000000" w:sz="8" w:space="0"/>
            </w:tcBorders>
            <w:noWrap/>
            <w:vAlign w:val="center"/>
          </w:tcPr>
          <w:p w14:paraId="2B30F591">
            <w:pPr>
              <w:autoSpaceDE w:val="0"/>
              <w:autoSpaceDN w:val="0"/>
              <w:adjustRightInd w:val="0"/>
              <w:jc w:val="center"/>
              <w:textAlignment w:val="baseline"/>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snapToGrid w:val="0"/>
                <w:color w:val="auto"/>
                <w:kern w:val="0"/>
                <w:sz w:val="22"/>
                <w:szCs w:val="22"/>
                <w:lang w:val="en-US" w:eastAsia="zh-CN"/>
              </w:rPr>
              <w:t>1103水库水面</w:t>
            </w:r>
          </w:p>
        </w:tc>
        <w:tc>
          <w:tcPr>
            <w:tcW w:w="1565" w:type="dxa"/>
            <w:tcBorders>
              <w:top w:val="nil"/>
              <w:left w:val="nil"/>
              <w:bottom w:val="single" w:color="000000" w:sz="8" w:space="0"/>
              <w:right w:val="single" w:color="000000" w:sz="8" w:space="0"/>
            </w:tcBorders>
            <w:noWrap/>
            <w:vAlign w:val="center"/>
          </w:tcPr>
          <w:p w14:paraId="1A9952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6.37</w:t>
            </w:r>
          </w:p>
        </w:tc>
        <w:tc>
          <w:tcPr>
            <w:tcW w:w="1318" w:type="dxa"/>
            <w:tcBorders>
              <w:top w:val="nil"/>
              <w:left w:val="nil"/>
              <w:bottom w:val="single" w:color="000000" w:sz="8" w:space="0"/>
              <w:right w:val="single" w:color="000000" w:sz="8" w:space="0"/>
            </w:tcBorders>
            <w:noWrap/>
            <w:vAlign w:val="center"/>
          </w:tcPr>
          <w:p w14:paraId="4F20DE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5.78</w:t>
            </w:r>
          </w:p>
        </w:tc>
      </w:tr>
      <w:tr w14:paraId="225DF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vMerge w:val="continue"/>
            <w:tcBorders>
              <w:left w:val="single" w:color="000000" w:sz="8" w:space="0"/>
              <w:right w:val="single" w:color="000000" w:sz="8" w:space="0"/>
            </w:tcBorders>
            <w:noWrap/>
            <w:vAlign w:val="center"/>
          </w:tcPr>
          <w:p w14:paraId="51C1DC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640" w:type="dxa"/>
            <w:tcBorders>
              <w:top w:val="nil"/>
              <w:left w:val="nil"/>
              <w:bottom w:val="single" w:color="000000" w:sz="8" w:space="0"/>
              <w:right w:val="single" w:color="000000" w:sz="8" w:space="0"/>
            </w:tcBorders>
            <w:noWrap/>
            <w:vAlign w:val="center"/>
          </w:tcPr>
          <w:p w14:paraId="0B2145EB">
            <w:pPr>
              <w:autoSpaceDE w:val="0"/>
              <w:autoSpaceDN w:val="0"/>
              <w:adjustRightInd w:val="0"/>
              <w:jc w:val="center"/>
              <w:textAlignment w:val="baseline"/>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snapToGrid w:val="0"/>
                <w:color w:val="auto"/>
                <w:kern w:val="0"/>
                <w:sz w:val="22"/>
                <w:szCs w:val="22"/>
                <w:lang w:val="en-US" w:eastAsia="zh-CN"/>
              </w:rPr>
              <w:t>1104坑塘水面</w:t>
            </w:r>
          </w:p>
        </w:tc>
        <w:tc>
          <w:tcPr>
            <w:tcW w:w="1565" w:type="dxa"/>
            <w:tcBorders>
              <w:top w:val="nil"/>
              <w:left w:val="nil"/>
              <w:bottom w:val="single" w:color="000000" w:sz="8" w:space="0"/>
              <w:right w:val="single" w:color="000000" w:sz="8" w:space="0"/>
            </w:tcBorders>
            <w:noWrap/>
            <w:vAlign w:val="center"/>
          </w:tcPr>
          <w:p w14:paraId="098C34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3.1</w:t>
            </w:r>
          </w:p>
        </w:tc>
        <w:tc>
          <w:tcPr>
            <w:tcW w:w="1318" w:type="dxa"/>
            <w:tcBorders>
              <w:top w:val="nil"/>
              <w:left w:val="nil"/>
              <w:bottom w:val="single" w:color="000000" w:sz="8" w:space="0"/>
              <w:right w:val="single" w:color="000000" w:sz="8" w:space="0"/>
            </w:tcBorders>
            <w:noWrap/>
            <w:vAlign w:val="center"/>
          </w:tcPr>
          <w:p w14:paraId="0B6DA5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2.81</w:t>
            </w:r>
          </w:p>
        </w:tc>
      </w:tr>
      <w:tr w14:paraId="50B59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11" w:type="pct"/>
            <w:vMerge w:val="continue"/>
            <w:tcBorders>
              <w:left w:val="single" w:color="000000" w:sz="8" w:space="0"/>
              <w:bottom w:val="single" w:color="000000" w:sz="8" w:space="0"/>
              <w:right w:val="single" w:color="000000" w:sz="8" w:space="0"/>
            </w:tcBorders>
            <w:noWrap/>
            <w:vAlign w:val="center"/>
          </w:tcPr>
          <w:p w14:paraId="573BE7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76" w:type="pct"/>
            <w:tcBorders>
              <w:top w:val="nil"/>
              <w:left w:val="nil"/>
              <w:bottom w:val="single" w:color="000000" w:sz="8" w:space="0"/>
              <w:right w:val="single" w:color="000000" w:sz="8" w:space="0"/>
            </w:tcBorders>
            <w:noWrap/>
            <w:vAlign w:val="center"/>
          </w:tcPr>
          <w:p w14:paraId="36BB40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snapToGrid w:val="0"/>
                <w:color w:val="auto"/>
                <w:kern w:val="0"/>
                <w:sz w:val="22"/>
                <w:szCs w:val="22"/>
                <w:lang w:val="en-US" w:eastAsia="zh-CN"/>
              </w:rPr>
              <w:t>1109水工建筑用地</w:t>
            </w:r>
          </w:p>
        </w:tc>
        <w:tc>
          <w:tcPr>
            <w:tcW w:w="1565" w:type="dxa"/>
            <w:tcBorders>
              <w:top w:val="nil"/>
              <w:left w:val="nil"/>
              <w:bottom w:val="single" w:color="000000" w:sz="8" w:space="0"/>
              <w:right w:val="single" w:color="000000" w:sz="8" w:space="0"/>
            </w:tcBorders>
            <w:noWrap/>
            <w:vAlign w:val="center"/>
          </w:tcPr>
          <w:p w14:paraId="18462B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0.5</w:t>
            </w:r>
          </w:p>
        </w:tc>
        <w:tc>
          <w:tcPr>
            <w:tcW w:w="1318" w:type="dxa"/>
            <w:tcBorders>
              <w:top w:val="nil"/>
              <w:left w:val="nil"/>
              <w:bottom w:val="single" w:color="000000" w:sz="8" w:space="0"/>
              <w:right w:val="single" w:color="000000" w:sz="8" w:space="0"/>
            </w:tcBorders>
            <w:noWrap/>
            <w:vAlign w:val="center"/>
          </w:tcPr>
          <w:p w14:paraId="446530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0.45</w:t>
            </w:r>
          </w:p>
        </w:tc>
      </w:tr>
      <w:tr w14:paraId="384B6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387" w:type="pct"/>
            <w:gridSpan w:val="2"/>
            <w:tcBorders>
              <w:top w:val="nil"/>
              <w:left w:val="single" w:color="000000" w:sz="8" w:space="0"/>
              <w:bottom w:val="single" w:color="000000" w:sz="8" w:space="0"/>
              <w:right w:val="single" w:color="000000" w:sz="8" w:space="0"/>
            </w:tcBorders>
            <w:noWrap/>
            <w:vAlign w:val="center"/>
          </w:tcPr>
          <w:p w14:paraId="7C84B0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875" w:type="pct"/>
            <w:tcBorders>
              <w:top w:val="nil"/>
              <w:left w:val="nil"/>
              <w:bottom w:val="single" w:color="000000" w:sz="8" w:space="0"/>
              <w:right w:val="single" w:color="000000" w:sz="8" w:space="0"/>
            </w:tcBorders>
            <w:noWrap/>
            <w:vAlign w:val="center"/>
          </w:tcPr>
          <w:p w14:paraId="19659D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110.13</w:t>
            </w:r>
          </w:p>
        </w:tc>
        <w:tc>
          <w:tcPr>
            <w:tcW w:w="737" w:type="pct"/>
            <w:tcBorders>
              <w:top w:val="nil"/>
              <w:left w:val="nil"/>
              <w:bottom w:val="single" w:color="000000" w:sz="8" w:space="0"/>
              <w:right w:val="single" w:color="000000" w:sz="8" w:space="0"/>
            </w:tcBorders>
            <w:noWrap/>
            <w:vAlign w:val="center"/>
          </w:tcPr>
          <w:p w14:paraId="46A9B8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100.00</w:t>
            </w:r>
          </w:p>
        </w:tc>
      </w:tr>
    </w:tbl>
    <w:p w14:paraId="116F18CD">
      <w:pPr>
        <w:rPr>
          <w:rFonts w:hint="default" w:ascii="Times New Roman" w:hAnsi="Times New Roman" w:eastAsia="宋体" w:cs="Times New Roman"/>
          <w:color w:val="auto"/>
        </w:rPr>
      </w:pPr>
    </w:p>
    <w:p w14:paraId="20CD28DF">
      <w:pPr>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4.3.</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 xml:space="preserve"> 生态系统现状</w:t>
      </w:r>
    </w:p>
    <w:p w14:paraId="5FAF7904">
      <w:pPr>
        <w:adjustRightInd w:val="0"/>
        <w:snapToGrid w:val="0"/>
        <w:spacing w:line="480" w:lineRule="exact"/>
        <w:ind w:left="120" w:leftChars="50" w:firstLine="390" w:firstLineChars="150"/>
        <w:rPr>
          <w:rFonts w:hint="default" w:ascii="Times New Roman" w:hAnsi="Times New Roman" w:eastAsia="宋体" w:cs="Times New Roman"/>
          <w:color w:val="auto"/>
          <w:sz w:val="26"/>
          <w:szCs w:val="26"/>
        </w:rPr>
      </w:pPr>
      <w:bookmarkStart w:id="296" w:name="_Hlk133247631"/>
      <w:r>
        <w:rPr>
          <w:rFonts w:hint="default" w:ascii="Times New Roman" w:hAnsi="Times New Roman" w:eastAsia="宋体" w:cs="Times New Roman"/>
          <w:color w:val="auto"/>
          <w:sz w:val="26"/>
          <w:szCs w:val="26"/>
        </w:rPr>
        <w:t>（1）生态系统分类</w:t>
      </w:r>
    </w:p>
    <w:p w14:paraId="10985149">
      <w:pPr>
        <w:adjustRightInd w:val="0"/>
        <w:snapToGrid w:val="0"/>
        <w:spacing w:line="480" w:lineRule="exact"/>
        <w:ind w:left="120" w:leftChars="50" w:firstLine="390" w:firstLineChars="150"/>
        <w:rPr>
          <w:rFonts w:hint="default" w:ascii="Times New Roman" w:hAnsi="Times New Roman" w:eastAsia="宋体" w:cs="Times New Roman"/>
          <w:color w:val="auto"/>
        </w:rPr>
      </w:pPr>
      <w:r>
        <w:rPr>
          <w:rFonts w:hint="default" w:ascii="Times New Roman" w:hAnsi="Times New Roman" w:eastAsia="宋体" w:cs="Times New Roman"/>
          <w:color w:val="auto"/>
          <w:sz w:val="26"/>
          <w:szCs w:val="26"/>
        </w:rPr>
        <w:t>评价区域生态系统类型调查按照《全国生态状况调查评估技术规范——生态系统遥感解译与野外核查》（HJ 1166-2021）要求，基于评价区域高空间分辨率遥感影像以及野外核查点位照片，将评价范围内生态系统分为森林生态系统、灌丛生态系统、草地生态系统、湿地生态系统、农田生态系统、城镇生态系统</w:t>
      </w:r>
      <w:r>
        <w:rPr>
          <w:rFonts w:hint="default" w:ascii="Times New Roman" w:hAnsi="Times New Roman" w:eastAsia="宋体" w:cs="Times New Roman"/>
          <w:color w:val="auto"/>
          <w:sz w:val="26"/>
          <w:szCs w:val="26"/>
          <w:lang w:val="en-US" w:eastAsia="zh-CN"/>
        </w:rPr>
        <w:t>等六</w:t>
      </w:r>
      <w:r>
        <w:rPr>
          <w:rFonts w:hint="default" w:ascii="Times New Roman" w:hAnsi="Times New Roman" w:eastAsia="宋体" w:cs="Times New Roman"/>
          <w:color w:val="auto"/>
          <w:sz w:val="26"/>
          <w:szCs w:val="26"/>
        </w:rPr>
        <w:t>大类，经过人机交互遥感解译、野外核查和精度验证，评价区域生态系统类型面积统计见下表。</w:t>
      </w:r>
    </w:p>
    <w:p w14:paraId="079BCFAC">
      <w:pPr>
        <w:snapToGrid w:val="0"/>
        <w:ind w:firstLine="480" w:firstLineChars="200"/>
        <w:jc w:val="center"/>
        <w:rPr>
          <w:rFonts w:hint="default" w:ascii="Times New Roman" w:hAnsi="Times New Roman" w:eastAsia="宋体" w:cs="Times New Roman"/>
          <w:color w:val="auto"/>
        </w:rPr>
      </w:pPr>
    </w:p>
    <w:p w14:paraId="25F2323F">
      <w:pPr>
        <w:pStyle w:val="106"/>
        <w:spacing w:line="480" w:lineRule="exact"/>
        <w:ind w:firstLine="480"/>
        <w:rPr>
          <w:rFonts w:hint="default" w:ascii="Times New Roman" w:hAnsi="Times New Roman" w:eastAsia="宋体" w:cs="Times New Roman"/>
          <w:color w:val="auto"/>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 xml:space="preserve"> 调查范围生态系统面积统计表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5"/>
        <w:gridCol w:w="2488"/>
        <w:gridCol w:w="1438"/>
        <w:gridCol w:w="1440"/>
      </w:tblGrid>
      <w:tr w14:paraId="7C2B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pct"/>
            <w:gridSpan w:val="2"/>
            <w:vMerge w:val="restart"/>
            <w:noWrap/>
            <w:vAlign w:val="center"/>
          </w:tcPr>
          <w:p w14:paraId="75C43E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生态系统类型</w:t>
            </w:r>
          </w:p>
        </w:tc>
        <w:tc>
          <w:tcPr>
            <w:tcW w:w="1609" w:type="pct"/>
            <w:gridSpan w:val="2"/>
            <w:noWrap/>
            <w:vAlign w:val="center"/>
          </w:tcPr>
          <w:p w14:paraId="35096B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评价范围</w:t>
            </w:r>
          </w:p>
        </w:tc>
      </w:tr>
      <w:tr w14:paraId="47DE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pct"/>
            <w:gridSpan w:val="2"/>
            <w:vMerge w:val="continue"/>
            <w:noWrap/>
            <w:vAlign w:val="center"/>
          </w:tcPr>
          <w:p w14:paraId="514D634D">
            <w:pPr>
              <w:jc w:val="center"/>
              <w:rPr>
                <w:rFonts w:hint="default" w:ascii="Times New Roman" w:hAnsi="Times New Roman" w:eastAsia="宋体" w:cs="Times New Roman"/>
                <w:i w:val="0"/>
                <w:iCs w:val="0"/>
                <w:color w:val="auto"/>
                <w:sz w:val="21"/>
                <w:szCs w:val="21"/>
                <w:u w:val="none"/>
              </w:rPr>
            </w:pPr>
          </w:p>
        </w:tc>
        <w:tc>
          <w:tcPr>
            <w:tcW w:w="804" w:type="pct"/>
            <w:noWrap/>
            <w:vAlign w:val="center"/>
          </w:tcPr>
          <w:p w14:paraId="0F2308CB">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w:t>
            </w:r>
          </w:p>
        </w:tc>
        <w:tc>
          <w:tcPr>
            <w:tcW w:w="805" w:type="pct"/>
            <w:noWrap/>
            <w:vAlign w:val="center"/>
          </w:tcPr>
          <w:p w14:paraId="25BDCBAC">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百分比(%)</w:t>
            </w:r>
          </w:p>
        </w:tc>
      </w:tr>
      <w:tr w14:paraId="14B0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99" w:type="pct"/>
            <w:vMerge w:val="restart"/>
            <w:noWrap/>
            <w:vAlign w:val="center"/>
          </w:tcPr>
          <w:p w14:paraId="0805C3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1森林生态系统</w:t>
            </w:r>
          </w:p>
        </w:tc>
        <w:tc>
          <w:tcPr>
            <w:tcW w:w="1390" w:type="pct"/>
            <w:noWrap/>
            <w:vAlign w:val="center"/>
          </w:tcPr>
          <w:p w14:paraId="73F951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11阔叶林生态系统</w:t>
            </w:r>
          </w:p>
        </w:tc>
        <w:tc>
          <w:tcPr>
            <w:tcW w:w="804" w:type="pct"/>
            <w:noWrap/>
            <w:vAlign w:val="center"/>
          </w:tcPr>
          <w:p w14:paraId="57D409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10.61</w:t>
            </w:r>
          </w:p>
        </w:tc>
        <w:tc>
          <w:tcPr>
            <w:tcW w:w="1440" w:type="dxa"/>
            <w:noWrap/>
            <w:vAlign w:val="center"/>
          </w:tcPr>
          <w:p w14:paraId="0B362E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9.63</w:t>
            </w:r>
          </w:p>
        </w:tc>
      </w:tr>
      <w:tr w14:paraId="250C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99" w:type="pct"/>
            <w:vMerge w:val="continue"/>
            <w:noWrap/>
            <w:vAlign w:val="center"/>
          </w:tcPr>
          <w:p w14:paraId="2108A3DF">
            <w:pPr>
              <w:jc w:val="center"/>
              <w:rPr>
                <w:rFonts w:hint="default" w:ascii="Times New Roman" w:hAnsi="Times New Roman" w:eastAsia="宋体" w:cs="Times New Roman"/>
                <w:i w:val="0"/>
                <w:iCs w:val="0"/>
                <w:color w:val="auto"/>
                <w:sz w:val="21"/>
                <w:szCs w:val="21"/>
                <w:u w:val="none"/>
              </w:rPr>
            </w:pPr>
          </w:p>
        </w:tc>
        <w:tc>
          <w:tcPr>
            <w:tcW w:w="1390" w:type="pct"/>
            <w:noWrap/>
            <w:vAlign w:val="center"/>
          </w:tcPr>
          <w:p w14:paraId="3E37C0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12针叶林生态系统</w:t>
            </w:r>
          </w:p>
        </w:tc>
        <w:tc>
          <w:tcPr>
            <w:tcW w:w="804" w:type="pct"/>
            <w:noWrap/>
            <w:vAlign w:val="center"/>
          </w:tcPr>
          <w:p w14:paraId="1CB615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44.47</w:t>
            </w:r>
          </w:p>
        </w:tc>
        <w:tc>
          <w:tcPr>
            <w:tcW w:w="1440" w:type="dxa"/>
            <w:noWrap/>
            <w:vAlign w:val="center"/>
          </w:tcPr>
          <w:p w14:paraId="029A8A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40.38</w:t>
            </w:r>
          </w:p>
        </w:tc>
      </w:tr>
      <w:tr w14:paraId="5B6F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99" w:type="pct"/>
            <w:noWrap/>
            <w:vAlign w:val="center"/>
          </w:tcPr>
          <w:p w14:paraId="1E0AD021">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2灌丛生态系统</w:t>
            </w:r>
          </w:p>
        </w:tc>
        <w:tc>
          <w:tcPr>
            <w:tcW w:w="1390" w:type="pct"/>
            <w:noWrap/>
            <w:vAlign w:val="center"/>
          </w:tcPr>
          <w:p w14:paraId="0B4669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21阔叶灌丛生态系统</w:t>
            </w:r>
          </w:p>
        </w:tc>
        <w:tc>
          <w:tcPr>
            <w:tcW w:w="804" w:type="pct"/>
            <w:noWrap/>
            <w:vAlign w:val="center"/>
          </w:tcPr>
          <w:p w14:paraId="768C53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10.45</w:t>
            </w:r>
          </w:p>
        </w:tc>
        <w:tc>
          <w:tcPr>
            <w:tcW w:w="1440" w:type="dxa"/>
            <w:noWrap/>
            <w:vAlign w:val="center"/>
          </w:tcPr>
          <w:p w14:paraId="4C300C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9.49</w:t>
            </w:r>
          </w:p>
        </w:tc>
      </w:tr>
      <w:tr w14:paraId="79E2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99" w:type="pct"/>
            <w:noWrap w:val="0"/>
            <w:vAlign w:val="center"/>
          </w:tcPr>
          <w:p w14:paraId="635B89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3草地生态系统</w:t>
            </w:r>
          </w:p>
        </w:tc>
        <w:tc>
          <w:tcPr>
            <w:tcW w:w="1390" w:type="pct"/>
            <w:noWrap/>
            <w:vAlign w:val="center"/>
          </w:tcPr>
          <w:p w14:paraId="2001B1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33草丛生态系统</w:t>
            </w:r>
          </w:p>
        </w:tc>
        <w:tc>
          <w:tcPr>
            <w:tcW w:w="804" w:type="pct"/>
            <w:noWrap/>
            <w:vAlign w:val="center"/>
          </w:tcPr>
          <w:p w14:paraId="4AB490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1440" w:type="dxa"/>
            <w:noWrap/>
            <w:vAlign w:val="center"/>
          </w:tcPr>
          <w:p w14:paraId="260B5E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0.66</w:t>
            </w:r>
          </w:p>
        </w:tc>
      </w:tr>
      <w:tr w14:paraId="5562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99" w:type="pct"/>
            <w:noWrap w:val="0"/>
            <w:vAlign w:val="center"/>
          </w:tcPr>
          <w:p w14:paraId="12165BD3">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4湿地生态系统</w:t>
            </w:r>
          </w:p>
        </w:tc>
        <w:tc>
          <w:tcPr>
            <w:tcW w:w="1390" w:type="pct"/>
            <w:noWrap/>
            <w:vAlign w:val="center"/>
          </w:tcPr>
          <w:p w14:paraId="22D53B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42湖泊生态系统</w:t>
            </w:r>
          </w:p>
        </w:tc>
        <w:tc>
          <w:tcPr>
            <w:tcW w:w="804" w:type="pct"/>
            <w:noWrap/>
            <w:vAlign w:val="center"/>
          </w:tcPr>
          <w:p w14:paraId="2187C5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9.47</w:t>
            </w:r>
          </w:p>
        </w:tc>
        <w:tc>
          <w:tcPr>
            <w:tcW w:w="1440" w:type="dxa"/>
            <w:noWrap/>
            <w:vAlign w:val="center"/>
          </w:tcPr>
          <w:p w14:paraId="69F1A3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8.60</w:t>
            </w:r>
          </w:p>
        </w:tc>
      </w:tr>
      <w:tr w14:paraId="0801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99" w:type="pct"/>
            <w:noWrap/>
            <w:vAlign w:val="center"/>
          </w:tcPr>
          <w:p w14:paraId="360B4060">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5农田生态系统</w:t>
            </w:r>
          </w:p>
        </w:tc>
        <w:tc>
          <w:tcPr>
            <w:tcW w:w="1390" w:type="pct"/>
            <w:noWrap/>
            <w:vAlign w:val="center"/>
          </w:tcPr>
          <w:p w14:paraId="095E68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51耕地生态系统</w:t>
            </w:r>
          </w:p>
        </w:tc>
        <w:tc>
          <w:tcPr>
            <w:tcW w:w="804" w:type="pct"/>
            <w:noWrap/>
            <w:vAlign w:val="center"/>
          </w:tcPr>
          <w:p w14:paraId="206A17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30.13</w:t>
            </w:r>
          </w:p>
        </w:tc>
        <w:tc>
          <w:tcPr>
            <w:tcW w:w="1440" w:type="dxa"/>
            <w:noWrap/>
            <w:vAlign w:val="center"/>
          </w:tcPr>
          <w:p w14:paraId="49B0D8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27.36</w:t>
            </w:r>
          </w:p>
        </w:tc>
      </w:tr>
      <w:tr w14:paraId="43CF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99" w:type="pct"/>
            <w:vMerge w:val="restart"/>
            <w:noWrap/>
            <w:vAlign w:val="center"/>
          </w:tcPr>
          <w:p w14:paraId="5900EE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6城镇生态系统</w:t>
            </w:r>
          </w:p>
        </w:tc>
        <w:tc>
          <w:tcPr>
            <w:tcW w:w="1390" w:type="pct"/>
            <w:noWrap/>
            <w:vAlign w:val="center"/>
          </w:tcPr>
          <w:p w14:paraId="428280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61居住地生态系统</w:t>
            </w:r>
          </w:p>
        </w:tc>
        <w:tc>
          <w:tcPr>
            <w:tcW w:w="804" w:type="pct"/>
            <w:noWrap/>
            <w:vAlign w:val="center"/>
          </w:tcPr>
          <w:p w14:paraId="4FFB2B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1440" w:type="dxa"/>
            <w:noWrap/>
            <w:vAlign w:val="center"/>
          </w:tcPr>
          <w:p w14:paraId="1661CE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1.53</w:t>
            </w:r>
          </w:p>
        </w:tc>
      </w:tr>
      <w:tr w14:paraId="184B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99" w:type="pct"/>
            <w:vMerge w:val="continue"/>
            <w:noWrap/>
            <w:vAlign w:val="center"/>
          </w:tcPr>
          <w:p w14:paraId="445F98AB">
            <w:pPr>
              <w:jc w:val="center"/>
              <w:rPr>
                <w:rFonts w:hint="default" w:ascii="Times New Roman" w:hAnsi="Times New Roman" w:eastAsia="宋体" w:cs="Times New Roman"/>
                <w:i w:val="0"/>
                <w:iCs w:val="0"/>
                <w:color w:val="auto"/>
                <w:sz w:val="21"/>
                <w:szCs w:val="21"/>
                <w:u w:val="none"/>
              </w:rPr>
            </w:pPr>
          </w:p>
        </w:tc>
        <w:tc>
          <w:tcPr>
            <w:tcW w:w="1390" w:type="pct"/>
            <w:noWrap/>
            <w:vAlign w:val="center"/>
          </w:tcPr>
          <w:p w14:paraId="4ECF62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63工矿交通生态系统</w:t>
            </w:r>
          </w:p>
        </w:tc>
        <w:tc>
          <w:tcPr>
            <w:tcW w:w="804" w:type="pct"/>
            <w:noWrap/>
            <w:vAlign w:val="center"/>
          </w:tcPr>
          <w:p w14:paraId="23592B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2.58</w:t>
            </w:r>
          </w:p>
        </w:tc>
        <w:tc>
          <w:tcPr>
            <w:tcW w:w="1440" w:type="dxa"/>
            <w:noWrap/>
            <w:vAlign w:val="center"/>
          </w:tcPr>
          <w:p w14:paraId="6A6B4B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2.34</w:t>
            </w:r>
          </w:p>
        </w:tc>
      </w:tr>
      <w:tr w14:paraId="6BC0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0" w:type="pct"/>
            <w:gridSpan w:val="2"/>
            <w:noWrap/>
            <w:vAlign w:val="center"/>
          </w:tcPr>
          <w:p w14:paraId="52308B4E">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804" w:type="pct"/>
            <w:noWrap/>
            <w:vAlign w:val="center"/>
          </w:tcPr>
          <w:p w14:paraId="0A32F5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110.13</w:t>
            </w:r>
          </w:p>
        </w:tc>
        <w:tc>
          <w:tcPr>
            <w:tcW w:w="805" w:type="pct"/>
            <w:noWrap/>
            <w:vAlign w:val="center"/>
          </w:tcPr>
          <w:p w14:paraId="455AC0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100.00</w:t>
            </w:r>
          </w:p>
        </w:tc>
      </w:tr>
    </w:tbl>
    <w:p w14:paraId="13C6D2EB">
      <w:pPr>
        <w:adjustRightInd w:val="0"/>
        <w:snapToGrid w:val="0"/>
        <w:rPr>
          <w:rFonts w:hint="default" w:ascii="Times New Roman" w:hAnsi="Times New Roman" w:eastAsia="宋体" w:cs="Times New Roman"/>
          <w:color w:val="auto"/>
          <w:sz w:val="26"/>
          <w:szCs w:val="26"/>
        </w:rPr>
      </w:pPr>
    </w:p>
    <w:p w14:paraId="4BD79DAA">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①森林生态系统</w:t>
      </w:r>
    </w:p>
    <w:p w14:paraId="1578304E">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color w:val="auto"/>
          <w:sz w:val="26"/>
          <w:szCs w:val="26"/>
        </w:rPr>
        <w:t>根据遥感影像解译并结合现场踏勘，评价区域内的森林生态系统主要以</w:t>
      </w:r>
      <w:r>
        <w:rPr>
          <w:rFonts w:hint="default" w:ascii="Times New Roman" w:hAnsi="Times New Roman" w:eastAsia="宋体" w:cs="Times New Roman"/>
          <w:color w:val="auto"/>
          <w:sz w:val="26"/>
          <w:szCs w:val="26"/>
          <w:lang w:val="en-US" w:eastAsia="zh-CN"/>
        </w:rPr>
        <w:t>马尾松、杉木等组成的针叶林为主，零散分布着由慈竹组成的阔叶</w:t>
      </w:r>
      <w:r>
        <w:rPr>
          <w:rFonts w:hint="default" w:ascii="Times New Roman" w:hAnsi="Times New Roman" w:eastAsia="宋体" w:cs="Times New Roman"/>
          <w:color w:val="auto"/>
          <w:sz w:val="26"/>
          <w:szCs w:val="26"/>
        </w:rPr>
        <w:t>林，总面积</w:t>
      </w:r>
      <w:r>
        <w:rPr>
          <w:rFonts w:hint="default" w:ascii="Times New Roman" w:hAnsi="Times New Roman" w:eastAsia="宋体" w:cs="Times New Roman"/>
          <w:color w:val="auto"/>
          <w:sz w:val="26"/>
          <w:szCs w:val="26"/>
          <w:lang w:val="en-US" w:eastAsia="zh-CN"/>
        </w:rPr>
        <w:t>55.08</w:t>
      </w:r>
      <w:r>
        <w:rPr>
          <w:rFonts w:hint="default" w:ascii="Times New Roman" w:hAnsi="Times New Roman" w:eastAsia="宋体" w:cs="Times New Roman"/>
          <w:color w:val="auto"/>
          <w:sz w:val="26"/>
          <w:szCs w:val="26"/>
        </w:rPr>
        <w:t>hm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，占比</w:t>
      </w:r>
      <w:r>
        <w:rPr>
          <w:rFonts w:hint="default" w:ascii="Times New Roman" w:hAnsi="Times New Roman" w:eastAsia="宋体" w:cs="Times New Roman"/>
          <w:color w:val="auto"/>
          <w:sz w:val="26"/>
          <w:szCs w:val="26"/>
          <w:lang w:val="en-US" w:eastAsia="zh-CN"/>
        </w:rPr>
        <w:t>50.01</w:t>
      </w:r>
      <w:r>
        <w:rPr>
          <w:rFonts w:hint="default" w:ascii="Times New Roman" w:hAnsi="Times New Roman" w:eastAsia="宋体" w:cs="Times New Roman"/>
          <w:color w:val="auto"/>
          <w:sz w:val="26"/>
          <w:szCs w:val="26"/>
        </w:rPr>
        <w:t>%。森林生态系统及其林下灌丛由于植物的多样性和富于层次的群落结构，为鸟类、兽类等动物提供丰富的栖息地和食物，是其生存、生活的良好场所。除此之外，森林生态系统对该地区调节气候、涵养水源、水土保持、净化环境、孕育和保存生物多样性起着十分重要的作用和意义。</w:t>
      </w:r>
    </w:p>
    <w:p w14:paraId="6A85544A">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②灌丛</w:t>
      </w:r>
      <w:r>
        <w:rPr>
          <w:rFonts w:hint="default" w:ascii="Times New Roman" w:hAnsi="Times New Roman" w:eastAsia="宋体" w:cs="Times New Roman"/>
          <w:color w:val="auto"/>
          <w:sz w:val="26"/>
          <w:szCs w:val="26"/>
        </w:rPr>
        <w:t>生态</w:t>
      </w:r>
      <w:r>
        <w:rPr>
          <w:rFonts w:hint="default" w:ascii="Times New Roman" w:hAnsi="Times New Roman" w:eastAsia="宋体" w:cs="Times New Roman"/>
          <w:bCs/>
          <w:color w:val="auto"/>
          <w:sz w:val="26"/>
          <w:szCs w:val="26"/>
        </w:rPr>
        <w:t>系统</w:t>
      </w:r>
    </w:p>
    <w:p w14:paraId="23CEBC1E">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评价范围内的灌丛生态系统总面积10.45</w:t>
      </w:r>
      <w:r>
        <w:rPr>
          <w:rFonts w:hint="default" w:ascii="Times New Roman" w:hAnsi="Times New Roman" w:eastAsia="宋体" w:cs="Times New Roman"/>
          <w:color w:val="auto"/>
          <w:sz w:val="26"/>
          <w:szCs w:val="26"/>
        </w:rPr>
        <w:t>hm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，占比</w:t>
      </w:r>
      <w:r>
        <w:rPr>
          <w:rFonts w:hint="default" w:ascii="Times New Roman" w:hAnsi="Times New Roman" w:eastAsia="宋体" w:cs="Times New Roman"/>
          <w:color w:val="auto"/>
          <w:sz w:val="26"/>
          <w:szCs w:val="26"/>
          <w:lang w:val="en-US" w:eastAsia="zh-CN"/>
        </w:rPr>
        <w:t>9.49</w:t>
      </w:r>
      <w:r>
        <w:rPr>
          <w:rFonts w:hint="default" w:ascii="Times New Roman" w:hAnsi="Times New Roman" w:eastAsia="宋体" w:cs="Times New Roman"/>
          <w:color w:val="auto"/>
          <w:sz w:val="26"/>
          <w:szCs w:val="26"/>
        </w:rPr>
        <w:t>%。灌丛生态系统在生物多样性方面不及森林生态系统，结构层次性较差，隐蔽性不高，但灌丛多为森林砍伐及环境改变后，由各种落叶阔叶灌木组成的落叶阔叶灌丛，如</w:t>
      </w:r>
      <w:r>
        <w:rPr>
          <w:rFonts w:hint="default" w:ascii="Times New Roman" w:hAnsi="Times New Roman" w:eastAsia="宋体" w:cs="Times New Roman"/>
          <w:color w:val="auto"/>
          <w:sz w:val="26"/>
          <w:szCs w:val="26"/>
          <w:lang w:val="en-US" w:eastAsia="zh-CN"/>
        </w:rPr>
        <w:t>盐麸木、白栎、女贞等物种</w:t>
      </w:r>
      <w:r>
        <w:rPr>
          <w:rFonts w:hint="default" w:ascii="Times New Roman" w:hAnsi="Times New Roman" w:eastAsia="宋体" w:cs="Times New Roman"/>
          <w:color w:val="auto"/>
          <w:sz w:val="26"/>
          <w:szCs w:val="26"/>
        </w:rPr>
        <w:t>。该区灌丛生态系统零星分布于森林生态系统间，并由于灌丛的结构特征，成为一些鸟类、爬行类的良好栖息地。</w:t>
      </w:r>
    </w:p>
    <w:p w14:paraId="0B6B4D4C">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③草地生态系统</w:t>
      </w:r>
    </w:p>
    <w:p w14:paraId="2067EB8E">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bCs/>
          <w:color w:val="auto"/>
          <w:sz w:val="26"/>
          <w:szCs w:val="26"/>
        </w:rPr>
        <w:t>评价范围内的草地生态系统总面积</w:t>
      </w:r>
      <w:r>
        <w:rPr>
          <w:rFonts w:hint="default" w:ascii="Times New Roman" w:hAnsi="Times New Roman" w:eastAsia="宋体" w:cs="Times New Roman"/>
          <w:color w:val="auto"/>
          <w:sz w:val="26"/>
          <w:szCs w:val="26"/>
          <w:lang w:val="en-US" w:eastAsia="zh-CN"/>
        </w:rPr>
        <w:t>0.73</w:t>
      </w:r>
      <w:r>
        <w:rPr>
          <w:rFonts w:hint="default" w:ascii="Times New Roman" w:hAnsi="Times New Roman" w:eastAsia="宋体" w:cs="Times New Roman"/>
          <w:color w:val="auto"/>
          <w:sz w:val="26"/>
          <w:szCs w:val="26"/>
        </w:rPr>
        <w:t>hm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，占比</w:t>
      </w:r>
      <w:r>
        <w:rPr>
          <w:rFonts w:hint="default" w:ascii="Times New Roman" w:hAnsi="Times New Roman" w:eastAsia="宋体" w:cs="Times New Roman"/>
          <w:color w:val="auto"/>
          <w:sz w:val="26"/>
          <w:szCs w:val="26"/>
          <w:lang w:val="en-US" w:eastAsia="zh-CN"/>
        </w:rPr>
        <w:t>0.66</w:t>
      </w:r>
      <w:r>
        <w:rPr>
          <w:rFonts w:hint="default" w:ascii="Times New Roman" w:hAnsi="Times New Roman" w:eastAsia="宋体" w:cs="Times New Roman"/>
          <w:color w:val="auto"/>
          <w:sz w:val="26"/>
          <w:szCs w:val="26"/>
        </w:rPr>
        <w:t>%。评价范围受人为活动及自然条件影响强烈，植被类型单一，群落结构简单，草地动植物种类及数量较少。草地生态系统植物种类以适应环境的草本植物占优势，其中主要是以</w:t>
      </w:r>
      <w:r>
        <w:rPr>
          <w:rFonts w:hint="default" w:ascii="Times New Roman" w:hAnsi="Times New Roman" w:eastAsia="宋体" w:cs="Times New Roman"/>
          <w:color w:val="auto"/>
          <w:sz w:val="26"/>
          <w:szCs w:val="26"/>
          <w:lang w:val="en-US" w:eastAsia="zh-CN"/>
        </w:rPr>
        <w:t>芒、狗脊、葛、葎草、莠竹、狗尾草</w:t>
      </w:r>
      <w:r>
        <w:rPr>
          <w:rFonts w:hint="default" w:ascii="Times New Roman" w:hAnsi="Times New Roman" w:eastAsia="宋体" w:cs="Times New Roman"/>
          <w:color w:val="auto"/>
          <w:sz w:val="26"/>
          <w:szCs w:val="26"/>
        </w:rPr>
        <w:t>等植物为主。</w:t>
      </w:r>
    </w:p>
    <w:p w14:paraId="4CE68FCC">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④湿地生态系统</w:t>
      </w:r>
    </w:p>
    <w:p w14:paraId="2AF40B0A">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评价范围内的湿地生态系统总面积</w:t>
      </w:r>
      <w:r>
        <w:rPr>
          <w:rFonts w:hint="default" w:ascii="Times New Roman" w:hAnsi="Times New Roman" w:eastAsia="宋体" w:cs="Times New Roman"/>
          <w:bCs/>
          <w:color w:val="auto"/>
          <w:sz w:val="26"/>
          <w:szCs w:val="26"/>
          <w:lang w:val="en-US" w:eastAsia="zh-CN"/>
        </w:rPr>
        <w:t>9.47</w:t>
      </w:r>
      <w:r>
        <w:rPr>
          <w:rFonts w:hint="default" w:ascii="Times New Roman" w:hAnsi="Times New Roman" w:eastAsia="宋体" w:cs="Times New Roman"/>
          <w:color w:val="auto"/>
          <w:sz w:val="26"/>
          <w:szCs w:val="26"/>
        </w:rPr>
        <w:t>hm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，占比</w:t>
      </w:r>
      <w:r>
        <w:rPr>
          <w:rFonts w:hint="default" w:ascii="Times New Roman" w:hAnsi="Times New Roman" w:eastAsia="宋体" w:cs="Times New Roman"/>
          <w:color w:val="auto"/>
          <w:sz w:val="26"/>
          <w:szCs w:val="26"/>
          <w:lang w:val="en-US" w:eastAsia="zh-CN"/>
        </w:rPr>
        <w:t>8.60</w:t>
      </w:r>
      <w:r>
        <w:rPr>
          <w:rFonts w:hint="default" w:ascii="Times New Roman" w:hAnsi="Times New Roman" w:eastAsia="宋体" w:cs="Times New Roman"/>
          <w:color w:val="auto"/>
          <w:sz w:val="26"/>
          <w:szCs w:val="26"/>
        </w:rPr>
        <w:t>%。占比不大，</w:t>
      </w:r>
      <w:r>
        <w:rPr>
          <w:rFonts w:hint="default" w:ascii="Times New Roman" w:hAnsi="Times New Roman" w:eastAsia="宋体" w:cs="Times New Roman"/>
          <w:color w:val="auto"/>
          <w:sz w:val="26"/>
          <w:szCs w:val="26"/>
          <w:lang w:val="en-US" w:eastAsia="zh-CN"/>
        </w:rPr>
        <w:t>主要是评价范围内的水库、水塘等</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据工程影响段的现状调查，河岸湿地周围有</w:t>
      </w:r>
      <w:r>
        <w:rPr>
          <w:rFonts w:hint="default" w:ascii="Times New Roman" w:hAnsi="Times New Roman" w:eastAsia="宋体" w:cs="Times New Roman"/>
          <w:color w:val="auto"/>
          <w:sz w:val="26"/>
          <w:szCs w:val="26"/>
          <w:lang w:val="en-US" w:eastAsia="zh-CN"/>
        </w:rPr>
        <w:t>水芹、酸模叶蓼、空心莲子草、菖蒲、狐尾藻等</w:t>
      </w:r>
      <w:r>
        <w:rPr>
          <w:rFonts w:hint="default" w:ascii="Times New Roman" w:hAnsi="Times New Roman" w:eastAsia="宋体" w:cs="Times New Roman"/>
          <w:color w:val="auto"/>
          <w:sz w:val="26"/>
          <w:szCs w:val="26"/>
        </w:rPr>
        <w:t>植物分布。湿地生态系统除了为水生生物提供生存环境外，同时还是一些两栖类、爬行类的栖息地。</w:t>
      </w:r>
    </w:p>
    <w:p w14:paraId="6C33C012">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⑤农田生态系统</w:t>
      </w:r>
    </w:p>
    <w:p w14:paraId="4C414FE0">
      <w:pPr>
        <w:spacing w:line="480" w:lineRule="exact"/>
        <w:ind w:firstLine="520" w:firstLineChars="200"/>
        <w:rPr>
          <w:rFonts w:hint="default" w:ascii="Times New Roman" w:hAnsi="Times New Roman" w:eastAsia="宋体" w:cs="Times New Roman"/>
          <w:color w:val="auto"/>
          <w:sz w:val="26"/>
          <w:szCs w:val="26"/>
          <w:shd w:val="clear" w:color="auto" w:fill="FFFFFF"/>
        </w:rPr>
      </w:pPr>
      <w:r>
        <w:rPr>
          <w:rFonts w:hint="default" w:ascii="Times New Roman" w:hAnsi="Times New Roman" w:eastAsia="宋体" w:cs="Times New Roman"/>
          <w:bCs/>
          <w:color w:val="auto"/>
          <w:sz w:val="26"/>
          <w:szCs w:val="26"/>
        </w:rPr>
        <w:t>评价范围内的农田生态系统总面积</w:t>
      </w:r>
      <w:r>
        <w:rPr>
          <w:rFonts w:hint="default" w:ascii="Times New Roman" w:hAnsi="Times New Roman" w:eastAsia="宋体" w:cs="Times New Roman"/>
          <w:color w:val="auto"/>
          <w:sz w:val="26"/>
          <w:szCs w:val="26"/>
          <w:lang w:val="en-US" w:eastAsia="zh-CN"/>
        </w:rPr>
        <w:t>30.13</w:t>
      </w:r>
      <w:r>
        <w:rPr>
          <w:rFonts w:hint="default" w:ascii="Times New Roman" w:hAnsi="Times New Roman" w:eastAsia="宋体" w:cs="Times New Roman"/>
          <w:color w:val="auto"/>
          <w:sz w:val="26"/>
          <w:szCs w:val="26"/>
        </w:rPr>
        <w:t>hm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，占比</w:t>
      </w:r>
      <w:r>
        <w:rPr>
          <w:rFonts w:hint="default" w:ascii="Times New Roman" w:hAnsi="Times New Roman" w:eastAsia="宋体" w:cs="Times New Roman"/>
          <w:color w:val="auto"/>
          <w:sz w:val="26"/>
          <w:szCs w:val="26"/>
          <w:lang w:val="en-US" w:eastAsia="zh-CN"/>
        </w:rPr>
        <w:t>27.36</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为本评价范围的优势</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shd w:val="clear" w:color="auto" w:fill="FFFFFF"/>
        </w:rPr>
        <w:t>农田生态系统的植物群落主要以农作物为主，根据该区的地形地貌、气候和种植传统，种植有水稻、玉米、</w:t>
      </w:r>
      <w:r>
        <w:rPr>
          <w:rFonts w:hint="default" w:ascii="Times New Roman" w:hAnsi="Times New Roman" w:eastAsia="宋体" w:cs="Times New Roman"/>
          <w:color w:val="auto"/>
          <w:sz w:val="26"/>
          <w:szCs w:val="26"/>
          <w:shd w:val="clear" w:color="auto" w:fill="FFFFFF"/>
          <w:lang w:val="en-US" w:eastAsia="zh-CN"/>
        </w:rPr>
        <w:t>番薯</w:t>
      </w:r>
      <w:r>
        <w:rPr>
          <w:rFonts w:hint="default" w:ascii="Times New Roman" w:hAnsi="Times New Roman" w:eastAsia="宋体" w:cs="Times New Roman"/>
          <w:color w:val="auto"/>
          <w:sz w:val="26"/>
          <w:szCs w:val="26"/>
          <w:shd w:val="clear" w:color="auto" w:fill="FFFFFF"/>
        </w:rPr>
        <w:t>等农作物。农作物通常按照一定的种植周期和布局方式进行种植，并随收获而移出系统，养分循环主要依靠系统投入而保持平衡。此外，农田生态系统还有大气调节、环境净化、土壤保持、养分循环、水土调节、传粉播种、病虫害控制等功能。</w:t>
      </w:r>
    </w:p>
    <w:p w14:paraId="7336018C">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⑥城镇生态系统</w:t>
      </w:r>
    </w:p>
    <w:p w14:paraId="306D4B65">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bCs/>
          <w:color w:val="auto"/>
          <w:sz w:val="26"/>
          <w:szCs w:val="26"/>
        </w:rPr>
        <w:t>评价范围内的</w:t>
      </w:r>
      <w:r>
        <w:rPr>
          <w:rFonts w:hint="default" w:ascii="Times New Roman" w:hAnsi="Times New Roman" w:eastAsia="宋体" w:cs="Times New Roman"/>
          <w:color w:val="auto"/>
          <w:sz w:val="26"/>
          <w:szCs w:val="26"/>
        </w:rPr>
        <w:t>城镇</w:t>
      </w:r>
      <w:r>
        <w:rPr>
          <w:rFonts w:hint="default" w:ascii="Times New Roman" w:hAnsi="Times New Roman" w:eastAsia="宋体" w:cs="Times New Roman"/>
          <w:bCs/>
          <w:color w:val="auto"/>
          <w:sz w:val="26"/>
          <w:szCs w:val="26"/>
        </w:rPr>
        <w:t>生态系统总面积</w:t>
      </w:r>
      <w:r>
        <w:rPr>
          <w:rFonts w:hint="default" w:ascii="Times New Roman" w:hAnsi="Times New Roman" w:eastAsia="宋体" w:cs="Times New Roman"/>
          <w:color w:val="auto"/>
          <w:sz w:val="26"/>
          <w:szCs w:val="26"/>
          <w:lang w:val="en-US" w:eastAsia="zh-CN"/>
        </w:rPr>
        <w:t>4.27</w:t>
      </w:r>
      <w:r>
        <w:rPr>
          <w:rFonts w:hint="default" w:ascii="Times New Roman" w:hAnsi="Times New Roman" w:eastAsia="宋体" w:cs="Times New Roman"/>
          <w:color w:val="auto"/>
          <w:sz w:val="26"/>
          <w:szCs w:val="26"/>
        </w:rPr>
        <w:t>hm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，占比</w:t>
      </w:r>
      <w:r>
        <w:rPr>
          <w:rFonts w:hint="default" w:ascii="Times New Roman" w:hAnsi="Times New Roman" w:eastAsia="宋体" w:cs="Times New Roman"/>
          <w:color w:val="auto"/>
          <w:sz w:val="26"/>
          <w:szCs w:val="26"/>
          <w:lang w:val="en-US" w:eastAsia="zh-CN"/>
        </w:rPr>
        <w:t>3.87</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主要为</w:t>
      </w:r>
      <w:r>
        <w:rPr>
          <w:rFonts w:hint="default" w:ascii="Times New Roman" w:hAnsi="Times New Roman" w:eastAsia="宋体" w:cs="Times New Roman"/>
          <w:color w:val="auto"/>
          <w:sz w:val="26"/>
          <w:szCs w:val="26"/>
        </w:rPr>
        <w:t>评价区内</w:t>
      </w:r>
      <w:r>
        <w:rPr>
          <w:rFonts w:hint="default" w:ascii="Times New Roman" w:hAnsi="Times New Roman" w:eastAsia="宋体" w:cs="Times New Roman"/>
          <w:color w:val="auto"/>
          <w:sz w:val="26"/>
          <w:szCs w:val="26"/>
          <w:lang w:val="en-US" w:eastAsia="zh-CN"/>
        </w:rPr>
        <w:t>的分散居民</w:t>
      </w:r>
      <w:r>
        <w:rPr>
          <w:rFonts w:hint="default" w:ascii="Times New Roman" w:hAnsi="Times New Roman" w:eastAsia="宋体" w:cs="Times New Roman"/>
          <w:color w:val="auto"/>
          <w:sz w:val="26"/>
          <w:szCs w:val="26"/>
        </w:rPr>
        <w:t>。根据该地区特点，城镇生态系统内的植被多为栽培植被，种类组成较为简单，且主要作为房前屋后的四旁树如</w:t>
      </w:r>
      <w:r>
        <w:rPr>
          <w:rFonts w:hint="default" w:ascii="Times New Roman" w:hAnsi="Times New Roman" w:eastAsia="宋体" w:cs="Times New Roman"/>
          <w:color w:val="auto"/>
          <w:sz w:val="26"/>
          <w:szCs w:val="26"/>
          <w:lang w:val="en-US" w:eastAsia="zh-CN"/>
        </w:rPr>
        <w:t>慈竹</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女贞</w:t>
      </w:r>
      <w:r>
        <w:rPr>
          <w:rFonts w:hint="default" w:ascii="Times New Roman" w:hAnsi="Times New Roman" w:eastAsia="宋体" w:cs="Times New Roman"/>
          <w:color w:val="auto"/>
          <w:sz w:val="26"/>
          <w:szCs w:val="26"/>
        </w:rPr>
        <w:t>等。城镇生态系统中人类活动频繁，动物种类也不甚丰富，常见的动物如麻雀、</w:t>
      </w:r>
      <w:r>
        <w:rPr>
          <w:rFonts w:hint="default" w:ascii="Times New Roman" w:hAnsi="Times New Roman" w:eastAsia="宋体" w:cs="Times New Roman"/>
          <w:color w:val="auto"/>
          <w:sz w:val="26"/>
          <w:szCs w:val="26"/>
          <w:lang w:val="en-US" w:eastAsia="zh-CN"/>
        </w:rPr>
        <w:t>喜鹊</w:t>
      </w:r>
      <w:r>
        <w:rPr>
          <w:rFonts w:hint="default" w:ascii="Times New Roman" w:hAnsi="Times New Roman" w:eastAsia="宋体" w:cs="Times New Roman"/>
          <w:color w:val="auto"/>
          <w:sz w:val="26"/>
          <w:szCs w:val="26"/>
        </w:rPr>
        <w:t>等鸟类，小家鼠等兽类。</w:t>
      </w:r>
    </w:p>
    <w:p w14:paraId="5A82D63A">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（2）植被类型</w:t>
      </w:r>
    </w:p>
    <w:p w14:paraId="4BB6FAEB">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根据现场调查以及202</w:t>
      </w:r>
      <w:r>
        <w:rPr>
          <w:rFonts w:hint="default" w:ascii="Times New Roman" w:hAnsi="Times New Roman" w:eastAsia="宋体" w:cs="Times New Roman"/>
          <w:color w:val="auto"/>
          <w:sz w:val="26"/>
          <w:szCs w:val="26"/>
          <w:lang w:val="en-US" w:eastAsia="zh-CN"/>
        </w:rPr>
        <w:t>4</w:t>
      </w:r>
      <w:r>
        <w:rPr>
          <w:rFonts w:hint="default" w:ascii="Times New Roman" w:hAnsi="Times New Roman" w:eastAsia="宋体" w:cs="Times New Roman"/>
          <w:color w:val="auto"/>
          <w:sz w:val="26"/>
          <w:szCs w:val="26"/>
        </w:rPr>
        <w:t>年</w:t>
      </w:r>
      <w:r>
        <w:rPr>
          <w:rFonts w:hint="default" w:ascii="Times New Roman" w:hAnsi="Times New Roman" w:eastAsia="宋体" w:cs="Times New Roman"/>
          <w:color w:val="auto"/>
          <w:sz w:val="26"/>
          <w:szCs w:val="26"/>
          <w:lang w:val="en-US" w:eastAsia="zh-CN"/>
        </w:rPr>
        <w:t>10</w:t>
      </w:r>
      <w:r>
        <w:rPr>
          <w:rFonts w:hint="default" w:ascii="Times New Roman" w:hAnsi="Times New Roman" w:eastAsia="宋体" w:cs="Times New Roman"/>
          <w:color w:val="auto"/>
          <w:sz w:val="26"/>
          <w:szCs w:val="26"/>
        </w:rPr>
        <w:t>月</w:t>
      </w:r>
      <w:r>
        <w:rPr>
          <w:rFonts w:hint="default" w:ascii="Times New Roman" w:hAnsi="Times New Roman" w:eastAsia="宋体" w:cs="Times New Roman"/>
          <w:color w:val="auto"/>
          <w:sz w:val="26"/>
          <w:szCs w:val="26"/>
          <w:lang w:val="en-US" w:eastAsia="zh-CN"/>
        </w:rPr>
        <w:t>2.1米</w:t>
      </w:r>
      <w:r>
        <w:rPr>
          <w:rFonts w:hint="default" w:ascii="Times New Roman" w:hAnsi="Times New Roman" w:eastAsia="宋体" w:cs="Times New Roman"/>
          <w:color w:val="auto"/>
          <w:sz w:val="26"/>
          <w:szCs w:val="26"/>
        </w:rPr>
        <w:t>分辨率卫星影像数据作为信息源，并结合评价范围内的1：10000地形图及相关资料，进行遥感解译，得到项目评价范围内植被类型总体分布，见表</w:t>
      </w:r>
      <w:r>
        <w:rPr>
          <w:rFonts w:hint="default" w:ascii="Times New Roman" w:hAnsi="Times New Roman" w:eastAsia="宋体" w:cs="Times New Roman"/>
          <w:color w:val="auto"/>
          <w:sz w:val="26"/>
          <w:szCs w:val="26"/>
          <w:lang w:val="en-US" w:eastAsia="zh-CN"/>
        </w:rPr>
        <w:t>4.3-4</w:t>
      </w:r>
      <w:r>
        <w:rPr>
          <w:rFonts w:hint="default" w:ascii="Times New Roman" w:hAnsi="Times New Roman" w:eastAsia="宋体" w:cs="Times New Roman"/>
          <w:color w:val="auto"/>
          <w:sz w:val="26"/>
          <w:szCs w:val="26"/>
        </w:rPr>
        <w:t>。</w:t>
      </w:r>
    </w:p>
    <w:p w14:paraId="564D9837">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由此可知，本评价区内植被类型以</w:t>
      </w:r>
      <w:r>
        <w:rPr>
          <w:rFonts w:hint="default" w:ascii="Times New Roman" w:hAnsi="Times New Roman" w:eastAsia="宋体" w:cs="Times New Roman"/>
          <w:color w:val="auto"/>
          <w:sz w:val="26"/>
          <w:szCs w:val="26"/>
          <w:lang w:val="en-US" w:eastAsia="zh-CN"/>
        </w:rPr>
        <w:t>针叶林</w:t>
      </w:r>
      <w:r>
        <w:rPr>
          <w:rFonts w:hint="default" w:ascii="Times New Roman" w:hAnsi="Times New Roman" w:eastAsia="宋体" w:cs="Times New Roman"/>
          <w:color w:val="auto"/>
          <w:sz w:val="26"/>
          <w:szCs w:val="26"/>
        </w:rPr>
        <w:t>植被为主，占比</w:t>
      </w:r>
      <w:r>
        <w:rPr>
          <w:rFonts w:hint="default" w:ascii="Times New Roman" w:hAnsi="Times New Roman" w:eastAsia="宋体" w:cs="Times New Roman"/>
          <w:color w:val="auto"/>
          <w:sz w:val="26"/>
          <w:szCs w:val="26"/>
          <w:lang w:val="en-US" w:eastAsia="zh-CN"/>
        </w:rPr>
        <w:t>40.38</w:t>
      </w:r>
      <w:r>
        <w:rPr>
          <w:rFonts w:hint="default" w:ascii="Times New Roman" w:hAnsi="Times New Roman" w:eastAsia="宋体" w:cs="Times New Roman"/>
          <w:color w:val="auto"/>
          <w:sz w:val="26"/>
          <w:szCs w:val="26"/>
        </w:rPr>
        <w:t>%，其地区受人为干扰较大，生态系统稳定性稍弱。</w:t>
      </w:r>
    </w:p>
    <w:p w14:paraId="2A96CAD6">
      <w:pPr>
        <w:pStyle w:val="108"/>
        <w:ind w:firstLine="520"/>
        <w:rPr>
          <w:rFonts w:hint="default" w:ascii="Times New Roman" w:hAnsi="Times New Roman" w:eastAsia="宋体" w:cs="Times New Roman"/>
          <w:color w:val="auto"/>
          <w:szCs w:val="26"/>
        </w:rPr>
      </w:pPr>
    </w:p>
    <w:p w14:paraId="1D35B60A">
      <w:pPr>
        <w:pStyle w:val="106"/>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3.4</w:t>
      </w:r>
      <w:r>
        <w:rPr>
          <w:rFonts w:hint="default" w:ascii="Times New Roman" w:hAnsi="Times New Roman" w:eastAsia="宋体" w:cs="Times New Roman"/>
          <w:b/>
          <w:bCs/>
          <w:color w:val="auto"/>
        </w:rPr>
        <w:t xml:space="preserve"> 项目生态评价范围植被类型面积统计表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4"/>
        <w:gridCol w:w="2542"/>
        <w:gridCol w:w="2705"/>
      </w:tblGrid>
      <w:tr w14:paraId="73AB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noWrap/>
            <w:vAlign w:val="center"/>
          </w:tcPr>
          <w:p w14:paraId="2E6DEA37">
            <w:pPr>
              <w:widowControl/>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植被类型</w:t>
            </w:r>
          </w:p>
        </w:tc>
        <w:tc>
          <w:tcPr>
            <w:tcW w:w="1421" w:type="pct"/>
            <w:noWrap/>
            <w:vAlign w:val="center"/>
          </w:tcPr>
          <w:p w14:paraId="73859ED2">
            <w:pPr>
              <w:widowControl/>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面积</w:t>
            </w:r>
          </w:p>
        </w:tc>
        <w:tc>
          <w:tcPr>
            <w:tcW w:w="1512" w:type="pct"/>
            <w:noWrap/>
            <w:vAlign w:val="center"/>
          </w:tcPr>
          <w:p w14:paraId="579ABB07">
            <w:pPr>
              <w:widowControl/>
              <w:jc w:val="center"/>
              <w:rPr>
                <w:rFonts w:hint="default" w:ascii="Times New Roman" w:hAnsi="Times New Roman" w:eastAsia="宋体" w:cs="Times New Roman"/>
                <w:b/>
                <w:bCs/>
                <w:color w:val="auto"/>
                <w:sz w:val="22"/>
                <w:szCs w:val="22"/>
                <w:lang w:eastAsia="zh-CN"/>
              </w:rPr>
            </w:pPr>
            <w:r>
              <w:rPr>
                <w:rFonts w:hint="default" w:ascii="Times New Roman" w:hAnsi="Times New Roman" w:eastAsia="宋体" w:cs="Times New Roman"/>
                <w:b/>
                <w:bCs/>
                <w:color w:val="auto"/>
                <w:sz w:val="22"/>
                <w:szCs w:val="22"/>
              </w:rPr>
              <w:t>占比</w:t>
            </w:r>
            <w:r>
              <w:rPr>
                <w:rFonts w:hint="default" w:ascii="Times New Roman" w:hAnsi="Times New Roman" w:eastAsia="宋体" w:cs="Times New Roman"/>
                <w:b/>
                <w:bCs/>
                <w:color w:val="auto"/>
                <w:sz w:val="22"/>
                <w:szCs w:val="22"/>
                <w:lang w:eastAsia="zh-CN"/>
              </w:rPr>
              <w:t>（</w:t>
            </w:r>
            <w:r>
              <w:rPr>
                <w:rFonts w:hint="default" w:ascii="Times New Roman" w:hAnsi="Times New Roman" w:eastAsia="宋体" w:cs="Times New Roman"/>
                <w:b/>
                <w:bCs/>
                <w:color w:val="auto"/>
                <w:sz w:val="22"/>
                <w:szCs w:val="22"/>
              </w:rPr>
              <w:t>%</w:t>
            </w:r>
            <w:r>
              <w:rPr>
                <w:rFonts w:hint="default" w:ascii="Times New Roman" w:hAnsi="Times New Roman" w:eastAsia="宋体" w:cs="Times New Roman"/>
                <w:b/>
                <w:bCs/>
                <w:color w:val="auto"/>
                <w:sz w:val="22"/>
                <w:szCs w:val="22"/>
                <w:lang w:eastAsia="zh-CN"/>
              </w:rPr>
              <w:t>）</w:t>
            </w:r>
          </w:p>
        </w:tc>
      </w:tr>
      <w:tr w14:paraId="09A5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noWrap/>
            <w:vAlign w:val="center"/>
          </w:tcPr>
          <w:p w14:paraId="6288CB9F">
            <w:pPr>
              <w:keepNext w:val="0"/>
              <w:keepLines w:val="0"/>
              <w:widowControl/>
              <w:suppressLineNumbers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阔叶林植被</w:t>
            </w:r>
          </w:p>
        </w:tc>
        <w:tc>
          <w:tcPr>
            <w:tcW w:w="2542" w:type="dxa"/>
            <w:noWrap/>
            <w:vAlign w:val="center"/>
          </w:tcPr>
          <w:p w14:paraId="4CE190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7.41</w:t>
            </w:r>
          </w:p>
        </w:tc>
        <w:tc>
          <w:tcPr>
            <w:tcW w:w="2705" w:type="dxa"/>
            <w:noWrap/>
            <w:vAlign w:val="center"/>
          </w:tcPr>
          <w:p w14:paraId="1684E2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6.73</w:t>
            </w:r>
          </w:p>
        </w:tc>
      </w:tr>
      <w:tr w14:paraId="5A77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noWrap/>
            <w:vAlign w:val="center"/>
          </w:tcPr>
          <w:p w14:paraId="226C676B">
            <w:pPr>
              <w:keepNext w:val="0"/>
              <w:keepLines w:val="0"/>
              <w:widowControl/>
              <w:suppressLineNumbers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针叶林植被</w:t>
            </w:r>
          </w:p>
        </w:tc>
        <w:tc>
          <w:tcPr>
            <w:tcW w:w="2542" w:type="dxa"/>
            <w:noWrap/>
            <w:vAlign w:val="center"/>
          </w:tcPr>
          <w:p w14:paraId="175474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44.47</w:t>
            </w:r>
          </w:p>
        </w:tc>
        <w:tc>
          <w:tcPr>
            <w:tcW w:w="2705" w:type="dxa"/>
            <w:noWrap/>
            <w:vAlign w:val="center"/>
          </w:tcPr>
          <w:p w14:paraId="1F3003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40.38</w:t>
            </w:r>
          </w:p>
        </w:tc>
      </w:tr>
      <w:tr w14:paraId="4B3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noWrap/>
            <w:vAlign w:val="center"/>
          </w:tcPr>
          <w:p w14:paraId="41C0BC06">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竹林植被</w:t>
            </w:r>
          </w:p>
        </w:tc>
        <w:tc>
          <w:tcPr>
            <w:tcW w:w="2542" w:type="dxa"/>
            <w:noWrap/>
            <w:vAlign w:val="center"/>
          </w:tcPr>
          <w:p w14:paraId="22D3B1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2705" w:type="dxa"/>
            <w:noWrap/>
            <w:vAlign w:val="center"/>
          </w:tcPr>
          <w:p w14:paraId="0C64D4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2.91</w:t>
            </w:r>
          </w:p>
        </w:tc>
      </w:tr>
      <w:tr w14:paraId="44F1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noWrap/>
            <w:vAlign w:val="center"/>
          </w:tcPr>
          <w:p w14:paraId="70994DEB">
            <w:pPr>
              <w:keepNext w:val="0"/>
              <w:keepLines w:val="0"/>
              <w:widowControl/>
              <w:suppressLineNumbers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灌丛植被</w:t>
            </w:r>
          </w:p>
        </w:tc>
        <w:tc>
          <w:tcPr>
            <w:tcW w:w="2542" w:type="dxa"/>
            <w:noWrap/>
            <w:vAlign w:val="center"/>
          </w:tcPr>
          <w:p w14:paraId="3EF934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10.45</w:t>
            </w:r>
          </w:p>
        </w:tc>
        <w:tc>
          <w:tcPr>
            <w:tcW w:w="2705" w:type="dxa"/>
            <w:noWrap/>
            <w:vAlign w:val="center"/>
          </w:tcPr>
          <w:p w14:paraId="2623BD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9.49</w:t>
            </w:r>
          </w:p>
        </w:tc>
      </w:tr>
      <w:tr w14:paraId="2763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noWrap/>
            <w:vAlign w:val="center"/>
          </w:tcPr>
          <w:p w14:paraId="0CE77FA8">
            <w:pPr>
              <w:keepNext w:val="0"/>
              <w:keepLines w:val="0"/>
              <w:widowControl/>
              <w:suppressLineNumbers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灌草丛植被</w:t>
            </w:r>
          </w:p>
        </w:tc>
        <w:tc>
          <w:tcPr>
            <w:tcW w:w="2542" w:type="dxa"/>
            <w:noWrap/>
            <w:vAlign w:val="center"/>
          </w:tcPr>
          <w:p w14:paraId="430D73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2705" w:type="dxa"/>
            <w:noWrap/>
            <w:vAlign w:val="center"/>
          </w:tcPr>
          <w:p w14:paraId="112389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0.66</w:t>
            </w:r>
          </w:p>
        </w:tc>
      </w:tr>
      <w:tr w14:paraId="4734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noWrap/>
            <w:vAlign w:val="center"/>
          </w:tcPr>
          <w:p w14:paraId="4A5CE48D">
            <w:pPr>
              <w:keepNext w:val="0"/>
              <w:keepLines w:val="0"/>
              <w:widowControl/>
              <w:suppressLineNumbers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农田栽培植被</w:t>
            </w:r>
          </w:p>
        </w:tc>
        <w:tc>
          <w:tcPr>
            <w:tcW w:w="2542" w:type="dxa"/>
            <w:noWrap/>
            <w:vAlign w:val="center"/>
          </w:tcPr>
          <w:p w14:paraId="650C5F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30.13</w:t>
            </w:r>
          </w:p>
        </w:tc>
        <w:tc>
          <w:tcPr>
            <w:tcW w:w="2705" w:type="dxa"/>
            <w:noWrap/>
            <w:vAlign w:val="center"/>
          </w:tcPr>
          <w:p w14:paraId="1ABFFF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27.36</w:t>
            </w:r>
          </w:p>
        </w:tc>
      </w:tr>
      <w:tr w14:paraId="7FBD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noWrap/>
            <w:vAlign w:val="center"/>
          </w:tcPr>
          <w:p w14:paraId="747159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水域</w:t>
            </w:r>
          </w:p>
        </w:tc>
        <w:tc>
          <w:tcPr>
            <w:tcW w:w="2542" w:type="dxa"/>
            <w:noWrap/>
            <w:vAlign w:val="center"/>
          </w:tcPr>
          <w:p w14:paraId="07CB97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9.47</w:t>
            </w:r>
          </w:p>
        </w:tc>
        <w:tc>
          <w:tcPr>
            <w:tcW w:w="2705" w:type="dxa"/>
            <w:noWrap/>
            <w:vAlign w:val="center"/>
          </w:tcPr>
          <w:p w14:paraId="737CAD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8.60</w:t>
            </w:r>
          </w:p>
        </w:tc>
      </w:tr>
      <w:tr w14:paraId="6091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noWrap/>
            <w:vAlign w:val="center"/>
          </w:tcPr>
          <w:p w14:paraId="7FF2516A">
            <w:pPr>
              <w:keepNext w:val="0"/>
              <w:keepLines w:val="0"/>
              <w:widowControl/>
              <w:suppressLineNumbers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无植被</w:t>
            </w:r>
          </w:p>
        </w:tc>
        <w:tc>
          <w:tcPr>
            <w:tcW w:w="2542" w:type="dxa"/>
            <w:noWrap/>
            <w:vAlign w:val="center"/>
          </w:tcPr>
          <w:p w14:paraId="3690BD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2705" w:type="dxa"/>
            <w:noWrap/>
            <w:vAlign w:val="center"/>
          </w:tcPr>
          <w:p w14:paraId="501CA1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3.88</w:t>
            </w:r>
          </w:p>
        </w:tc>
      </w:tr>
      <w:tr w14:paraId="0C9F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noWrap/>
            <w:vAlign w:val="center"/>
          </w:tcPr>
          <w:p w14:paraId="6E3CE8C5">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合计</w:t>
            </w:r>
          </w:p>
        </w:tc>
        <w:tc>
          <w:tcPr>
            <w:tcW w:w="1421" w:type="pct"/>
            <w:noWrap/>
            <w:vAlign w:val="center"/>
          </w:tcPr>
          <w:p w14:paraId="54D09409">
            <w:pPr>
              <w:keepNext w:val="0"/>
              <w:keepLines w:val="0"/>
              <w:widowControl/>
              <w:suppressLineNumbers w:val="0"/>
              <w:jc w:val="center"/>
              <w:textAlignment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i w:val="0"/>
                <w:iCs w:val="0"/>
                <w:color w:val="auto"/>
                <w:kern w:val="0"/>
                <w:sz w:val="21"/>
                <w:szCs w:val="21"/>
                <w:u w:val="none"/>
                <w:lang w:val="en-US" w:eastAsia="zh-CN" w:bidi="ar"/>
              </w:rPr>
              <w:t>110.13</w:t>
            </w:r>
          </w:p>
        </w:tc>
        <w:tc>
          <w:tcPr>
            <w:tcW w:w="1512" w:type="pct"/>
            <w:noWrap/>
            <w:vAlign w:val="center"/>
          </w:tcPr>
          <w:p w14:paraId="2A97CEA4">
            <w:pPr>
              <w:keepNext w:val="0"/>
              <w:keepLines w:val="0"/>
              <w:widowControl/>
              <w:suppressLineNumbers w:val="0"/>
              <w:jc w:val="center"/>
              <w:textAlignment w:val="center"/>
              <w:rPr>
                <w:rFonts w:hint="default" w:ascii="Times New Roman" w:hAnsi="Times New Roman" w:eastAsia="宋体" w:cs="Times New Roman"/>
                <w:b/>
                <w:bCs/>
                <w:color w:val="auto"/>
                <w:sz w:val="22"/>
                <w:szCs w:val="22"/>
                <w:lang w:val="en-US"/>
              </w:rPr>
            </w:pPr>
            <w:r>
              <w:rPr>
                <w:rFonts w:hint="default" w:ascii="Times New Roman" w:hAnsi="Times New Roman" w:eastAsia="宋体" w:cs="Times New Roman"/>
                <w:i w:val="0"/>
                <w:iCs w:val="0"/>
                <w:color w:val="auto"/>
                <w:kern w:val="0"/>
                <w:sz w:val="21"/>
                <w:szCs w:val="21"/>
                <w:u w:val="none"/>
                <w:lang w:val="en-US" w:eastAsia="zh-CN" w:bidi="ar"/>
              </w:rPr>
              <w:t>100.00</w:t>
            </w:r>
          </w:p>
        </w:tc>
      </w:tr>
    </w:tbl>
    <w:p w14:paraId="1520610E">
      <w:pPr>
        <w:pStyle w:val="108"/>
        <w:ind w:firstLine="520"/>
        <w:rPr>
          <w:rFonts w:hint="default" w:ascii="Times New Roman" w:hAnsi="Times New Roman" w:eastAsia="宋体" w:cs="Times New Roman"/>
          <w:color w:val="auto"/>
          <w:szCs w:val="26"/>
        </w:rPr>
      </w:pPr>
    </w:p>
    <w:p w14:paraId="057010AA">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（3）植被覆盖度</w:t>
      </w:r>
    </w:p>
    <w:p w14:paraId="60EC4261">
      <w:pPr>
        <w:pStyle w:val="109"/>
        <w:spacing w:line="480" w:lineRule="exact"/>
        <w:ind w:firstLine="520"/>
        <w:rPr>
          <w:rFonts w:hint="default" w:ascii="Times New Roman" w:hAnsi="Times New Roman" w:eastAsia="宋体" w:cs="Times New Roman"/>
          <w:bCs/>
          <w:color w:val="auto"/>
        </w:rPr>
      </w:pPr>
      <w:r>
        <w:rPr>
          <w:rFonts w:hint="default" w:ascii="Times New Roman" w:hAnsi="Times New Roman" w:eastAsia="宋体" w:cs="Times New Roman"/>
          <w:bCs/>
          <w:color w:val="auto"/>
        </w:rPr>
        <w:t>本次环评采用植被覆盖度指标定量分析调查及评价范围内植被现状。通过遥感手段，采用归一化植被指数（NDVI）方法，对</w:t>
      </w:r>
      <w:r>
        <w:rPr>
          <w:rFonts w:hint="default" w:ascii="Times New Roman" w:hAnsi="Times New Roman" w:eastAsia="宋体" w:cs="Times New Roman"/>
          <w:snapToGrid w:val="0"/>
          <w:color w:val="auto"/>
          <w:szCs w:val="26"/>
        </w:rPr>
        <w:t>调查区</w:t>
      </w:r>
      <w:r>
        <w:rPr>
          <w:rFonts w:hint="default" w:ascii="Times New Roman" w:hAnsi="Times New Roman" w:eastAsia="宋体" w:cs="Times New Roman"/>
          <w:bCs/>
          <w:color w:val="auto"/>
        </w:rPr>
        <w:t>的植被覆盖度进行分析。</w:t>
      </w:r>
      <w:r>
        <w:rPr>
          <w:rFonts w:hint="default" w:ascii="Times New Roman" w:hAnsi="Times New Roman" w:eastAsia="宋体" w:cs="Times New Roman"/>
          <w:bCs/>
          <w:i/>
          <w:iCs/>
          <w:color w:val="auto"/>
        </w:rPr>
        <w:t>NDVI</w:t>
      </w:r>
      <w:r>
        <w:rPr>
          <w:rFonts w:hint="default" w:ascii="Times New Roman" w:hAnsi="Times New Roman" w:eastAsia="宋体" w:cs="Times New Roman"/>
          <w:bCs/>
          <w:color w:val="auto"/>
          <w:shd w:val="clear" w:fill="FFFFFF"/>
        </w:rPr>
        <w:t>计算公式为</w:t>
      </w:r>
      <w:r>
        <w:rPr>
          <w:rFonts w:hint="default" w:ascii="Times New Roman" w:hAnsi="Times New Roman" w:eastAsia="宋体" w:cs="Times New Roman"/>
          <w:bCs/>
          <w:color w:val="auto"/>
        </w:rPr>
        <w:t>如下：</w:t>
      </w:r>
    </w:p>
    <w:p w14:paraId="6FAF19EB">
      <w:pPr>
        <w:pStyle w:val="109"/>
        <w:spacing w:line="480" w:lineRule="exact"/>
        <w:ind w:firstLine="520"/>
        <w:jc w:val="center"/>
        <w:rPr>
          <w:rFonts w:hint="default" w:ascii="Times New Roman" w:hAnsi="Times New Roman" w:eastAsia="宋体" w:cs="Times New Roman"/>
          <w:bCs/>
          <w:i/>
          <w:iCs/>
          <w:color w:val="auto"/>
        </w:rPr>
      </w:pPr>
      <w:r>
        <w:rPr>
          <w:rFonts w:hint="default" w:ascii="Times New Roman" w:hAnsi="Times New Roman" w:eastAsia="宋体" w:cs="Times New Roman"/>
          <w:bCs/>
          <w:i/>
          <w:iCs/>
          <w:color w:val="auto"/>
        </w:rPr>
        <w:t>NDVI=（NIR-R）/（NIR+R）</w:t>
      </w:r>
    </w:p>
    <w:p w14:paraId="706B84ED">
      <w:pPr>
        <w:pStyle w:val="109"/>
        <w:spacing w:line="480" w:lineRule="exact"/>
        <w:ind w:firstLine="520"/>
        <w:rPr>
          <w:rFonts w:hint="default" w:ascii="Times New Roman" w:hAnsi="Times New Roman" w:eastAsia="宋体" w:cs="Times New Roman"/>
          <w:bCs/>
          <w:color w:val="auto"/>
        </w:rPr>
      </w:pPr>
      <w:r>
        <w:rPr>
          <w:rFonts w:hint="default" w:ascii="Times New Roman" w:hAnsi="Times New Roman" w:eastAsia="宋体" w:cs="Times New Roman"/>
          <w:bCs/>
          <w:color w:val="auto"/>
        </w:rPr>
        <w:t>其中：</w:t>
      </w:r>
      <w:r>
        <w:rPr>
          <w:rFonts w:hint="default" w:ascii="Times New Roman" w:hAnsi="Times New Roman" w:eastAsia="宋体" w:cs="Times New Roman"/>
          <w:bCs/>
          <w:i/>
          <w:iCs/>
          <w:color w:val="auto"/>
        </w:rPr>
        <w:t>NIR</w:t>
      </w:r>
      <w:r>
        <w:rPr>
          <w:rFonts w:hint="default" w:ascii="Times New Roman" w:hAnsi="Times New Roman" w:eastAsia="宋体" w:cs="Times New Roman"/>
          <w:bCs/>
          <w:color w:val="auto"/>
        </w:rPr>
        <w:t>为近红外波段，R为红波段。</w:t>
      </w:r>
    </w:p>
    <w:p w14:paraId="772AA588">
      <w:pPr>
        <w:pStyle w:val="109"/>
        <w:spacing w:line="480" w:lineRule="exact"/>
        <w:ind w:firstLine="520"/>
        <w:rPr>
          <w:rFonts w:hint="default" w:ascii="Times New Roman" w:hAnsi="Times New Roman" w:eastAsia="宋体" w:cs="Times New Roman"/>
          <w:bCs/>
          <w:color w:val="auto"/>
        </w:rPr>
      </w:pPr>
      <w:r>
        <w:rPr>
          <w:rFonts w:hint="default" w:ascii="Times New Roman" w:hAnsi="Times New Roman" w:eastAsia="宋体" w:cs="Times New Roman"/>
          <w:bCs/>
          <w:color w:val="auto"/>
        </w:rPr>
        <w:t>基于</w:t>
      </w:r>
      <w:r>
        <w:rPr>
          <w:rFonts w:hint="default" w:ascii="Times New Roman" w:hAnsi="Times New Roman" w:eastAsia="宋体" w:cs="Times New Roman"/>
          <w:bCs/>
          <w:i/>
          <w:iCs/>
          <w:color w:val="auto"/>
        </w:rPr>
        <w:t>NDVI</w:t>
      </w:r>
      <w:r>
        <w:rPr>
          <w:rFonts w:hint="default" w:ascii="Times New Roman" w:hAnsi="Times New Roman" w:eastAsia="宋体" w:cs="Times New Roman"/>
          <w:bCs/>
          <w:color w:val="auto"/>
        </w:rPr>
        <w:t>，采用像元二分模型计算植被覆盖度，公式如下：</w:t>
      </w:r>
    </w:p>
    <w:p w14:paraId="1663610D">
      <w:pPr>
        <w:pStyle w:val="109"/>
        <w:spacing w:line="480" w:lineRule="exact"/>
        <w:ind w:firstLine="520"/>
        <w:jc w:val="center"/>
        <w:rPr>
          <w:rFonts w:hint="default" w:ascii="Times New Roman" w:hAnsi="Times New Roman" w:eastAsia="宋体" w:cs="Times New Roman"/>
          <w:bCs/>
          <w:i/>
          <w:iCs/>
          <w:color w:val="auto"/>
        </w:rPr>
      </w:pPr>
      <w:r>
        <w:rPr>
          <w:rFonts w:hint="default" w:ascii="Times New Roman" w:hAnsi="Times New Roman" w:eastAsia="宋体" w:cs="Times New Roman"/>
          <w:bCs/>
          <w:i/>
          <w:iCs/>
          <w:color w:val="auto"/>
        </w:rPr>
        <w:t>FVC=（NDVI-</w:t>
      </w:r>
      <w:r>
        <w:rPr>
          <w:rFonts w:hint="default" w:ascii="Times New Roman" w:hAnsi="Times New Roman" w:eastAsia="宋体" w:cs="Times New Roman"/>
          <w:bCs/>
          <w:i/>
          <w:iCs/>
          <w:color w:val="auto"/>
          <w:shd w:val="clear" w:fill="FFFFFF"/>
        </w:rPr>
        <w:t>NDVIs</w:t>
      </w:r>
      <w:r>
        <w:rPr>
          <w:rFonts w:hint="default" w:ascii="Times New Roman" w:hAnsi="Times New Roman" w:eastAsia="宋体" w:cs="Times New Roman"/>
          <w:bCs/>
          <w:i/>
          <w:iCs/>
          <w:color w:val="auto"/>
        </w:rPr>
        <w:t>）/（</w:t>
      </w:r>
      <w:r>
        <w:rPr>
          <w:rFonts w:hint="default" w:ascii="Times New Roman" w:hAnsi="Times New Roman" w:eastAsia="宋体" w:cs="Times New Roman"/>
          <w:bCs/>
          <w:i/>
          <w:iCs/>
          <w:color w:val="auto"/>
          <w:shd w:val="clear" w:fill="FFFFFF"/>
        </w:rPr>
        <w:t>NDVIv</w:t>
      </w:r>
      <w:r>
        <w:rPr>
          <w:rFonts w:hint="default" w:ascii="Times New Roman" w:hAnsi="Times New Roman" w:eastAsia="宋体" w:cs="Times New Roman"/>
          <w:bCs/>
          <w:i/>
          <w:iCs/>
          <w:color w:val="auto"/>
        </w:rPr>
        <w:t>-</w:t>
      </w:r>
      <w:r>
        <w:rPr>
          <w:rFonts w:hint="default" w:ascii="Times New Roman" w:hAnsi="Times New Roman" w:eastAsia="宋体" w:cs="Times New Roman"/>
          <w:bCs/>
          <w:i/>
          <w:iCs/>
          <w:color w:val="auto"/>
          <w:shd w:val="clear" w:fill="FFFFFF"/>
        </w:rPr>
        <w:t>NDVIs</w:t>
      </w:r>
      <w:r>
        <w:rPr>
          <w:rFonts w:hint="default" w:ascii="Times New Roman" w:hAnsi="Times New Roman" w:eastAsia="宋体" w:cs="Times New Roman"/>
          <w:bCs/>
          <w:i/>
          <w:iCs/>
          <w:color w:val="auto"/>
        </w:rPr>
        <w:t>）</w:t>
      </w:r>
    </w:p>
    <w:p w14:paraId="68638CDD">
      <w:pPr>
        <w:pStyle w:val="109"/>
        <w:spacing w:line="480" w:lineRule="exact"/>
        <w:ind w:firstLine="520"/>
        <w:rPr>
          <w:rFonts w:hint="default" w:ascii="Times New Roman" w:hAnsi="Times New Roman" w:eastAsia="宋体" w:cs="Times New Roman"/>
          <w:bCs/>
          <w:color w:val="auto"/>
        </w:rPr>
      </w:pPr>
      <w:r>
        <w:rPr>
          <w:rFonts w:hint="default" w:ascii="Times New Roman" w:hAnsi="Times New Roman" w:eastAsia="宋体" w:cs="Times New Roman"/>
          <w:bCs/>
          <w:color w:val="auto"/>
        </w:rPr>
        <w:t>式中：</w:t>
      </w:r>
      <w:r>
        <w:rPr>
          <w:rFonts w:hint="default" w:ascii="Times New Roman" w:hAnsi="Times New Roman" w:eastAsia="宋体" w:cs="Times New Roman"/>
          <w:bCs/>
          <w:i/>
          <w:iCs/>
          <w:color w:val="auto"/>
        </w:rPr>
        <w:t>FVC</w:t>
      </w:r>
      <w:r>
        <w:rPr>
          <w:rFonts w:hint="default" w:ascii="Times New Roman" w:hAnsi="Times New Roman" w:eastAsia="宋体" w:cs="Times New Roman"/>
          <w:bCs/>
          <w:color w:val="auto"/>
        </w:rPr>
        <w:t>-所计算像元的植被覆盖度；</w:t>
      </w:r>
    </w:p>
    <w:p w14:paraId="78C20072">
      <w:pPr>
        <w:pStyle w:val="109"/>
        <w:spacing w:line="480" w:lineRule="exact"/>
        <w:ind w:firstLine="1300" w:firstLineChars="500"/>
        <w:rPr>
          <w:rFonts w:hint="default" w:ascii="Times New Roman" w:hAnsi="Times New Roman" w:eastAsia="宋体" w:cs="Times New Roman"/>
          <w:bCs/>
          <w:color w:val="auto"/>
        </w:rPr>
      </w:pPr>
      <w:r>
        <w:rPr>
          <w:rFonts w:hint="default" w:ascii="Times New Roman" w:hAnsi="Times New Roman" w:eastAsia="宋体" w:cs="Times New Roman"/>
          <w:bCs/>
          <w:i/>
          <w:iCs/>
          <w:color w:val="auto"/>
        </w:rPr>
        <w:t>NDVI</w:t>
      </w:r>
      <w:r>
        <w:rPr>
          <w:rFonts w:hint="default" w:ascii="Times New Roman" w:hAnsi="Times New Roman" w:eastAsia="宋体" w:cs="Times New Roman"/>
          <w:bCs/>
          <w:color w:val="auto"/>
        </w:rPr>
        <w:t>-所计算像元的NDVI值；</w:t>
      </w:r>
    </w:p>
    <w:p w14:paraId="5F38D742">
      <w:pPr>
        <w:pStyle w:val="109"/>
        <w:spacing w:line="480" w:lineRule="exact"/>
        <w:ind w:firstLine="1300" w:firstLineChars="500"/>
        <w:rPr>
          <w:rFonts w:hint="default" w:ascii="Times New Roman" w:hAnsi="Times New Roman" w:eastAsia="宋体" w:cs="Times New Roman"/>
          <w:bCs/>
          <w:color w:val="auto"/>
        </w:rPr>
      </w:pPr>
      <w:r>
        <w:rPr>
          <w:rFonts w:hint="default" w:ascii="Times New Roman" w:hAnsi="Times New Roman" w:eastAsia="宋体" w:cs="Times New Roman"/>
          <w:bCs/>
          <w:i/>
          <w:iCs/>
          <w:color w:val="auto"/>
          <w:shd w:val="clear" w:fill="FFFFFF"/>
        </w:rPr>
        <w:t>NDVIv</w:t>
      </w:r>
      <w:r>
        <w:rPr>
          <w:rFonts w:hint="default" w:ascii="Times New Roman" w:hAnsi="Times New Roman" w:eastAsia="宋体" w:cs="Times New Roman"/>
          <w:bCs/>
          <w:color w:val="auto"/>
        </w:rPr>
        <w:t>-纯植物像元的NDVI值；</w:t>
      </w:r>
    </w:p>
    <w:p w14:paraId="072DFD54">
      <w:pPr>
        <w:pStyle w:val="109"/>
        <w:spacing w:line="480" w:lineRule="exact"/>
        <w:ind w:firstLine="1300" w:firstLineChars="500"/>
        <w:rPr>
          <w:rFonts w:hint="default" w:ascii="Times New Roman" w:hAnsi="Times New Roman" w:eastAsia="宋体" w:cs="Times New Roman"/>
          <w:bCs/>
          <w:color w:val="auto"/>
        </w:rPr>
      </w:pPr>
      <w:r>
        <w:rPr>
          <w:rFonts w:hint="default" w:ascii="Times New Roman" w:hAnsi="Times New Roman" w:eastAsia="宋体" w:cs="Times New Roman"/>
          <w:bCs/>
          <w:i/>
          <w:iCs/>
          <w:color w:val="auto"/>
          <w:shd w:val="clear" w:fill="FFFFFF"/>
        </w:rPr>
        <w:t>NDVIs</w:t>
      </w:r>
      <w:r>
        <w:rPr>
          <w:rFonts w:hint="default" w:ascii="Times New Roman" w:hAnsi="Times New Roman" w:eastAsia="宋体" w:cs="Times New Roman"/>
          <w:bCs/>
          <w:color w:val="auto"/>
        </w:rPr>
        <w:t>-完全无植被覆盖像元的NDVI值。</w:t>
      </w:r>
    </w:p>
    <w:p w14:paraId="3FF74EFF">
      <w:pPr>
        <w:pStyle w:val="106"/>
        <w:spacing w:line="480" w:lineRule="exact"/>
        <w:ind w:firstLine="520" w:firstLineChars="200"/>
        <w:jc w:val="both"/>
        <w:rPr>
          <w:rFonts w:hint="default" w:ascii="Times New Roman" w:hAnsi="Times New Roman" w:eastAsia="宋体" w:cs="Times New Roman"/>
          <w:bCs/>
          <w:color w:val="auto"/>
        </w:rPr>
      </w:pPr>
      <w:r>
        <w:rPr>
          <w:rFonts w:hint="default" w:ascii="Times New Roman" w:hAnsi="Times New Roman" w:eastAsia="宋体" w:cs="Times New Roman"/>
          <w:color w:val="auto"/>
        </w:rPr>
        <w:t>对调查及评价范围内不同覆盖度等级进行统计分析，调查及评价范围内区域植被覆盖度情况见下表</w:t>
      </w:r>
      <w:r>
        <w:rPr>
          <w:rFonts w:hint="default" w:ascii="Times New Roman" w:hAnsi="Times New Roman" w:eastAsia="宋体" w:cs="Times New Roman"/>
          <w:bCs/>
          <w:color w:val="auto"/>
        </w:rPr>
        <w:t>。</w:t>
      </w:r>
    </w:p>
    <w:p w14:paraId="3FC16DB3">
      <w:pPr>
        <w:pStyle w:val="106"/>
        <w:spacing w:line="480" w:lineRule="exact"/>
        <w:ind w:firstLine="520" w:firstLineChars="200"/>
        <w:jc w:val="both"/>
        <w:rPr>
          <w:rFonts w:hint="default" w:ascii="Times New Roman" w:hAnsi="Times New Roman" w:eastAsia="宋体" w:cs="Times New Roman"/>
          <w:bCs/>
          <w:color w:val="auto"/>
        </w:rPr>
      </w:pPr>
      <w:r>
        <w:rPr>
          <w:rFonts w:hint="default" w:ascii="Times New Roman" w:hAnsi="Times New Roman" w:eastAsia="宋体" w:cs="Times New Roman"/>
          <w:bCs/>
          <w:color w:val="auto"/>
        </w:rPr>
        <w:t>基于植被覆盖度不同取值范围和分区统计数据，评价区植被覆盖度主要为</w:t>
      </w:r>
      <w:r>
        <w:rPr>
          <w:rFonts w:hint="default" w:ascii="Times New Roman" w:hAnsi="Times New Roman" w:eastAsia="宋体" w:cs="Times New Roman"/>
          <w:bCs/>
          <w:color w:val="auto"/>
          <w:lang w:val="en-US" w:eastAsia="zh-CN"/>
        </w:rPr>
        <w:t>高</w:t>
      </w:r>
      <w:r>
        <w:rPr>
          <w:rFonts w:hint="default" w:ascii="Times New Roman" w:hAnsi="Times New Roman" w:eastAsia="宋体" w:cs="Times New Roman"/>
          <w:bCs/>
          <w:color w:val="auto"/>
        </w:rPr>
        <w:t>覆盖度</w:t>
      </w:r>
      <w:r>
        <w:rPr>
          <w:rFonts w:hint="default" w:ascii="Times New Roman" w:hAnsi="Times New Roman" w:eastAsia="宋体" w:cs="Times New Roman"/>
          <w:bCs/>
          <w:color w:val="auto"/>
          <w:shd w:val="clear" w:fill="FFFFFF"/>
        </w:rPr>
        <w:t>（&gt;</w:t>
      </w:r>
      <w:r>
        <w:rPr>
          <w:rFonts w:hint="default" w:ascii="Times New Roman" w:hAnsi="Times New Roman" w:eastAsia="宋体" w:cs="Times New Roman"/>
          <w:bCs/>
          <w:color w:val="auto"/>
        </w:rPr>
        <w:t>70%），面积占比</w:t>
      </w:r>
      <w:r>
        <w:rPr>
          <w:rFonts w:hint="default" w:ascii="Times New Roman" w:hAnsi="Times New Roman" w:eastAsia="宋体" w:cs="Times New Roman"/>
          <w:bCs/>
          <w:color w:val="auto"/>
          <w:lang w:val="en-US" w:eastAsia="zh-CN"/>
        </w:rPr>
        <w:t>40.69</w:t>
      </w:r>
      <w:r>
        <w:rPr>
          <w:rFonts w:hint="default" w:ascii="Times New Roman" w:hAnsi="Times New Roman" w:eastAsia="宋体" w:cs="Times New Roman"/>
          <w:bCs/>
          <w:color w:val="auto"/>
        </w:rPr>
        <w:t>%，主要分布在</w:t>
      </w:r>
      <w:r>
        <w:rPr>
          <w:rFonts w:hint="default" w:ascii="Times New Roman" w:hAnsi="Times New Roman" w:eastAsia="宋体" w:cs="Times New Roman"/>
          <w:bCs/>
          <w:color w:val="auto"/>
          <w:lang w:val="en-US" w:eastAsia="zh-CN"/>
        </w:rPr>
        <w:t>迁改段起点附近区域</w:t>
      </w:r>
      <w:r>
        <w:rPr>
          <w:rFonts w:hint="default" w:ascii="Times New Roman" w:hAnsi="Times New Roman" w:eastAsia="宋体" w:cs="Times New Roman"/>
          <w:bCs/>
          <w:color w:val="auto"/>
        </w:rPr>
        <w:t>；其次是中</w:t>
      </w:r>
      <w:r>
        <w:rPr>
          <w:rFonts w:hint="default" w:ascii="Times New Roman" w:hAnsi="Times New Roman" w:eastAsia="宋体" w:cs="Times New Roman"/>
          <w:bCs/>
          <w:color w:val="auto"/>
          <w:lang w:val="en-US" w:eastAsia="zh-CN"/>
        </w:rPr>
        <w:t>高</w:t>
      </w:r>
      <w:r>
        <w:rPr>
          <w:rFonts w:hint="default" w:ascii="Times New Roman" w:hAnsi="Times New Roman" w:eastAsia="宋体" w:cs="Times New Roman"/>
          <w:bCs/>
          <w:color w:val="auto"/>
        </w:rPr>
        <w:t>覆盖度（</w:t>
      </w:r>
      <w:r>
        <w:rPr>
          <w:rFonts w:hint="default" w:ascii="Times New Roman" w:hAnsi="Times New Roman" w:eastAsia="宋体" w:cs="Times New Roman"/>
          <w:bCs/>
          <w:color w:val="auto"/>
          <w:shd w:val="clear" w:fill="FFFFFF"/>
          <w:lang w:val="en-US" w:eastAsia="zh-CN"/>
        </w:rPr>
        <w:t>5</w:t>
      </w:r>
      <w:r>
        <w:rPr>
          <w:rFonts w:hint="default" w:ascii="Times New Roman" w:hAnsi="Times New Roman" w:eastAsia="宋体" w:cs="Times New Roman"/>
          <w:bCs/>
          <w:color w:val="auto"/>
          <w:shd w:val="clear" w:fill="FFFFFF"/>
        </w:rPr>
        <w:t>0-</w:t>
      </w:r>
      <w:r>
        <w:rPr>
          <w:rFonts w:hint="default" w:ascii="Times New Roman" w:hAnsi="Times New Roman" w:eastAsia="宋体" w:cs="Times New Roman"/>
          <w:bCs/>
          <w:color w:val="auto"/>
          <w:shd w:val="clear" w:fill="FFFFFF"/>
          <w:lang w:val="en-US" w:eastAsia="zh-CN"/>
        </w:rPr>
        <w:t>7</w:t>
      </w:r>
      <w:r>
        <w:rPr>
          <w:rFonts w:hint="default" w:ascii="Times New Roman" w:hAnsi="Times New Roman" w:eastAsia="宋体" w:cs="Times New Roman"/>
          <w:bCs/>
          <w:color w:val="auto"/>
          <w:shd w:val="clear" w:fill="FFFFFF"/>
        </w:rPr>
        <w:t>0%</w:t>
      </w:r>
      <w:r>
        <w:rPr>
          <w:rFonts w:hint="default" w:ascii="Times New Roman" w:hAnsi="Times New Roman" w:eastAsia="宋体" w:cs="Times New Roman"/>
          <w:bCs/>
          <w:color w:val="auto"/>
        </w:rPr>
        <w:t>），面积占比为</w:t>
      </w:r>
      <w:r>
        <w:rPr>
          <w:rFonts w:hint="default" w:ascii="Times New Roman" w:hAnsi="Times New Roman" w:eastAsia="宋体" w:cs="Times New Roman"/>
          <w:bCs/>
          <w:color w:val="auto"/>
          <w:lang w:val="en-US" w:eastAsia="zh-CN"/>
        </w:rPr>
        <w:t>23.04</w:t>
      </w:r>
      <w:r>
        <w:rPr>
          <w:rFonts w:hint="default" w:ascii="Times New Roman" w:hAnsi="Times New Roman" w:eastAsia="宋体" w:cs="Times New Roman"/>
          <w:bCs/>
          <w:color w:val="auto"/>
        </w:rPr>
        <w:t>%；中</w:t>
      </w:r>
      <w:r>
        <w:rPr>
          <w:rFonts w:hint="default" w:ascii="Times New Roman" w:hAnsi="Times New Roman" w:eastAsia="宋体" w:cs="Times New Roman"/>
          <w:bCs/>
          <w:color w:val="auto"/>
          <w:lang w:val="en-US" w:eastAsia="zh-CN"/>
        </w:rPr>
        <w:t>低</w:t>
      </w:r>
      <w:r>
        <w:rPr>
          <w:rFonts w:hint="default" w:ascii="Times New Roman" w:hAnsi="Times New Roman" w:eastAsia="宋体" w:cs="Times New Roman"/>
          <w:bCs/>
          <w:color w:val="auto"/>
        </w:rPr>
        <w:t>覆盖度（</w:t>
      </w:r>
      <w:r>
        <w:rPr>
          <w:rFonts w:hint="default" w:ascii="Times New Roman" w:hAnsi="Times New Roman" w:eastAsia="宋体" w:cs="Times New Roman"/>
          <w:bCs/>
          <w:color w:val="auto"/>
          <w:shd w:val="clear" w:fill="FFFFFF"/>
          <w:lang w:val="en-US" w:eastAsia="zh-CN"/>
        </w:rPr>
        <w:t>1</w:t>
      </w:r>
      <w:r>
        <w:rPr>
          <w:rFonts w:hint="default" w:ascii="Times New Roman" w:hAnsi="Times New Roman" w:eastAsia="宋体" w:cs="Times New Roman"/>
          <w:bCs/>
          <w:color w:val="auto"/>
          <w:shd w:val="clear" w:fill="FFFFFF"/>
        </w:rPr>
        <w:t>0-</w:t>
      </w:r>
      <w:r>
        <w:rPr>
          <w:rFonts w:hint="default" w:ascii="Times New Roman" w:hAnsi="Times New Roman" w:eastAsia="宋体" w:cs="Times New Roman"/>
          <w:bCs/>
          <w:color w:val="auto"/>
          <w:shd w:val="clear" w:fill="FFFFFF"/>
          <w:lang w:val="en-US" w:eastAsia="zh-CN"/>
        </w:rPr>
        <w:t>3</w:t>
      </w:r>
      <w:r>
        <w:rPr>
          <w:rFonts w:hint="default" w:ascii="Times New Roman" w:hAnsi="Times New Roman" w:eastAsia="宋体" w:cs="Times New Roman"/>
          <w:bCs/>
          <w:color w:val="auto"/>
          <w:shd w:val="clear" w:fill="FFFFFF"/>
        </w:rPr>
        <w:t>0%</w:t>
      </w:r>
      <w:r>
        <w:rPr>
          <w:rFonts w:hint="default" w:ascii="Times New Roman" w:hAnsi="Times New Roman" w:eastAsia="宋体" w:cs="Times New Roman"/>
          <w:bCs/>
          <w:color w:val="auto"/>
        </w:rPr>
        <w:t>）面积占</w:t>
      </w:r>
      <w:r>
        <w:rPr>
          <w:rFonts w:hint="default" w:ascii="Times New Roman" w:hAnsi="Times New Roman" w:eastAsia="宋体" w:cs="Times New Roman"/>
          <w:bCs/>
          <w:color w:val="auto"/>
          <w:lang w:val="en-US" w:eastAsia="zh-CN"/>
        </w:rPr>
        <w:t>最</w:t>
      </w:r>
      <w:r>
        <w:rPr>
          <w:rFonts w:hint="default" w:ascii="Times New Roman" w:hAnsi="Times New Roman" w:eastAsia="宋体" w:cs="Times New Roman"/>
          <w:bCs/>
          <w:color w:val="auto"/>
        </w:rPr>
        <w:t>小，占比为</w:t>
      </w:r>
      <w:r>
        <w:rPr>
          <w:rFonts w:hint="default" w:ascii="Times New Roman" w:hAnsi="Times New Roman" w:eastAsia="宋体" w:cs="Times New Roman"/>
          <w:bCs/>
          <w:color w:val="auto"/>
          <w:lang w:val="en-US" w:eastAsia="zh-CN"/>
        </w:rPr>
        <w:t>6.39</w:t>
      </w:r>
      <w:r>
        <w:rPr>
          <w:rFonts w:hint="default" w:ascii="Times New Roman" w:hAnsi="Times New Roman" w:eastAsia="宋体" w:cs="Times New Roman"/>
          <w:bCs/>
          <w:color w:val="auto"/>
        </w:rPr>
        <w:t>%。对评价范围内不同覆盖度等级进行统计分析，具体如下表所示。</w:t>
      </w:r>
    </w:p>
    <w:p w14:paraId="2CA862A4">
      <w:pPr>
        <w:pStyle w:val="108"/>
        <w:ind w:firstLine="520"/>
        <w:rPr>
          <w:rFonts w:hint="default" w:ascii="Times New Roman" w:hAnsi="Times New Roman" w:eastAsia="宋体" w:cs="Times New Roman"/>
          <w:color w:val="auto"/>
          <w:sz w:val="21"/>
          <w:szCs w:val="21"/>
        </w:rPr>
      </w:pPr>
    </w:p>
    <w:p w14:paraId="679EFAF8">
      <w:pPr>
        <w:pStyle w:val="106"/>
        <w:spacing w:line="480" w:lineRule="exact"/>
        <w:ind w:firstLine="480"/>
        <w:rPr>
          <w:rFonts w:hint="default" w:ascii="Times New Roman" w:hAnsi="Times New Roman" w:eastAsia="宋体" w:cs="Times New Roman"/>
          <w:color w:val="auto"/>
          <w:lang w:bidi="zh-TW"/>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 xml:space="preserve"> 植被覆盖度统计表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6"/>
        <w:gridCol w:w="2490"/>
        <w:gridCol w:w="2850"/>
      </w:tblGrid>
      <w:tr w14:paraId="0EB3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2015" w:type="pct"/>
            <w:shd w:val="clear" w:color="000000" w:fill="auto"/>
            <w:noWrap/>
            <w:vAlign w:val="center"/>
          </w:tcPr>
          <w:p w14:paraId="22167F2D">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植被覆盖度（%）</w:t>
            </w:r>
          </w:p>
        </w:tc>
        <w:tc>
          <w:tcPr>
            <w:tcW w:w="1391" w:type="pct"/>
            <w:shd w:val="clear" w:color="000000" w:fill="auto"/>
            <w:noWrap/>
            <w:vAlign w:val="center"/>
          </w:tcPr>
          <w:p w14:paraId="5D4A243F">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面积（hm</w:t>
            </w:r>
            <w:r>
              <w:rPr>
                <w:rFonts w:hint="default" w:ascii="Times New Roman" w:hAnsi="Times New Roman" w:eastAsia="宋体" w:cs="Times New Roman"/>
                <w:b/>
                <w:bCs/>
                <w:color w:val="auto"/>
                <w:sz w:val="22"/>
                <w:szCs w:val="22"/>
                <w:vertAlign w:val="superscript"/>
              </w:rPr>
              <w:t>2</w:t>
            </w:r>
            <w:r>
              <w:rPr>
                <w:rFonts w:hint="default" w:ascii="Times New Roman" w:hAnsi="Times New Roman" w:eastAsia="宋体" w:cs="Times New Roman"/>
                <w:b/>
                <w:bCs/>
                <w:color w:val="auto"/>
                <w:sz w:val="22"/>
                <w:szCs w:val="22"/>
              </w:rPr>
              <w:t>）</w:t>
            </w:r>
          </w:p>
        </w:tc>
        <w:tc>
          <w:tcPr>
            <w:tcW w:w="1592" w:type="pct"/>
            <w:shd w:val="clear" w:color="000000" w:fill="auto"/>
            <w:noWrap w:val="0"/>
            <w:vAlign w:val="center"/>
          </w:tcPr>
          <w:p w14:paraId="29B8FCA8">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占比（%）</w:t>
            </w:r>
          </w:p>
        </w:tc>
      </w:tr>
      <w:tr w14:paraId="1DC2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606" w:type="dxa"/>
            <w:shd w:val="clear" w:color="000000" w:fill="auto"/>
            <w:noWrap/>
            <w:vAlign w:val="center"/>
          </w:tcPr>
          <w:p w14:paraId="3FC482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高覆盖度&gt;70%</w:t>
            </w:r>
          </w:p>
        </w:tc>
        <w:tc>
          <w:tcPr>
            <w:tcW w:w="2490" w:type="dxa"/>
            <w:shd w:val="clear" w:color="000000" w:fill="auto"/>
            <w:noWrap/>
            <w:vAlign w:val="center"/>
          </w:tcPr>
          <w:p w14:paraId="271E75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44.82</w:t>
            </w:r>
          </w:p>
        </w:tc>
        <w:tc>
          <w:tcPr>
            <w:tcW w:w="2850" w:type="dxa"/>
            <w:shd w:val="clear" w:color="000000" w:fill="auto"/>
            <w:noWrap w:val="0"/>
            <w:vAlign w:val="center"/>
          </w:tcPr>
          <w:p w14:paraId="40CD70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40.70</w:t>
            </w:r>
          </w:p>
        </w:tc>
      </w:tr>
      <w:tr w14:paraId="49EE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606" w:type="dxa"/>
            <w:shd w:val="clear" w:color="000000" w:fill="auto"/>
            <w:noWrap/>
            <w:vAlign w:val="center"/>
          </w:tcPr>
          <w:p w14:paraId="42D34C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中高覆盖度50%～70%</w:t>
            </w:r>
          </w:p>
        </w:tc>
        <w:tc>
          <w:tcPr>
            <w:tcW w:w="2490" w:type="dxa"/>
            <w:shd w:val="clear" w:color="000000" w:fill="auto"/>
            <w:noWrap/>
            <w:vAlign w:val="center"/>
          </w:tcPr>
          <w:p w14:paraId="32CE28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25.37</w:t>
            </w:r>
          </w:p>
        </w:tc>
        <w:tc>
          <w:tcPr>
            <w:tcW w:w="2850" w:type="dxa"/>
            <w:shd w:val="clear" w:color="000000" w:fill="auto"/>
            <w:noWrap w:val="0"/>
            <w:vAlign w:val="center"/>
          </w:tcPr>
          <w:p w14:paraId="6D8023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23.04</w:t>
            </w:r>
          </w:p>
        </w:tc>
      </w:tr>
      <w:tr w14:paraId="7460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606" w:type="dxa"/>
            <w:shd w:val="clear" w:color="000000" w:fill="auto"/>
            <w:noWrap/>
            <w:vAlign w:val="center"/>
          </w:tcPr>
          <w:p w14:paraId="786FAC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中覆盖度30%～50%</w:t>
            </w:r>
          </w:p>
        </w:tc>
        <w:tc>
          <w:tcPr>
            <w:tcW w:w="2490" w:type="dxa"/>
            <w:shd w:val="clear" w:color="000000" w:fill="auto"/>
            <w:noWrap/>
            <w:vAlign w:val="center"/>
          </w:tcPr>
          <w:p w14:paraId="4921DE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24.10</w:t>
            </w:r>
          </w:p>
        </w:tc>
        <w:tc>
          <w:tcPr>
            <w:tcW w:w="2850" w:type="dxa"/>
            <w:shd w:val="clear" w:color="000000" w:fill="auto"/>
            <w:noWrap w:val="0"/>
            <w:vAlign w:val="center"/>
          </w:tcPr>
          <w:p w14:paraId="7AFA06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21.88</w:t>
            </w:r>
          </w:p>
        </w:tc>
      </w:tr>
      <w:tr w14:paraId="7F8C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606" w:type="dxa"/>
            <w:shd w:val="clear" w:color="000000" w:fill="auto"/>
            <w:noWrap/>
            <w:vAlign w:val="center"/>
          </w:tcPr>
          <w:p w14:paraId="0E8763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中低覆盖度10%～30%</w:t>
            </w:r>
          </w:p>
        </w:tc>
        <w:tc>
          <w:tcPr>
            <w:tcW w:w="2490" w:type="dxa"/>
            <w:shd w:val="clear" w:color="000000" w:fill="auto"/>
            <w:noWrap/>
            <w:vAlign w:val="center"/>
          </w:tcPr>
          <w:p w14:paraId="083419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7.04</w:t>
            </w:r>
          </w:p>
        </w:tc>
        <w:tc>
          <w:tcPr>
            <w:tcW w:w="2850" w:type="dxa"/>
            <w:shd w:val="clear" w:color="000000" w:fill="auto"/>
            <w:noWrap w:val="0"/>
            <w:vAlign w:val="center"/>
          </w:tcPr>
          <w:p w14:paraId="685D05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6.39</w:t>
            </w:r>
          </w:p>
        </w:tc>
      </w:tr>
      <w:tr w14:paraId="2A14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606" w:type="dxa"/>
            <w:shd w:val="clear" w:color="000000" w:fill="auto"/>
            <w:noWrap/>
            <w:vAlign w:val="center"/>
          </w:tcPr>
          <w:p w14:paraId="39B9BD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极低覆盖度&lt;10%</w:t>
            </w:r>
          </w:p>
        </w:tc>
        <w:tc>
          <w:tcPr>
            <w:tcW w:w="2490" w:type="dxa"/>
            <w:shd w:val="clear" w:color="000000" w:fill="auto"/>
            <w:noWrap/>
            <w:vAlign w:val="center"/>
          </w:tcPr>
          <w:p w14:paraId="67373F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8.80</w:t>
            </w:r>
          </w:p>
        </w:tc>
        <w:tc>
          <w:tcPr>
            <w:tcW w:w="2850" w:type="dxa"/>
            <w:shd w:val="clear" w:color="000000" w:fill="auto"/>
            <w:noWrap w:val="0"/>
            <w:vAlign w:val="center"/>
          </w:tcPr>
          <w:p w14:paraId="7E3D5B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7.99</w:t>
            </w:r>
          </w:p>
        </w:tc>
      </w:tr>
      <w:tr w14:paraId="404D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15" w:type="pct"/>
            <w:shd w:val="clear" w:color="000000" w:fill="auto"/>
            <w:noWrap/>
            <w:vAlign w:val="center"/>
          </w:tcPr>
          <w:p w14:paraId="72E289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2490" w:type="dxa"/>
            <w:shd w:val="clear" w:color="000000" w:fill="auto"/>
            <w:noWrap/>
            <w:vAlign w:val="center"/>
          </w:tcPr>
          <w:p w14:paraId="0D2E77F1">
            <w:pPr>
              <w:keepNext w:val="0"/>
              <w:keepLines w:val="0"/>
              <w:widowControl/>
              <w:suppressLineNumbers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1"/>
                <w:szCs w:val="21"/>
                <w:u w:val="none"/>
                <w:lang w:val="en-US" w:eastAsia="zh-CN" w:bidi="ar"/>
              </w:rPr>
              <w:t>110.13</w:t>
            </w:r>
          </w:p>
        </w:tc>
        <w:tc>
          <w:tcPr>
            <w:tcW w:w="2850" w:type="dxa"/>
            <w:shd w:val="clear" w:color="000000" w:fill="auto"/>
            <w:noWrap w:val="0"/>
            <w:vAlign w:val="center"/>
          </w:tcPr>
          <w:p w14:paraId="66B9B3E1">
            <w:pPr>
              <w:keepNext w:val="0"/>
              <w:keepLines w:val="0"/>
              <w:widowControl/>
              <w:suppressLineNumbers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1"/>
                <w:szCs w:val="21"/>
                <w:u w:val="none"/>
                <w:lang w:val="en-US" w:eastAsia="zh-CN" w:bidi="ar"/>
              </w:rPr>
              <w:t>100.00</w:t>
            </w:r>
          </w:p>
        </w:tc>
      </w:tr>
    </w:tbl>
    <w:p w14:paraId="5FF34E2B">
      <w:pPr>
        <w:pStyle w:val="108"/>
        <w:ind w:firstLine="520"/>
        <w:rPr>
          <w:rFonts w:hint="default" w:ascii="Times New Roman" w:hAnsi="Times New Roman" w:eastAsia="宋体" w:cs="Times New Roman"/>
          <w:color w:val="auto"/>
          <w:szCs w:val="26"/>
        </w:rPr>
      </w:pPr>
    </w:p>
    <w:p w14:paraId="40447A14">
      <w:pPr>
        <w:numPr>
          <w:ilvl w:val="0"/>
          <w:numId w:val="0"/>
        </w:numPr>
        <w:spacing w:line="500" w:lineRule="exact"/>
        <w:ind w:firstLine="522" w:firstLineChars="0"/>
        <w:rPr>
          <w:rFonts w:hint="default" w:ascii="Times New Roman" w:hAnsi="Times New Roman" w:eastAsia="宋体" w:cs="Times New Roman"/>
          <w:color w:val="auto"/>
          <w:sz w:val="26"/>
          <w:szCs w:val="26"/>
          <w:lang w:eastAsia="zh-CN"/>
        </w:rPr>
      </w:pPr>
      <w:r>
        <w:rPr>
          <w:rFonts w:hint="default" w:ascii="Times New Roman" w:hAnsi="Times New Roman" w:eastAsia="宋体" w:cs="Times New Roman"/>
          <w:color w:val="auto"/>
          <w:sz w:val="26"/>
          <w:szCs w:val="26"/>
          <w:lang w:val="en-US" w:eastAsia="zh-CN" w:bidi="ar-SA"/>
        </w:rPr>
        <w:t>（4）</w:t>
      </w:r>
      <w:r>
        <w:rPr>
          <w:rFonts w:hint="default" w:ascii="Times New Roman" w:hAnsi="Times New Roman" w:eastAsia="宋体" w:cs="Times New Roman"/>
          <w:color w:val="auto"/>
          <w:sz w:val="26"/>
          <w:szCs w:val="26"/>
          <w:lang w:val="en-US" w:eastAsia="zh-CN"/>
        </w:rPr>
        <w:t>侵蚀现状</w:t>
      </w:r>
    </w:p>
    <w:p w14:paraId="1F307212">
      <w:pPr>
        <w:numPr>
          <w:ilvl w:val="0"/>
          <w:numId w:val="0"/>
        </w:numPr>
        <w:spacing w:line="500" w:lineRule="exact"/>
        <w:ind w:firstLine="522" w:firstLineChars="0"/>
        <w:rPr>
          <w:rFonts w:hint="default" w:ascii="Times New Roman" w:hAnsi="Times New Roman" w:eastAsia="宋体" w:cs="Times New Roman"/>
          <w:snapToGrid w:val="0"/>
          <w:color w:val="auto"/>
          <w:sz w:val="26"/>
          <w:szCs w:val="26"/>
          <w:lang w:val="en-US" w:eastAsia="zh-CN"/>
        </w:rPr>
      </w:pPr>
      <w:r>
        <w:rPr>
          <w:rFonts w:hint="default" w:ascii="Times New Roman" w:hAnsi="Times New Roman" w:eastAsia="宋体" w:cs="Times New Roman"/>
          <w:snapToGrid w:val="0"/>
          <w:color w:val="auto"/>
          <w:sz w:val="26"/>
          <w:szCs w:val="26"/>
          <w:lang w:val="en-US" w:eastAsia="zh-CN"/>
        </w:rPr>
        <w:t>根据水利部《全国水土保持规划国家级水土流失重点预防区和重点治理区符合划分成果》的通知（办水保〔2013〕188号），项目所在地（重庆市綦江区）不属于国家级水土流失重点预防区和重点治理区；根据《重庆市人民政府办公厅关于公布水土流失重点预防区和重点治理区复核划分成果的通知》（渝府办发〔2015〕197号），项目所在地（綦江区文龙街道）属于重庆市水土流失重点预防区；结合綦江水利局2024年11月22日公布的綦江区水土保持分区布局图，项目所在地（文龙街道</w:t>
      </w:r>
      <w:r>
        <w:rPr>
          <w:rFonts w:hint="eastAsia" w:ascii="Times New Roman" w:hAnsi="Times New Roman" w:cs="Times New Roman"/>
          <w:snapToGrid w:val="0"/>
          <w:color w:val="auto"/>
          <w:sz w:val="26"/>
          <w:szCs w:val="26"/>
          <w:lang w:val="en-US" w:eastAsia="zh-CN"/>
        </w:rPr>
        <w:t>***</w:t>
      </w:r>
      <w:r>
        <w:rPr>
          <w:rFonts w:hint="default" w:ascii="Times New Roman" w:hAnsi="Times New Roman" w:eastAsia="宋体" w:cs="Times New Roman"/>
          <w:snapToGrid w:val="0"/>
          <w:color w:val="auto"/>
          <w:sz w:val="26"/>
          <w:szCs w:val="26"/>
          <w:lang w:val="en-US" w:eastAsia="zh-CN"/>
        </w:rPr>
        <w:t>村）不属于綦江区水土流失重点预防区和重点治理区。</w:t>
      </w:r>
    </w:p>
    <w:p w14:paraId="7305FFB9">
      <w:pPr>
        <w:numPr>
          <w:ilvl w:val="0"/>
          <w:numId w:val="0"/>
        </w:numPr>
        <w:spacing w:line="500" w:lineRule="exact"/>
        <w:ind w:firstLine="522" w:firstLineChars="0"/>
        <w:rPr>
          <w:rFonts w:hint="default" w:ascii="Times New Roman" w:hAnsi="Times New Roman" w:eastAsia="宋体" w:cs="Times New Roman"/>
          <w:snapToGrid w:val="0"/>
          <w:color w:val="auto"/>
          <w:sz w:val="26"/>
          <w:szCs w:val="26"/>
          <w:lang w:val="en-US" w:eastAsia="zh-CN"/>
        </w:rPr>
      </w:pPr>
      <w:r>
        <w:rPr>
          <w:rFonts w:hint="default" w:ascii="Times New Roman" w:hAnsi="Times New Roman" w:eastAsia="宋体" w:cs="Times New Roman"/>
          <w:snapToGrid w:val="0"/>
          <w:color w:val="auto"/>
          <w:sz w:val="26"/>
          <w:szCs w:val="26"/>
          <w:lang w:val="en-US" w:eastAsia="zh-CN"/>
        </w:rPr>
        <w:t>根据《全国土壤侵蚀遥感快速调查工作规程》中的计算机分析方法，将评价区土地利用类型图、植被覆盖度图、地面坡度图进行叠加分析，得出评价区的土壤侵蚀数据，评价区各土壤侵蚀强度等级详见下表。</w:t>
      </w:r>
    </w:p>
    <w:p w14:paraId="7551686B">
      <w:pPr>
        <w:snapToGrid w:val="0"/>
        <w:ind w:firstLine="520" w:firstLineChars="200"/>
        <w:jc w:val="center"/>
        <w:rPr>
          <w:rFonts w:hint="default" w:ascii="Times New Roman" w:hAnsi="Times New Roman" w:eastAsia="宋体" w:cs="Times New Roman"/>
          <w:color w:val="auto"/>
          <w:sz w:val="26"/>
          <w:szCs w:val="26"/>
        </w:rPr>
      </w:pPr>
    </w:p>
    <w:p w14:paraId="531DFA69">
      <w:pPr>
        <w:snapToGrid w:val="0"/>
        <w:ind w:firstLine="522" w:firstLineChars="20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b/>
          <w:bCs/>
          <w:color w:val="auto"/>
          <w:sz w:val="26"/>
          <w:szCs w:val="26"/>
        </w:rPr>
        <w:t>表4.</w:t>
      </w:r>
      <w:r>
        <w:rPr>
          <w:rFonts w:hint="default" w:ascii="Times New Roman" w:hAnsi="Times New Roman" w:eastAsia="宋体" w:cs="Times New Roman"/>
          <w:b/>
          <w:bCs/>
          <w:color w:val="auto"/>
          <w:sz w:val="26"/>
          <w:szCs w:val="26"/>
          <w:lang w:val="en-US" w:eastAsia="zh-CN"/>
        </w:rPr>
        <w:t>3</w:t>
      </w:r>
      <w:r>
        <w:rPr>
          <w:rFonts w:hint="default" w:ascii="Times New Roman" w:hAnsi="Times New Roman" w:eastAsia="宋体" w:cs="Times New Roman"/>
          <w:b/>
          <w:bCs/>
          <w:color w:val="auto"/>
          <w:sz w:val="26"/>
          <w:szCs w:val="26"/>
        </w:rPr>
        <w:t>-</w:t>
      </w:r>
      <w:r>
        <w:rPr>
          <w:rFonts w:hint="default" w:ascii="Times New Roman" w:hAnsi="Times New Roman" w:eastAsia="宋体" w:cs="Times New Roman"/>
          <w:b/>
          <w:bCs/>
          <w:color w:val="auto"/>
          <w:sz w:val="26"/>
          <w:szCs w:val="26"/>
          <w:lang w:val="en-US" w:eastAsia="zh-CN"/>
        </w:rPr>
        <w:t>6</w:t>
      </w:r>
      <w:r>
        <w:rPr>
          <w:rFonts w:hint="default" w:ascii="Times New Roman" w:hAnsi="Times New Roman" w:eastAsia="宋体" w:cs="Times New Roman"/>
          <w:b/>
          <w:bCs/>
          <w:color w:val="auto"/>
          <w:sz w:val="26"/>
          <w:szCs w:val="26"/>
        </w:rPr>
        <w:t xml:space="preserve"> 评价区各类土壤侵蚀强度等级</w:t>
      </w:r>
      <w:r>
        <w:rPr>
          <w:rFonts w:hint="default" w:ascii="Times New Roman" w:hAnsi="Times New Roman" w:eastAsia="宋体" w:cs="Times New Roman"/>
          <w:b/>
          <w:bCs/>
          <w:color w:val="auto"/>
          <w:sz w:val="26"/>
          <w:szCs w:val="26"/>
          <w:lang w:val="en-US" w:eastAsia="zh-CN"/>
        </w:rPr>
        <w:t>与</w:t>
      </w:r>
      <w:r>
        <w:rPr>
          <w:rFonts w:hint="default" w:ascii="Times New Roman" w:hAnsi="Times New Roman" w:eastAsia="宋体" w:cs="Times New Roman"/>
          <w:b/>
          <w:bCs/>
          <w:color w:val="auto"/>
          <w:sz w:val="26"/>
          <w:szCs w:val="26"/>
        </w:rPr>
        <w:t>面积统计表</w:t>
      </w:r>
    </w:p>
    <w:tbl>
      <w:tblPr>
        <w:tblStyle w:val="29"/>
        <w:tblW w:w="4998" w:type="pct"/>
        <w:tblInd w:w="0" w:type="dxa"/>
        <w:tblLayout w:type="autofit"/>
        <w:tblCellMar>
          <w:top w:w="0" w:type="dxa"/>
          <w:left w:w="108" w:type="dxa"/>
          <w:bottom w:w="0" w:type="dxa"/>
          <w:right w:w="108" w:type="dxa"/>
        </w:tblCellMar>
      </w:tblPr>
      <w:tblGrid>
        <w:gridCol w:w="3040"/>
        <w:gridCol w:w="3182"/>
        <w:gridCol w:w="2720"/>
      </w:tblGrid>
      <w:tr w14:paraId="03AEADB1">
        <w:tblPrEx>
          <w:tblCellMar>
            <w:top w:w="0" w:type="dxa"/>
            <w:left w:w="108" w:type="dxa"/>
            <w:bottom w:w="0" w:type="dxa"/>
            <w:right w:w="108" w:type="dxa"/>
          </w:tblCellMar>
        </w:tblPrEx>
        <w:trPr>
          <w:trHeight w:val="340" w:hRule="atLeast"/>
        </w:trPr>
        <w:tc>
          <w:tcPr>
            <w:tcW w:w="1700" w:type="pct"/>
            <w:tcBorders>
              <w:top w:val="single" w:color="auto" w:sz="4" w:space="0"/>
              <w:left w:val="single" w:color="auto" w:sz="4" w:space="0"/>
              <w:bottom w:val="single" w:color="auto" w:sz="4" w:space="0"/>
              <w:right w:val="single" w:color="auto" w:sz="4" w:space="0"/>
            </w:tcBorders>
            <w:noWrap/>
            <w:vAlign w:val="center"/>
          </w:tcPr>
          <w:p w14:paraId="0F3C9C4A">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土壤侵蚀</w:t>
            </w:r>
            <w:r>
              <w:rPr>
                <w:rFonts w:hint="default" w:ascii="Times New Roman" w:hAnsi="Times New Roman" w:eastAsia="宋体" w:cs="Times New Roman"/>
                <w:b/>
                <w:bCs/>
                <w:color w:val="auto"/>
                <w:sz w:val="21"/>
                <w:szCs w:val="21"/>
              </w:rPr>
              <w:t>程度</w:t>
            </w:r>
          </w:p>
        </w:tc>
        <w:tc>
          <w:tcPr>
            <w:tcW w:w="1779" w:type="pct"/>
            <w:tcBorders>
              <w:top w:val="single" w:color="auto" w:sz="4" w:space="0"/>
              <w:left w:val="nil"/>
              <w:bottom w:val="single" w:color="auto" w:sz="4" w:space="0"/>
              <w:right w:val="single" w:color="auto" w:sz="4" w:space="0"/>
            </w:tcBorders>
            <w:noWrap/>
            <w:vAlign w:val="center"/>
          </w:tcPr>
          <w:p w14:paraId="52871008">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面积（hm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tc>
        <w:tc>
          <w:tcPr>
            <w:tcW w:w="1520" w:type="pct"/>
            <w:tcBorders>
              <w:top w:val="single" w:color="auto" w:sz="4" w:space="0"/>
              <w:left w:val="nil"/>
              <w:bottom w:val="single" w:color="auto" w:sz="4" w:space="0"/>
              <w:right w:val="single" w:color="auto" w:sz="4" w:space="0"/>
            </w:tcBorders>
            <w:noWrap/>
            <w:vAlign w:val="center"/>
          </w:tcPr>
          <w:p w14:paraId="1148EEFA">
            <w:pPr>
              <w:widowControl/>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占比（%）</w:t>
            </w:r>
          </w:p>
        </w:tc>
      </w:tr>
      <w:tr w14:paraId="263BA488">
        <w:tblPrEx>
          <w:tblCellMar>
            <w:top w:w="0" w:type="dxa"/>
            <w:left w:w="108" w:type="dxa"/>
            <w:bottom w:w="0" w:type="dxa"/>
            <w:right w:w="108" w:type="dxa"/>
          </w:tblCellMar>
        </w:tblPrEx>
        <w:trPr>
          <w:trHeight w:val="340" w:hRule="atLeast"/>
        </w:trPr>
        <w:tc>
          <w:tcPr>
            <w:tcW w:w="1700" w:type="pct"/>
            <w:tcBorders>
              <w:top w:val="nil"/>
              <w:left w:val="single" w:color="auto" w:sz="4" w:space="0"/>
              <w:bottom w:val="single" w:color="auto" w:sz="4" w:space="0"/>
              <w:right w:val="single" w:color="auto" w:sz="4" w:space="0"/>
            </w:tcBorders>
            <w:noWrap/>
            <w:vAlign w:val="center"/>
          </w:tcPr>
          <w:p w14:paraId="21A8842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微度侵蚀</w:t>
            </w:r>
          </w:p>
        </w:tc>
        <w:tc>
          <w:tcPr>
            <w:tcW w:w="3182" w:type="dxa"/>
            <w:tcBorders>
              <w:top w:val="nil"/>
              <w:left w:val="nil"/>
              <w:bottom w:val="single" w:color="auto" w:sz="4" w:space="0"/>
              <w:right w:val="single" w:color="auto" w:sz="4" w:space="0"/>
            </w:tcBorders>
            <w:noWrap/>
            <w:vAlign w:val="center"/>
          </w:tcPr>
          <w:p w14:paraId="7D1CF879">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81.11</w:t>
            </w:r>
          </w:p>
        </w:tc>
        <w:tc>
          <w:tcPr>
            <w:tcW w:w="2720" w:type="dxa"/>
            <w:tcBorders>
              <w:top w:val="nil"/>
              <w:left w:val="nil"/>
              <w:bottom w:val="single" w:color="auto" w:sz="4" w:space="0"/>
              <w:right w:val="single" w:color="auto" w:sz="4" w:space="0"/>
            </w:tcBorders>
            <w:noWrap/>
            <w:vAlign w:val="center"/>
          </w:tcPr>
          <w:p w14:paraId="17DA9611">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73.65</w:t>
            </w:r>
          </w:p>
        </w:tc>
      </w:tr>
      <w:tr w14:paraId="442FBCC8">
        <w:tblPrEx>
          <w:tblCellMar>
            <w:top w:w="0" w:type="dxa"/>
            <w:left w:w="108" w:type="dxa"/>
            <w:bottom w:w="0" w:type="dxa"/>
            <w:right w:w="108" w:type="dxa"/>
          </w:tblCellMar>
        </w:tblPrEx>
        <w:trPr>
          <w:trHeight w:val="340" w:hRule="atLeast"/>
        </w:trPr>
        <w:tc>
          <w:tcPr>
            <w:tcW w:w="1700" w:type="pct"/>
            <w:tcBorders>
              <w:top w:val="nil"/>
              <w:left w:val="single" w:color="auto" w:sz="4" w:space="0"/>
              <w:bottom w:val="single" w:color="auto" w:sz="4" w:space="0"/>
              <w:right w:val="single" w:color="auto" w:sz="4" w:space="0"/>
            </w:tcBorders>
            <w:noWrap/>
            <w:vAlign w:val="center"/>
          </w:tcPr>
          <w:p w14:paraId="6C7F8AF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轻度侵蚀</w:t>
            </w:r>
          </w:p>
        </w:tc>
        <w:tc>
          <w:tcPr>
            <w:tcW w:w="3182" w:type="dxa"/>
            <w:tcBorders>
              <w:top w:val="nil"/>
              <w:left w:val="nil"/>
              <w:bottom w:val="single" w:color="auto" w:sz="4" w:space="0"/>
              <w:right w:val="single" w:color="auto" w:sz="4" w:space="0"/>
            </w:tcBorders>
            <w:noWrap/>
            <w:vAlign w:val="center"/>
          </w:tcPr>
          <w:p w14:paraId="57070E2A">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23.51</w:t>
            </w:r>
          </w:p>
        </w:tc>
        <w:tc>
          <w:tcPr>
            <w:tcW w:w="2720" w:type="dxa"/>
            <w:tcBorders>
              <w:top w:val="nil"/>
              <w:left w:val="nil"/>
              <w:bottom w:val="single" w:color="auto" w:sz="4" w:space="0"/>
              <w:right w:val="single" w:color="auto" w:sz="4" w:space="0"/>
            </w:tcBorders>
            <w:noWrap/>
            <w:vAlign w:val="center"/>
          </w:tcPr>
          <w:p w14:paraId="716F94A8">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21.35</w:t>
            </w:r>
          </w:p>
        </w:tc>
      </w:tr>
      <w:tr w14:paraId="09ADE97A">
        <w:tblPrEx>
          <w:tblCellMar>
            <w:top w:w="0" w:type="dxa"/>
            <w:left w:w="108" w:type="dxa"/>
            <w:bottom w:w="0" w:type="dxa"/>
            <w:right w:w="108" w:type="dxa"/>
          </w:tblCellMar>
        </w:tblPrEx>
        <w:trPr>
          <w:trHeight w:val="340" w:hRule="atLeast"/>
        </w:trPr>
        <w:tc>
          <w:tcPr>
            <w:tcW w:w="1700" w:type="pct"/>
            <w:tcBorders>
              <w:top w:val="nil"/>
              <w:left w:val="single" w:color="auto" w:sz="4" w:space="0"/>
              <w:bottom w:val="single" w:color="auto" w:sz="4" w:space="0"/>
              <w:right w:val="single" w:color="auto" w:sz="4" w:space="0"/>
            </w:tcBorders>
            <w:noWrap/>
            <w:vAlign w:val="center"/>
          </w:tcPr>
          <w:p w14:paraId="59513C3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中度侵蚀</w:t>
            </w:r>
          </w:p>
        </w:tc>
        <w:tc>
          <w:tcPr>
            <w:tcW w:w="3182" w:type="dxa"/>
            <w:tcBorders>
              <w:top w:val="nil"/>
              <w:left w:val="nil"/>
              <w:bottom w:val="single" w:color="auto" w:sz="4" w:space="0"/>
              <w:right w:val="single" w:color="auto" w:sz="4" w:space="0"/>
            </w:tcBorders>
            <w:noWrap/>
            <w:vAlign w:val="center"/>
          </w:tcPr>
          <w:p w14:paraId="0B43536F">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4.71</w:t>
            </w:r>
          </w:p>
        </w:tc>
        <w:tc>
          <w:tcPr>
            <w:tcW w:w="2720" w:type="dxa"/>
            <w:tcBorders>
              <w:top w:val="nil"/>
              <w:left w:val="nil"/>
              <w:bottom w:val="single" w:color="auto" w:sz="4" w:space="0"/>
              <w:right w:val="single" w:color="auto" w:sz="4" w:space="0"/>
            </w:tcBorders>
            <w:noWrap/>
            <w:vAlign w:val="center"/>
          </w:tcPr>
          <w:p w14:paraId="13A8B7BE">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4.27</w:t>
            </w:r>
          </w:p>
        </w:tc>
      </w:tr>
      <w:tr w14:paraId="194F25AC">
        <w:tblPrEx>
          <w:tblCellMar>
            <w:top w:w="0" w:type="dxa"/>
            <w:left w:w="108" w:type="dxa"/>
            <w:bottom w:w="0" w:type="dxa"/>
            <w:right w:w="108" w:type="dxa"/>
          </w:tblCellMar>
        </w:tblPrEx>
        <w:trPr>
          <w:trHeight w:val="340" w:hRule="atLeast"/>
        </w:trPr>
        <w:tc>
          <w:tcPr>
            <w:tcW w:w="1700" w:type="pct"/>
            <w:tcBorders>
              <w:top w:val="nil"/>
              <w:left w:val="single" w:color="auto" w:sz="4" w:space="0"/>
              <w:bottom w:val="single" w:color="auto" w:sz="4" w:space="0"/>
              <w:right w:val="single" w:color="auto" w:sz="4" w:space="0"/>
            </w:tcBorders>
            <w:noWrap/>
            <w:vAlign w:val="center"/>
          </w:tcPr>
          <w:p w14:paraId="58677E2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强烈侵蚀</w:t>
            </w:r>
          </w:p>
        </w:tc>
        <w:tc>
          <w:tcPr>
            <w:tcW w:w="3182" w:type="dxa"/>
            <w:tcBorders>
              <w:top w:val="nil"/>
              <w:left w:val="nil"/>
              <w:bottom w:val="single" w:color="auto" w:sz="4" w:space="0"/>
              <w:right w:val="single" w:color="auto" w:sz="4" w:space="0"/>
            </w:tcBorders>
            <w:noWrap/>
            <w:vAlign w:val="center"/>
          </w:tcPr>
          <w:p w14:paraId="4D1EE68C">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0.80</w:t>
            </w:r>
          </w:p>
        </w:tc>
        <w:tc>
          <w:tcPr>
            <w:tcW w:w="2720" w:type="dxa"/>
            <w:tcBorders>
              <w:top w:val="nil"/>
              <w:left w:val="nil"/>
              <w:bottom w:val="single" w:color="auto" w:sz="4" w:space="0"/>
              <w:right w:val="single" w:color="auto" w:sz="4" w:space="0"/>
            </w:tcBorders>
            <w:noWrap/>
            <w:vAlign w:val="center"/>
          </w:tcPr>
          <w:p w14:paraId="2717B0A5">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0.73</w:t>
            </w:r>
          </w:p>
        </w:tc>
      </w:tr>
      <w:tr w14:paraId="42095C0B">
        <w:tblPrEx>
          <w:tblCellMar>
            <w:top w:w="0" w:type="dxa"/>
            <w:left w:w="108" w:type="dxa"/>
            <w:bottom w:w="0" w:type="dxa"/>
            <w:right w:w="108" w:type="dxa"/>
          </w:tblCellMar>
        </w:tblPrEx>
        <w:trPr>
          <w:trHeight w:val="340" w:hRule="atLeast"/>
        </w:trPr>
        <w:tc>
          <w:tcPr>
            <w:tcW w:w="1700" w:type="pct"/>
            <w:tcBorders>
              <w:top w:val="nil"/>
              <w:left w:val="single" w:color="auto" w:sz="4" w:space="0"/>
              <w:bottom w:val="single" w:color="auto" w:sz="4" w:space="0"/>
              <w:right w:val="single" w:color="auto" w:sz="4" w:space="0"/>
            </w:tcBorders>
            <w:noWrap/>
            <w:vAlign w:val="center"/>
          </w:tcPr>
          <w:p w14:paraId="07F77771">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总计</w:t>
            </w:r>
          </w:p>
        </w:tc>
        <w:tc>
          <w:tcPr>
            <w:tcW w:w="3182" w:type="dxa"/>
            <w:tcBorders>
              <w:top w:val="nil"/>
              <w:left w:val="nil"/>
              <w:bottom w:val="single" w:color="auto" w:sz="4" w:space="0"/>
              <w:right w:val="single" w:color="auto" w:sz="4" w:space="0"/>
            </w:tcBorders>
            <w:noWrap/>
            <w:vAlign w:val="center"/>
          </w:tcPr>
          <w:p w14:paraId="589D3F7D">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110.13</w:t>
            </w:r>
          </w:p>
        </w:tc>
        <w:tc>
          <w:tcPr>
            <w:tcW w:w="2720" w:type="dxa"/>
            <w:tcBorders>
              <w:top w:val="nil"/>
              <w:left w:val="nil"/>
              <w:bottom w:val="single" w:color="auto" w:sz="4" w:space="0"/>
              <w:right w:val="single" w:color="auto" w:sz="4" w:space="0"/>
            </w:tcBorders>
            <w:noWrap/>
            <w:vAlign w:val="center"/>
          </w:tcPr>
          <w:p w14:paraId="6A6B7238">
            <w:pPr>
              <w:keepNext w:val="0"/>
              <w:keepLines w:val="0"/>
              <w:widowControl/>
              <w:suppressLineNumbers w:val="0"/>
              <w:jc w:val="center"/>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100.00</w:t>
            </w:r>
          </w:p>
        </w:tc>
      </w:tr>
    </w:tbl>
    <w:p w14:paraId="60E3FC90">
      <w:pPr>
        <w:snapToGrid w:val="0"/>
        <w:ind w:firstLine="420" w:firstLineChars="200"/>
        <w:jc w:val="center"/>
        <w:rPr>
          <w:rFonts w:hint="default" w:ascii="Times New Roman" w:hAnsi="Times New Roman" w:eastAsia="宋体" w:cs="Times New Roman"/>
          <w:color w:val="auto"/>
          <w:sz w:val="21"/>
          <w:szCs w:val="21"/>
        </w:rPr>
      </w:pPr>
    </w:p>
    <w:p w14:paraId="4FF2701D">
      <w:pPr>
        <w:pStyle w:val="93"/>
        <w:ind w:firstLine="520"/>
        <w:rPr>
          <w:rFonts w:hint="default" w:ascii="Times New Roman" w:hAnsi="Times New Roman" w:eastAsia="宋体" w:cs="Times New Roman"/>
          <w:snapToGrid w:val="0"/>
          <w:color w:val="auto"/>
          <w:sz w:val="26"/>
          <w:szCs w:val="26"/>
          <w:lang w:val="en-US" w:eastAsia="zh-CN"/>
        </w:rPr>
      </w:pPr>
      <w:r>
        <w:rPr>
          <w:rFonts w:hint="default" w:ascii="Times New Roman" w:hAnsi="Times New Roman" w:eastAsia="宋体" w:cs="Times New Roman"/>
          <w:snapToGrid w:val="0"/>
          <w:color w:val="auto"/>
          <w:sz w:val="26"/>
          <w:szCs w:val="26"/>
          <w:lang w:val="en-US" w:eastAsia="zh-CN"/>
        </w:rPr>
        <w:t>从上表可知，本项目评价区微度侵蚀面积最大，为81.11hm</w:t>
      </w:r>
      <w:r>
        <w:rPr>
          <w:rFonts w:hint="default" w:ascii="Times New Roman" w:hAnsi="Times New Roman" w:eastAsia="宋体" w:cs="Times New Roman"/>
          <w:snapToGrid w:val="0"/>
          <w:color w:val="auto"/>
          <w:sz w:val="26"/>
          <w:szCs w:val="26"/>
          <w:vertAlign w:val="superscript"/>
          <w:lang w:val="en-US" w:eastAsia="zh-CN"/>
        </w:rPr>
        <w:t>2</w:t>
      </w:r>
      <w:r>
        <w:rPr>
          <w:rFonts w:hint="default" w:ascii="Times New Roman" w:hAnsi="Times New Roman" w:eastAsia="宋体" w:cs="Times New Roman"/>
          <w:snapToGrid w:val="0"/>
          <w:color w:val="auto"/>
          <w:sz w:val="26"/>
          <w:szCs w:val="26"/>
          <w:lang w:val="en-US" w:eastAsia="zh-CN"/>
        </w:rPr>
        <w:t>，占评价区总面积的73.65%；轻度侵蚀面积次之，为23.51hm</w:t>
      </w:r>
      <w:r>
        <w:rPr>
          <w:rFonts w:hint="default" w:ascii="Times New Roman" w:hAnsi="Times New Roman" w:eastAsia="宋体" w:cs="Times New Roman"/>
          <w:snapToGrid w:val="0"/>
          <w:color w:val="auto"/>
          <w:sz w:val="26"/>
          <w:szCs w:val="26"/>
          <w:vertAlign w:val="superscript"/>
          <w:lang w:val="en-US" w:eastAsia="zh-CN"/>
        </w:rPr>
        <w:t>2</w:t>
      </w:r>
      <w:r>
        <w:rPr>
          <w:rFonts w:hint="default" w:ascii="Times New Roman" w:hAnsi="Times New Roman" w:eastAsia="宋体" w:cs="Times New Roman"/>
          <w:snapToGrid w:val="0"/>
          <w:color w:val="auto"/>
          <w:sz w:val="26"/>
          <w:szCs w:val="26"/>
          <w:lang w:val="en-US" w:eastAsia="zh-CN"/>
        </w:rPr>
        <w:t>，占比21.35%；强度侵蚀面积最小，为0.80hm</w:t>
      </w:r>
      <w:r>
        <w:rPr>
          <w:rFonts w:hint="default" w:ascii="Times New Roman" w:hAnsi="Times New Roman" w:eastAsia="宋体" w:cs="Times New Roman"/>
          <w:snapToGrid w:val="0"/>
          <w:color w:val="auto"/>
          <w:sz w:val="26"/>
          <w:szCs w:val="26"/>
          <w:vertAlign w:val="superscript"/>
          <w:lang w:val="en-US" w:eastAsia="zh-CN"/>
        </w:rPr>
        <w:t>2</w:t>
      </w:r>
      <w:r>
        <w:rPr>
          <w:rFonts w:hint="default" w:ascii="Times New Roman" w:hAnsi="Times New Roman" w:eastAsia="宋体" w:cs="Times New Roman"/>
          <w:snapToGrid w:val="0"/>
          <w:color w:val="auto"/>
          <w:sz w:val="26"/>
          <w:szCs w:val="26"/>
          <w:lang w:val="en-US" w:eastAsia="zh-CN"/>
        </w:rPr>
        <w:t>，占比0.73%。表明评价区内土壤侵蚀以微度侵蚀为主。</w:t>
      </w:r>
    </w:p>
    <w:p w14:paraId="6C5248D8">
      <w:pPr>
        <w:pStyle w:val="106"/>
        <w:numPr>
          <w:ilvl w:val="0"/>
          <w:numId w:val="6"/>
        </w:numPr>
        <w:spacing w:line="480" w:lineRule="exact"/>
        <w:ind w:firstLine="520" w:firstLineChars="200"/>
        <w:jc w:val="both"/>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生产力和生物量</w:t>
      </w:r>
    </w:p>
    <w:p w14:paraId="114E51F6">
      <w:pPr>
        <w:pStyle w:val="106"/>
        <w:spacing w:line="480" w:lineRule="exact"/>
        <w:ind w:firstLine="520" w:firstLineChars="200"/>
        <w:jc w:val="both"/>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 xml:space="preserve">植被的生产力和生物量可以反映一个区域内的陆地生态系统的生产能力和生态效益，通常以单位面积内自然植物群落的净第一性生产力和生物量表示。根据现场调查及遥感解译，本次评价范围内主要植被类型主要包括针叶林、灌丛、草丛等，由于受环境保护、时间、经费等方面的限制，不可能对评价区涉及的植被类型进行生物量和生产力的实测，本次评价采用已有经验数据对评价范围内植物生产力进行计算，各种植被类型平均净生产力数据来源于专著《中国森林生态系统的生物量和生产力》（冯宗炜，王效科，吴刚．[M]．北京：科学出版社，1999）、《中国陆地植被净初级生产力遥感估算》（朱文泉，植物生态学报，2007），各植被类型平均生物量数据来源于文献《我国森林植被的生物量和净生产量》（方精云，刘国华，徐蒿龄．[J]．生态学报，1996，16 </w:t>
      </w:r>
      <w:r>
        <w:rPr>
          <w:rFonts w:hint="default" w:ascii="Times New Roman" w:hAnsi="Times New Roman" w:eastAsia="宋体" w:cs="Times New Roman"/>
          <w:bCs/>
          <w:color w:val="auto"/>
          <w:highlight w:val="none"/>
          <w:shd w:val="clear" w:fill="FFFFFF"/>
          <w:lang w:val="en-US" w:eastAsia="zh-CN"/>
        </w:rPr>
        <w:t>（</w:t>
      </w:r>
      <w:r>
        <w:rPr>
          <w:rFonts w:hint="default" w:ascii="Times New Roman" w:hAnsi="Times New Roman" w:eastAsia="宋体" w:cs="Times New Roman"/>
          <w:bCs/>
          <w:color w:val="auto"/>
          <w:highlight w:val="none"/>
          <w:lang w:val="en-US" w:eastAsia="zh-CN"/>
        </w:rPr>
        <w:t>5</w:t>
      </w:r>
      <w:r>
        <w:rPr>
          <w:rFonts w:hint="default" w:ascii="Times New Roman" w:hAnsi="Times New Roman" w:eastAsia="宋体" w:cs="Times New Roman"/>
          <w:bCs/>
          <w:color w:val="auto"/>
          <w:highlight w:val="none"/>
          <w:shd w:val="clear" w:fill="FFFFFF"/>
          <w:lang w:val="en-US" w:eastAsia="zh-CN"/>
        </w:rPr>
        <w:t>）</w:t>
      </w:r>
      <w:r>
        <w:rPr>
          <w:rFonts w:hint="default" w:ascii="Times New Roman" w:hAnsi="Times New Roman" w:eastAsia="宋体" w:cs="Times New Roman"/>
          <w:bCs/>
          <w:color w:val="auto"/>
          <w:highlight w:val="none"/>
          <w:lang w:val="en-US" w:eastAsia="zh-CN"/>
        </w:rPr>
        <w:t>：497~508）。</w:t>
      </w:r>
    </w:p>
    <w:p w14:paraId="5FBA4C6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6"/>
          <w:szCs w:val="26"/>
          <w:highlight w:val="none"/>
        </w:rPr>
      </w:pPr>
    </w:p>
    <w:p w14:paraId="09C6D52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6"/>
          <w:szCs w:val="26"/>
          <w:highlight w:val="none"/>
        </w:rPr>
      </w:pPr>
      <w:r>
        <w:rPr>
          <w:rFonts w:hint="default" w:ascii="Times New Roman" w:hAnsi="Times New Roman" w:eastAsia="宋体" w:cs="Times New Roman"/>
          <w:b/>
          <w:bCs w:val="0"/>
          <w:color w:val="auto"/>
          <w:sz w:val="26"/>
          <w:szCs w:val="26"/>
          <w:highlight w:val="none"/>
        </w:rPr>
        <w:t>表4.</w:t>
      </w:r>
      <w:r>
        <w:rPr>
          <w:rFonts w:hint="eastAsia" w:ascii="Times New Roman" w:hAnsi="Times New Roman" w:cs="Times New Roman"/>
          <w:b/>
          <w:bCs w:val="0"/>
          <w:color w:val="auto"/>
          <w:sz w:val="26"/>
          <w:szCs w:val="26"/>
          <w:highlight w:val="none"/>
          <w:lang w:val="en-US" w:eastAsia="zh-CN"/>
        </w:rPr>
        <w:t>3</w:t>
      </w:r>
      <w:r>
        <w:rPr>
          <w:rFonts w:hint="default" w:ascii="Times New Roman" w:hAnsi="Times New Roman" w:eastAsia="宋体" w:cs="Times New Roman"/>
          <w:b/>
          <w:bCs w:val="0"/>
          <w:color w:val="auto"/>
          <w:sz w:val="26"/>
          <w:szCs w:val="26"/>
          <w:highlight w:val="none"/>
        </w:rPr>
        <w:t>-</w:t>
      </w:r>
      <w:r>
        <w:rPr>
          <w:rFonts w:hint="eastAsia" w:ascii="Times New Roman" w:hAnsi="Times New Roman" w:cs="Times New Roman"/>
          <w:b/>
          <w:bCs w:val="0"/>
          <w:color w:val="auto"/>
          <w:sz w:val="26"/>
          <w:szCs w:val="26"/>
          <w:highlight w:val="none"/>
          <w:lang w:val="en-US" w:eastAsia="zh-CN"/>
        </w:rPr>
        <w:t>7</w:t>
      </w:r>
      <w:r>
        <w:rPr>
          <w:rFonts w:hint="default" w:ascii="Times New Roman" w:hAnsi="Times New Roman" w:eastAsia="宋体" w:cs="Times New Roman"/>
          <w:b/>
          <w:bCs w:val="0"/>
          <w:color w:val="auto"/>
          <w:sz w:val="26"/>
          <w:szCs w:val="26"/>
          <w:highlight w:val="none"/>
        </w:rPr>
        <w:t xml:space="preserve"> </w:t>
      </w:r>
      <w:r>
        <w:rPr>
          <w:rFonts w:hint="default" w:ascii="Times New Roman" w:hAnsi="Times New Roman" w:eastAsia="宋体" w:cs="Times New Roman"/>
          <w:b/>
          <w:bCs w:val="0"/>
          <w:color w:val="auto"/>
          <w:sz w:val="26"/>
          <w:szCs w:val="26"/>
          <w:highlight w:val="none"/>
          <w:lang w:val="en-US" w:eastAsia="zh-CN"/>
        </w:rPr>
        <w:t>常见</w:t>
      </w:r>
      <w:r>
        <w:rPr>
          <w:rFonts w:hint="default" w:ascii="Times New Roman" w:hAnsi="Times New Roman" w:eastAsia="宋体" w:cs="Times New Roman"/>
          <w:b/>
          <w:bCs w:val="0"/>
          <w:color w:val="auto"/>
          <w:sz w:val="26"/>
          <w:szCs w:val="26"/>
          <w:highlight w:val="none"/>
        </w:rPr>
        <w:t>植被类型生物量和生产力统计表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1299"/>
        <w:gridCol w:w="1830"/>
        <w:gridCol w:w="1081"/>
        <w:gridCol w:w="1349"/>
        <w:gridCol w:w="1788"/>
      </w:tblGrid>
      <w:tr w14:paraId="13A5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1" w:type="pct"/>
            <w:vMerge w:val="restart"/>
            <w:noWrap w:val="0"/>
            <w:vAlign w:val="center"/>
          </w:tcPr>
          <w:p w14:paraId="3FFF3364">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植被类型</w:t>
            </w:r>
          </w:p>
        </w:tc>
        <w:tc>
          <w:tcPr>
            <w:tcW w:w="726" w:type="pct"/>
            <w:noWrap w:val="0"/>
            <w:vAlign w:val="center"/>
          </w:tcPr>
          <w:p w14:paraId="3A3A634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生物量</w:t>
            </w:r>
          </w:p>
        </w:tc>
        <w:tc>
          <w:tcPr>
            <w:tcW w:w="1023" w:type="pct"/>
            <w:noWrap w:val="0"/>
            <w:vAlign w:val="center"/>
          </w:tcPr>
          <w:p w14:paraId="5548437D">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净第一性生产力</w:t>
            </w:r>
          </w:p>
        </w:tc>
        <w:tc>
          <w:tcPr>
            <w:tcW w:w="604" w:type="pct"/>
            <w:vMerge w:val="restart"/>
            <w:noWrap w:val="0"/>
            <w:vAlign w:val="center"/>
          </w:tcPr>
          <w:p w14:paraId="18DB1209">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植被类型</w:t>
            </w:r>
          </w:p>
        </w:tc>
        <w:tc>
          <w:tcPr>
            <w:tcW w:w="754" w:type="pct"/>
            <w:noWrap w:val="0"/>
            <w:vAlign w:val="center"/>
          </w:tcPr>
          <w:p w14:paraId="187D52F8">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生物量</w:t>
            </w:r>
          </w:p>
        </w:tc>
        <w:tc>
          <w:tcPr>
            <w:tcW w:w="999" w:type="pct"/>
            <w:noWrap w:val="0"/>
            <w:vAlign w:val="center"/>
          </w:tcPr>
          <w:p w14:paraId="03D4C8CC">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净第一性生产力</w:t>
            </w:r>
          </w:p>
        </w:tc>
      </w:tr>
      <w:tr w14:paraId="6F15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1" w:type="pct"/>
            <w:vMerge w:val="continue"/>
            <w:noWrap w:val="0"/>
            <w:vAlign w:val="center"/>
          </w:tcPr>
          <w:p w14:paraId="36B46073">
            <w:pPr>
              <w:jc w:val="center"/>
              <w:rPr>
                <w:rFonts w:hint="default" w:ascii="Times New Roman" w:hAnsi="Times New Roman" w:eastAsia="宋体" w:cs="Times New Roman"/>
                <w:b/>
                <w:bCs/>
                <w:color w:val="auto"/>
                <w:sz w:val="21"/>
                <w:szCs w:val="21"/>
                <w:highlight w:val="none"/>
              </w:rPr>
            </w:pPr>
          </w:p>
        </w:tc>
        <w:tc>
          <w:tcPr>
            <w:tcW w:w="726" w:type="pct"/>
            <w:noWrap w:val="0"/>
            <w:vAlign w:val="center"/>
          </w:tcPr>
          <w:p w14:paraId="1385426D">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平均（t/hm</w:t>
            </w:r>
            <w:r>
              <w:rPr>
                <w:rFonts w:hint="default" w:ascii="Times New Roman" w:hAnsi="Times New Roman" w:eastAsia="宋体" w:cs="Times New Roman"/>
                <w:b/>
                <w:bCs/>
                <w:color w:val="auto"/>
                <w:sz w:val="21"/>
                <w:szCs w:val="21"/>
                <w:highlight w:val="none"/>
                <w:vertAlign w:val="superscript"/>
              </w:rPr>
              <w:t>2</w:t>
            </w:r>
            <w:r>
              <w:rPr>
                <w:rFonts w:hint="default" w:ascii="Times New Roman" w:hAnsi="Times New Roman" w:eastAsia="宋体" w:cs="Times New Roman"/>
                <w:b/>
                <w:bCs/>
                <w:color w:val="auto"/>
                <w:sz w:val="21"/>
                <w:szCs w:val="21"/>
                <w:highlight w:val="none"/>
              </w:rPr>
              <w:t>）</w:t>
            </w:r>
          </w:p>
        </w:tc>
        <w:tc>
          <w:tcPr>
            <w:tcW w:w="1023" w:type="pct"/>
            <w:noWrap w:val="0"/>
            <w:vAlign w:val="center"/>
          </w:tcPr>
          <w:p w14:paraId="4F305C39">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平均（gC/</w:t>
            </w:r>
            <w:r>
              <w:rPr>
                <w:rFonts w:hint="default" w:ascii="Times New Roman" w:hAnsi="Times New Roman" w:eastAsia="宋体" w:cs="Times New Roman"/>
                <w:b/>
                <w:bCs/>
                <w:color w:val="auto"/>
                <w:sz w:val="21"/>
                <w:szCs w:val="21"/>
                <w:highlight w:val="none"/>
                <w:shd w:val="clear" w:fill="FFFFFF"/>
              </w:rPr>
              <w:t>（</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2</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shd w:val="clear" w:fill="FFFFFF"/>
              </w:rPr>
              <w:t>）</w:t>
            </w:r>
            <w:r>
              <w:rPr>
                <w:rFonts w:hint="default" w:ascii="Times New Roman" w:hAnsi="Times New Roman" w:eastAsia="宋体" w:cs="Times New Roman"/>
                <w:b/>
                <w:bCs/>
                <w:color w:val="auto"/>
                <w:sz w:val="21"/>
                <w:szCs w:val="21"/>
                <w:highlight w:val="none"/>
              </w:rPr>
              <w:t>）</w:t>
            </w:r>
          </w:p>
        </w:tc>
        <w:tc>
          <w:tcPr>
            <w:tcW w:w="604" w:type="pct"/>
            <w:vMerge w:val="continue"/>
            <w:noWrap w:val="0"/>
            <w:vAlign w:val="center"/>
          </w:tcPr>
          <w:p w14:paraId="3E3B0163">
            <w:pPr>
              <w:snapToGrid w:val="0"/>
              <w:jc w:val="center"/>
              <w:rPr>
                <w:rFonts w:hint="default" w:ascii="Times New Roman" w:hAnsi="Times New Roman" w:eastAsia="宋体" w:cs="Times New Roman"/>
                <w:b/>
                <w:bCs/>
                <w:color w:val="auto"/>
                <w:sz w:val="21"/>
                <w:szCs w:val="21"/>
                <w:highlight w:val="none"/>
              </w:rPr>
            </w:pPr>
          </w:p>
        </w:tc>
        <w:tc>
          <w:tcPr>
            <w:tcW w:w="754" w:type="pct"/>
            <w:noWrap w:val="0"/>
            <w:vAlign w:val="center"/>
          </w:tcPr>
          <w:p w14:paraId="15FBF275">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平均（t/hm</w:t>
            </w:r>
            <w:r>
              <w:rPr>
                <w:rFonts w:hint="default" w:ascii="Times New Roman" w:hAnsi="Times New Roman" w:eastAsia="宋体" w:cs="Times New Roman"/>
                <w:b/>
                <w:bCs/>
                <w:color w:val="auto"/>
                <w:sz w:val="21"/>
                <w:szCs w:val="21"/>
                <w:highlight w:val="none"/>
                <w:vertAlign w:val="superscript"/>
              </w:rPr>
              <w:t>2</w:t>
            </w:r>
            <w:r>
              <w:rPr>
                <w:rFonts w:hint="default" w:ascii="Times New Roman" w:hAnsi="Times New Roman" w:eastAsia="宋体" w:cs="Times New Roman"/>
                <w:b/>
                <w:bCs/>
                <w:color w:val="auto"/>
                <w:sz w:val="21"/>
                <w:szCs w:val="21"/>
                <w:highlight w:val="none"/>
              </w:rPr>
              <w:t>）</w:t>
            </w:r>
          </w:p>
        </w:tc>
        <w:tc>
          <w:tcPr>
            <w:tcW w:w="999" w:type="pct"/>
            <w:noWrap w:val="0"/>
            <w:vAlign w:val="center"/>
          </w:tcPr>
          <w:p w14:paraId="5035C26C">
            <w:pPr>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平均（gC/</w:t>
            </w:r>
            <w:r>
              <w:rPr>
                <w:rFonts w:hint="default" w:ascii="Times New Roman" w:hAnsi="Times New Roman" w:eastAsia="宋体" w:cs="Times New Roman"/>
                <w:b/>
                <w:bCs/>
                <w:color w:val="auto"/>
                <w:sz w:val="21"/>
                <w:szCs w:val="21"/>
                <w:highlight w:val="none"/>
                <w:shd w:val="clear" w:fill="FFFFFF"/>
              </w:rPr>
              <w:t>（</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2</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shd w:val="clear" w:fill="FFFFFF"/>
              </w:rPr>
              <w:t>）</w:t>
            </w:r>
            <w:r>
              <w:rPr>
                <w:rFonts w:hint="default" w:ascii="Times New Roman" w:hAnsi="Times New Roman" w:eastAsia="宋体" w:cs="Times New Roman"/>
                <w:b/>
                <w:bCs/>
                <w:color w:val="auto"/>
                <w:sz w:val="21"/>
                <w:szCs w:val="21"/>
                <w:highlight w:val="none"/>
              </w:rPr>
              <w:t>）</w:t>
            </w:r>
          </w:p>
        </w:tc>
      </w:tr>
      <w:tr w14:paraId="2CA2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1" w:type="pct"/>
            <w:noWrap w:val="0"/>
            <w:vAlign w:val="center"/>
          </w:tcPr>
          <w:p w14:paraId="3B16FB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暖性针叶林</w:t>
            </w:r>
          </w:p>
        </w:tc>
        <w:tc>
          <w:tcPr>
            <w:tcW w:w="726" w:type="pct"/>
            <w:noWrap w:val="0"/>
            <w:vAlign w:val="center"/>
          </w:tcPr>
          <w:p w14:paraId="0154A4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72.3</w:t>
            </w:r>
          </w:p>
        </w:tc>
        <w:tc>
          <w:tcPr>
            <w:tcW w:w="1023" w:type="pct"/>
            <w:noWrap w:val="0"/>
            <w:vAlign w:val="center"/>
          </w:tcPr>
          <w:p w14:paraId="7A64A1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760</w:t>
            </w:r>
          </w:p>
        </w:tc>
        <w:tc>
          <w:tcPr>
            <w:tcW w:w="604" w:type="pct"/>
            <w:noWrap w:val="0"/>
            <w:vAlign w:val="center"/>
          </w:tcPr>
          <w:p w14:paraId="613923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竹林</w:t>
            </w:r>
          </w:p>
        </w:tc>
        <w:tc>
          <w:tcPr>
            <w:tcW w:w="754" w:type="pct"/>
            <w:noWrap w:val="0"/>
            <w:vAlign w:val="center"/>
          </w:tcPr>
          <w:p w14:paraId="1697C9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14.3</w:t>
            </w:r>
          </w:p>
        </w:tc>
        <w:tc>
          <w:tcPr>
            <w:tcW w:w="999" w:type="pct"/>
            <w:noWrap w:val="0"/>
            <w:vAlign w:val="center"/>
          </w:tcPr>
          <w:p w14:paraId="4E3A13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430</w:t>
            </w:r>
          </w:p>
        </w:tc>
      </w:tr>
      <w:tr w14:paraId="735E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1" w:type="pct"/>
            <w:noWrap w:val="0"/>
            <w:vAlign w:val="center"/>
          </w:tcPr>
          <w:p w14:paraId="645C39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常绿阔叶林</w:t>
            </w:r>
          </w:p>
        </w:tc>
        <w:tc>
          <w:tcPr>
            <w:tcW w:w="726" w:type="pct"/>
            <w:noWrap w:val="0"/>
            <w:vAlign w:val="center"/>
          </w:tcPr>
          <w:p w14:paraId="56E571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114.7</w:t>
            </w:r>
          </w:p>
        </w:tc>
        <w:tc>
          <w:tcPr>
            <w:tcW w:w="1023" w:type="pct"/>
            <w:noWrap w:val="0"/>
            <w:vAlign w:val="center"/>
          </w:tcPr>
          <w:p w14:paraId="162EA0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1270</w:t>
            </w:r>
          </w:p>
        </w:tc>
        <w:tc>
          <w:tcPr>
            <w:tcW w:w="604" w:type="pct"/>
            <w:noWrap w:val="0"/>
            <w:vAlign w:val="center"/>
          </w:tcPr>
          <w:p w14:paraId="53B92B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草丛</w:t>
            </w:r>
          </w:p>
        </w:tc>
        <w:tc>
          <w:tcPr>
            <w:tcW w:w="754" w:type="pct"/>
            <w:noWrap w:val="0"/>
            <w:vAlign w:val="center"/>
          </w:tcPr>
          <w:p w14:paraId="0A3BDD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999" w:type="pct"/>
            <w:noWrap w:val="0"/>
            <w:vAlign w:val="center"/>
          </w:tcPr>
          <w:p w14:paraId="41A027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270</w:t>
            </w:r>
          </w:p>
        </w:tc>
      </w:tr>
      <w:tr w14:paraId="214D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1" w:type="pct"/>
            <w:noWrap w:val="0"/>
            <w:vAlign w:val="center"/>
          </w:tcPr>
          <w:p w14:paraId="443BB2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落叶阔叶林</w:t>
            </w:r>
          </w:p>
        </w:tc>
        <w:tc>
          <w:tcPr>
            <w:tcW w:w="726" w:type="pct"/>
            <w:noWrap w:val="0"/>
            <w:vAlign w:val="center"/>
          </w:tcPr>
          <w:p w14:paraId="570639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118.6</w:t>
            </w:r>
          </w:p>
        </w:tc>
        <w:tc>
          <w:tcPr>
            <w:tcW w:w="1023" w:type="pct"/>
            <w:noWrap w:val="0"/>
            <w:vAlign w:val="center"/>
          </w:tcPr>
          <w:p w14:paraId="2A8C29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880</w:t>
            </w:r>
          </w:p>
        </w:tc>
        <w:tc>
          <w:tcPr>
            <w:tcW w:w="604" w:type="pct"/>
            <w:noWrap w:val="0"/>
            <w:vAlign w:val="center"/>
          </w:tcPr>
          <w:p w14:paraId="63459D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耕地</w:t>
            </w:r>
          </w:p>
        </w:tc>
        <w:tc>
          <w:tcPr>
            <w:tcW w:w="754" w:type="pct"/>
            <w:noWrap w:val="0"/>
            <w:vAlign w:val="center"/>
          </w:tcPr>
          <w:p w14:paraId="509830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999" w:type="pct"/>
            <w:noWrap w:val="0"/>
            <w:vAlign w:val="center"/>
          </w:tcPr>
          <w:p w14:paraId="0DBF15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720</w:t>
            </w:r>
          </w:p>
        </w:tc>
      </w:tr>
      <w:tr w14:paraId="147F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1" w:type="pct"/>
            <w:noWrap w:val="0"/>
            <w:vAlign w:val="center"/>
          </w:tcPr>
          <w:p w14:paraId="1E6AE0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落叶阔叶灌丛</w:t>
            </w:r>
          </w:p>
        </w:tc>
        <w:tc>
          <w:tcPr>
            <w:tcW w:w="726" w:type="pct"/>
            <w:noWrap w:val="0"/>
            <w:vAlign w:val="center"/>
          </w:tcPr>
          <w:p w14:paraId="7FDC33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1023" w:type="pct"/>
            <w:noWrap w:val="0"/>
            <w:vAlign w:val="center"/>
          </w:tcPr>
          <w:p w14:paraId="631FB7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525</w:t>
            </w:r>
          </w:p>
        </w:tc>
        <w:tc>
          <w:tcPr>
            <w:tcW w:w="604" w:type="pct"/>
            <w:noWrap w:val="0"/>
            <w:vAlign w:val="center"/>
          </w:tcPr>
          <w:p w14:paraId="171281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水域</w:t>
            </w:r>
          </w:p>
        </w:tc>
        <w:tc>
          <w:tcPr>
            <w:tcW w:w="754" w:type="pct"/>
            <w:noWrap w:val="0"/>
            <w:vAlign w:val="center"/>
          </w:tcPr>
          <w:p w14:paraId="6B4FA5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999" w:type="pct"/>
            <w:noWrap w:val="0"/>
            <w:vAlign w:val="center"/>
          </w:tcPr>
          <w:p w14:paraId="037E5A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r>
      <w:tr w14:paraId="532F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1" w:type="pct"/>
            <w:noWrap w:val="0"/>
            <w:vAlign w:val="center"/>
          </w:tcPr>
          <w:p w14:paraId="6ECF9F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常绿阔叶灌丛</w:t>
            </w:r>
          </w:p>
        </w:tc>
        <w:tc>
          <w:tcPr>
            <w:tcW w:w="726" w:type="pct"/>
            <w:noWrap w:val="0"/>
            <w:vAlign w:val="center"/>
          </w:tcPr>
          <w:p w14:paraId="6863C1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11.9</w:t>
            </w:r>
          </w:p>
        </w:tc>
        <w:tc>
          <w:tcPr>
            <w:tcW w:w="1023" w:type="pct"/>
            <w:noWrap w:val="0"/>
            <w:vAlign w:val="center"/>
          </w:tcPr>
          <w:p w14:paraId="5EBE62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590</w:t>
            </w:r>
          </w:p>
        </w:tc>
        <w:tc>
          <w:tcPr>
            <w:tcW w:w="604" w:type="pct"/>
            <w:noWrap w:val="0"/>
            <w:vAlign w:val="center"/>
          </w:tcPr>
          <w:p w14:paraId="5500C2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54" w:type="pct"/>
            <w:noWrap w:val="0"/>
            <w:vAlign w:val="center"/>
          </w:tcPr>
          <w:p w14:paraId="3EE685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99" w:type="pct"/>
            <w:noWrap w:val="0"/>
            <w:vAlign w:val="center"/>
          </w:tcPr>
          <w:p w14:paraId="371B2B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14:paraId="2193A0C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lang w:val="en-US" w:eastAsia="zh-CN"/>
        </w:rPr>
      </w:pPr>
    </w:p>
    <w:p w14:paraId="0DF9D59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6"/>
          <w:szCs w:val="26"/>
          <w:highlight w:val="none"/>
          <w:lang w:val="en-US" w:eastAsia="zh-CN"/>
        </w:rPr>
      </w:pPr>
      <w:r>
        <w:rPr>
          <w:rFonts w:hint="default" w:ascii="Times New Roman" w:hAnsi="Times New Roman" w:eastAsia="宋体" w:cs="Times New Roman"/>
          <w:b/>
          <w:bCs w:val="0"/>
          <w:color w:val="auto"/>
          <w:sz w:val="26"/>
          <w:szCs w:val="26"/>
          <w:highlight w:val="none"/>
          <w:lang w:val="en-US" w:eastAsia="zh-CN"/>
        </w:rPr>
        <w:t>表4</w:t>
      </w:r>
      <w:r>
        <w:rPr>
          <w:rFonts w:hint="eastAsia" w:ascii="Times New Roman" w:hAnsi="Times New Roman" w:cs="Times New Roman"/>
          <w:b/>
          <w:bCs w:val="0"/>
          <w:color w:val="auto"/>
          <w:sz w:val="26"/>
          <w:szCs w:val="26"/>
          <w:highlight w:val="none"/>
          <w:lang w:val="en-US" w:eastAsia="zh-CN"/>
        </w:rPr>
        <w:t>.3</w:t>
      </w:r>
      <w:r>
        <w:rPr>
          <w:rFonts w:hint="default" w:ascii="Times New Roman" w:hAnsi="Times New Roman" w:eastAsia="宋体" w:cs="Times New Roman"/>
          <w:b/>
          <w:bCs w:val="0"/>
          <w:color w:val="auto"/>
          <w:sz w:val="26"/>
          <w:szCs w:val="26"/>
          <w:highlight w:val="none"/>
          <w:lang w:val="en-US" w:eastAsia="zh-CN"/>
        </w:rPr>
        <w:t>-</w:t>
      </w:r>
      <w:r>
        <w:rPr>
          <w:rFonts w:hint="eastAsia" w:ascii="Times New Roman" w:hAnsi="Times New Roman" w:cs="Times New Roman"/>
          <w:b/>
          <w:bCs w:val="0"/>
          <w:color w:val="auto"/>
          <w:sz w:val="26"/>
          <w:szCs w:val="26"/>
          <w:highlight w:val="none"/>
          <w:lang w:val="en-US" w:eastAsia="zh-CN"/>
        </w:rPr>
        <w:t>8</w:t>
      </w:r>
      <w:r>
        <w:rPr>
          <w:rFonts w:hint="default" w:ascii="Times New Roman" w:hAnsi="Times New Roman" w:eastAsia="宋体" w:cs="Times New Roman"/>
          <w:b/>
          <w:bCs w:val="0"/>
          <w:color w:val="auto"/>
          <w:sz w:val="26"/>
          <w:szCs w:val="26"/>
          <w:highlight w:val="none"/>
          <w:lang w:val="en-US" w:eastAsia="zh-CN"/>
        </w:rPr>
        <w:t xml:space="preserve"> 评价区内主要植被类型生物量和生产力统计表</w:t>
      </w:r>
    </w:p>
    <w:tbl>
      <w:tblPr>
        <w:tblStyle w:val="2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86"/>
        <w:gridCol w:w="1456"/>
        <w:gridCol w:w="1812"/>
        <w:gridCol w:w="1250"/>
        <w:gridCol w:w="1769"/>
        <w:gridCol w:w="969"/>
      </w:tblGrid>
      <w:tr w14:paraId="71C2A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8" w:space="0"/>
              <w:left w:val="single" w:color="000000" w:sz="8" w:space="0"/>
              <w:bottom w:val="nil"/>
              <w:right w:val="single" w:color="000000" w:sz="8" w:space="0"/>
            </w:tcBorders>
            <w:noWrap/>
            <w:vAlign w:val="center"/>
          </w:tcPr>
          <w:p w14:paraId="0BB74EE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植被类型</w:t>
            </w:r>
          </w:p>
        </w:tc>
        <w:tc>
          <w:tcPr>
            <w:tcW w:w="812" w:type="pct"/>
            <w:tcBorders>
              <w:top w:val="single" w:color="000000" w:sz="8" w:space="0"/>
              <w:left w:val="single" w:color="000000" w:sz="8" w:space="0"/>
              <w:bottom w:val="nil"/>
              <w:right w:val="single" w:color="000000" w:sz="8" w:space="0"/>
            </w:tcBorders>
            <w:noWrap/>
            <w:vAlign w:val="center"/>
          </w:tcPr>
          <w:p w14:paraId="2EDF98C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Style w:val="123"/>
                <w:rFonts w:hint="default" w:ascii="Times New Roman" w:hAnsi="Times New Roman" w:eastAsia="宋体" w:cs="Times New Roman"/>
                <w:color w:val="auto"/>
                <w:sz w:val="21"/>
                <w:szCs w:val="21"/>
                <w:lang w:val="en-US" w:eastAsia="zh-CN" w:bidi="ar"/>
              </w:rPr>
              <w:t>面积</w:t>
            </w:r>
            <w:r>
              <w:rPr>
                <w:rFonts w:hint="default" w:ascii="Times New Roman" w:hAnsi="Times New Roman" w:eastAsia="宋体" w:cs="Times New Roman"/>
                <w:b/>
                <w:bCs/>
                <w:i w:val="0"/>
                <w:iCs w:val="0"/>
                <w:color w:val="auto"/>
                <w:kern w:val="0"/>
                <w:sz w:val="21"/>
                <w:szCs w:val="21"/>
                <w:u w:val="none"/>
                <w:lang w:val="en-US" w:eastAsia="zh-CN" w:bidi="ar"/>
              </w:rPr>
              <w:t>（</w:t>
            </w:r>
            <w:r>
              <w:rPr>
                <w:rStyle w:val="124"/>
                <w:rFonts w:hint="default" w:ascii="Times New Roman" w:hAnsi="Times New Roman" w:eastAsia="宋体" w:cs="Times New Roman"/>
                <w:color w:val="auto"/>
                <w:sz w:val="21"/>
                <w:szCs w:val="21"/>
                <w:lang w:val="en-US" w:eastAsia="zh-CN" w:bidi="ar"/>
              </w:rPr>
              <w:t>hm</w:t>
            </w:r>
            <w:r>
              <w:rPr>
                <w:rStyle w:val="125"/>
                <w:rFonts w:hint="default" w:ascii="Times New Roman" w:hAnsi="Times New Roman" w:eastAsia="宋体" w:cs="Times New Roman"/>
                <w:color w:val="auto"/>
                <w:sz w:val="21"/>
                <w:szCs w:val="21"/>
                <w:lang w:val="en-US" w:eastAsia="zh-CN" w:bidi="ar"/>
              </w:rPr>
              <w:t>2</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019" w:type="pct"/>
            <w:tcBorders>
              <w:top w:val="single" w:color="000000" w:sz="8" w:space="0"/>
              <w:left w:val="single" w:color="000000" w:sz="8" w:space="0"/>
              <w:bottom w:val="nil"/>
              <w:right w:val="single" w:color="000000" w:sz="8" w:space="0"/>
            </w:tcBorders>
            <w:noWrap/>
            <w:vAlign w:val="center"/>
          </w:tcPr>
          <w:p w14:paraId="0AF3F8E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Style w:val="123"/>
                <w:rFonts w:hint="default" w:ascii="Times New Roman" w:hAnsi="Times New Roman" w:eastAsia="宋体" w:cs="Times New Roman"/>
                <w:color w:val="auto"/>
                <w:sz w:val="21"/>
                <w:szCs w:val="21"/>
                <w:lang w:val="en-US" w:eastAsia="zh-CN" w:bidi="ar"/>
              </w:rPr>
              <w:t>生物量总计（</w:t>
            </w:r>
            <w:r>
              <w:rPr>
                <w:rStyle w:val="126"/>
                <w:rFonts w:hint="default" w:ascii="Times New Roman" w:hAnsi="Times New Roman" w:eastAsia="宋体" w:cs="Times New Roman"/>
                <w:color w:val="auto"/>
                <w:sz w:val="21"/>
                <w:szCs w:val="21"/>
                <w:lang w:val="en-US" w:eastAsia="zh-CN" w:bidi="ar"/>
              </w:rPr>
              <w:t>t</w:t>
            </w:r>
            <w:r>
              <w:rPr>
                <w:rStyle w:val="123"/>
                <w:rFonts w:hint="default" w:ascii="Times New Roman" w:hAnsi="Times New Roman" w:eastAsia="宋体" w:cs="Times New Roman"/>
                <w:color w:val="auto"/>
                <w:sz w:val="21"/>
                <w:szCs w:val="21"/>
                <w:lang w:val="en-US" w:eastAsia="zh-CN" w:bidi="ar"/>
              </w:rPr>
              <w:t>）</w:t>
            </w:r>
          </w:p>
        </w:tc>
        <w:tc>
          <w:tcPr>
            <w:tcW w:w="705" w:type="pct"/>
            <w:tcBorders>
              <w:top w:val="single" w:color="000000" w:sz="8" w:space="0"/>
              <w:left w:val="single" w:color="000000" w:sz="8" w:space="0"/>
              <w:bottom w:val="nil"/>
              <w:right w:val="single" w:color="000000" w:sz="8" w:space="0"/>
            </w:tcBorders>
            <w:noWrap/>
            <w:vAlign w:val="center"/>
          </w:tcPr>
          <w:p w14:paraId="21131E7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占比</w:t>
            </w:r>
          </w:p>
        </w:tc>
        <w:tc>
          <w:tcPr>
            <w:tcW w:w="995" w:type="pct"/>
            <w:tcBorders>
              <w:top w:val="single" w:color="000000" w:sz="8" w:space="0"/>
              <w:left w:val="single" w:color="000000" w:sz="8" w:space="0"/>
              <w:bottom w:val="nil"/>
              <w:right w:val="single" w:color="000000" w:sz="8" w:space="0"/>
            </w:tcBorders>
            <w:noWrap/>
            <w:vAlign w:val="center"/>
          </w:tcPr>
          <w:p w14:paraId="7267D2A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Style w:val="123"/>
                <w:rFonts w:hint="default" w:ascii="Times New Roman" w:hAnsi="Times New Roman" w:eastAsia="宋体" w:cs="Times New Roman"/>
                <w:color w:val="auto"/>
                <w:sz w:val="21"/>
                <w:szCs w:val="21"/>
                <w:lang w:val="en-US" w:eastAsia="zh-CN" w:bidi="ar"/>
              </w:rPr>
              <w:t>生产力总计</w:t>
            </w:r>
            <w:r>
              <w:rPr>
                <w:rStyle w:val="126"/>
                <w:rFonts w:hint="default" w:ascii="Times New Roman" w:hAnsi="Times New Roman" w:eastAsia="宋体" w:cs="Times New Roman"/>
                <w:color w:val="auto"/>
                <w:sz w:val="21"/>
                <w:szCs w:val="21"/>
                <w:lang w:val="en-US" w:eastAsia="zh-CN" w:bidi="ar"/>
              </w:rPr>
              <w:t>[tc/a]</w:t>
            </w:r>
          </w:p>
        </w:tc>
        <w:tc>
          <w:tcPr>
            <w:tcW w:w="535" w:type="pct"/>
            <w:tcBorders>
              <w:top w:val="single" w:color="000000" w:sz="8" w:space="0"/>
              <w:left w:val="single" w:color="000000" w:sz="8" w:space="0"/>
              <w:bottom w:val="nil"/>
              <w:right w:val="single" w:color="000000" w:sz="8" w:space="0"/>
            </w:tcBorders>
            <w:noWrap/>
            <w:vAlign w:val="center"/>
          </w:tcPr>
          <w:p w14:paraId="22170CC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占比</w:t>
            </w:r>
          </w:p>
        </w:tc>
      </w:tr>
      <w:tr w14:paraId="2BD39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ign w:val="center"/>
          </w:tcPr>
          <w:p w14:paraId="360F9D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暖性针叶林</w:t>
            </w:r>
          </w:p>
        </w:tc>
        <w:tc>
          <w:tcPr>
            <w:tcW w:w="1456" w:type="dxa"/>
            <w:tcBorders>
              <w:top w:val="single" w:color="000000" w:sz="4" w:space="0"/>
              <w:left w:val="single" w:color="000000" w:sz="4" w:space="0"/>
              <w:bottom w:val="single" w:color="000000" w:sz="4" w:space="0"/>
              <w:right w:val="single" w:color="000000" w:sz="4" w:space="0"/>
            </w:tcBorders>
            <w:noWrap/>
            <w:vAlign w:val="center"/>
          </w:tcPr>
          <w:p w14:paraId="299D21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44.47</w:t>
            </w:r>
          </w:p>
        </w:tc>
        <w:tc>
          <w:tcPr>
            <w:tcW w:w="1812" w:type="dxa"/>
            <w:tcBorders>
              <w:top w:val="single" w:color="000000" w:sz="4" w:space="0"/>
              <w:left w:val="single" w:color="000000" w:sz="4" w:space="0"/>
              <w:bottom w:val="single" w:color="000000" w:sz="4" w:space="0"/>
              <w:right w:val="single" w:color="000000" w:sz="4" w:space="0"/>
            </w:tcBorders>
            <w:noWrap/>
            <w:vAlign w:val="center"/>
          </w:tcPr>
          <w:p w14:paraId="0BDB79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3215.18</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34D2E7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72.54</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1B67E7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337.97</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32F8B1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47.77</w:t>
            </w:r>
          </w:p>
        </w:tc>
      </w:tr>
      <w:tr w14:paraId="2A72F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ign w:val="center"/>
          </w:tcPr>
          <w:p w14:paraId="617316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常绿阔叶林</w:t>
            </w:r>
          </w:p>
        </w:tc>
        <w:tc>
          <w:tcPr>
            <w:tcW w:w="1456" w:type="dxa"/>
            <w:tcBorders>
              <w:top w:val="single" w:color="000000" w:sz="4" w:space="0"/>
              <w:left w:val="single" w:color="000000" w:sz="4" w:space="0"/>
              <w:bottom w:val="single" w:color="000000" w:sz="4" w:space="0"/>
              <w:right w:val="single" w:color="000000" w:sz="4" w:space="0"/>
            </w:tcBorders>
            <w:noWrap/>
            <w:vAlign w:val="center"/>
          </w:tcPr>
          <w:p w14:paraId="37EAD8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1812" w:type="dxa"/>
            <w:tcBorders>
              <w:top w:val="single" w:color="000000" w:sz="4" w:space="0"/>
              <w:left w:val="single" w:color="000000" w:sz="4" w:space="0"/>
              <w:bottom w:val="single" w:color="000000" w:sz="4" w:space="0"/>
              <w:right w:val="single" w:color="000000" w:sz="4" w:space="0"/>
            </w:tcBorders>
            <w:noWrap/>
            <w:vAlign w:val="center"/>
          </w:tcPr>
          <w:p w14:paraId="1DF5AE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283.31</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1664E6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6.39</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271D2B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31.37</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5432CB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4.43</w:t>
            </w:r>
          </w:p>
        </w:tc>
      </w:tr>
      <w:tr w14:paraId="42218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ign w:val="center"/>
          </w:tcPr>
          <w:p w14:paraId="5426C3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落叶阔叶林</w:t>
            </w:r>
          </w:p>
        </w:tc>
        <w:tc>
          <w:tcPr>
            <w:tcW w:w="1456" w:type="dxa"/>
            <w:tcBorders>
              <w:top w:val="single" w:color="000000" w:sz="4" w:space="0"/>
              <w:left w:val="single" w:color="000000" w:sz="4" w:space="0"/>
              <w:bottom w:val="single" w:color="000000" w:sz="4" w:space="0"/>
              <w:right w:val="single" w:color="000000" w:sz="4" w:space="0"/>
            </w:tcBorders>
            <w:noWrap/>
            <w:vAlign w:val="center"/>
          </w:tcPr>
          <w:p w14:paraId="6C4B4F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4.94</w:t>
            </w:r>
          </w:p>
        </w:tc>
        <w:tc>
          <w:tcPr>
            <w:tcW w:w="1812" w:type="dxa"/>
            <w:tcBorders>
              <w:top w:val="single" w:color="000000" w:sz="4" w:space="0"/>
              <w:left w:val="single" w:color="000000" w:sz="4" w:space="0"/>
              <w:bottom w:val="single" w:color="000000" w:sz="4" w:space="0"/>
              <w:right w:val="single" w:color="000000" w:sz="4" w:space="0"/>
            </w:tcBorders>
            <w:noWrap/>
            <w:vAlign w:val="center"/>
          </w:tcPr>
          <w:p w14:paraId="6A84F4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585.88</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6E63AD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13.22</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1FBB23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43.47</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2D3B9F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6.14</w:t>
            </w:r>
          </w:p>
        </w:tc>
      </w:tr>
      <w:tr w14:paraId="0A60A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ign w:val="center"/>
          </w:tcPr>
          <w:p w14:paraId="77A124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竹林</w:t>
            </w:r>
          </w:p>
        </w:tc>
        <w:tc>
          <w:tcPr>
            <w:tcW w:w="1456" w:type="dxa"/>
            <w:tcBorders>
              <w:top w:val="single" w:color="000000" w:sz="4" w:space="0"/>
              <w:left w:val="single" w:color="000000" w:sz="4" w:space="0"/>
              <w:bottom w:val="single" w:color="000000" w:sz="4" w:space="0"/>
              <w:right w:val="single" w:color="000000" w:sz="4" w:space="0"/>
            </w:tcBorders>
            <w:noWrap/>
            <w:vAlign w:val="center"/>
          </w:tcPr>
          <w:p w14:paraId="15D142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1812" w:type="dxa"/>
            <w:tcBorders>
              <w:top w:val="single" w:color="000000" w:sz="4" w:space="0"/>
              <w:left w:val="single" w:color="000000" w:sz="4" w:space="0"/>
              <w:bottom w:val="single" w:color="000000" w:sz="4" w:space="0"/>
              <w:right w:val="single" w:color="000000" w:sz="4" w:space="0"/>
            </w:tcBorders>
            <w:noWrap/>
            <w:vAlign w:val="center"/>
          </w:tcPr>
          <w:p w14:paraId="294CC2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45.76</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7A9E0F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4A17AE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13.76</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25FB94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1.94</w:t>
            </w:r>
          </w:p>
        </w:tc>
      </w:tr>
      <w:tr w14:paraId="5D58C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ign w:val="center"/>
          </w:tcPr>
          <w:p w14:paraId="35CD06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常绿阔叶灌丛</w:t>
            </w:r>
          </w:p>
        </w:tc>
        <w:tc>
          <w:tcPr>
            <w:tcW w:w="1456" w:type="dxa"/>
            <w:tcBorders>
              <w:top w:val="single" w:color="000000" w:sz="4" w:space="0"/>
              <w:left w:val="single" w:color="000000" w:sz="4" w:space="0"/>
              <w:bottom w:val="single" w:color="000000" w:sz="4" w:space="0"/>
              <w:right w:val="single" w:color="000000" w:sz="4" w:space="0"/>
            </w:tcBorders>
            <w:noWrap/>
            <w:vAlign w:val="center"/>
          </w:tcPr>
          <w:p w14:paraId="12A5E4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3.73</w:t>
            </w:r>
          </w:p>
        </w:tc>
        <w:tc>
          <w:tcPr>
            <w:tcW w:w="1812" w:type="dxa"/>
            <w:tcBorders>
              <w:top w:val="single" w:color="000000" w:sz="4" w:space="0"/>
              <w:left w:val="single" w:color="000000" w:sz="4" w:space="0"/>
              <w:bottom w:val="single" w:color="000000" w:sz="4" w:space="0"/>
              <w:right w:val="single" w:color="000000" w:sz="4" w:space="0"/>
            </w:tcBorders>
            <w:noWrap/>
            <w:vAlign w:val="center"/>
          </w:tcPr>
          <w:p w14:paraId="02489A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44.33</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557947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21601F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21.98</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5A727B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3.11</w:t>
            </w:r>
          </w:p>
        </w:tc>
      </w:tr>
      <w:tr w14:paraId="3E981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ign w:val="center"/>
          </w:tcPr>
          <w:p w14:paraId="2D13DC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落叶阔叶灌丛</w:t>
            </w:r>
          </w:p>
        </w:tc>
        <w:tc>
          <w:tcPr>
            <w:tcW w:w="1456" w:type="dxa"/>
            <w:tcBorders>
              <w:top w:val="single" w:color="000000" w:sz="4" w:space="0"/>
              <w:left w:val="single" w:color="000000" w:sz="4" w:space="0"/>
              <w:bottom w:val="single" w:color="000000" w:sz="4" w:space="0"/>
              <w:right w:val="single" w:color="000000" w:sz="4" w:space="0"/>
            </w:tcBorders>
            <w:noWrap/>
            <w:vAlign w:val="center"/>
          </w:tcPr>
          <w:p w14:paraId="423A05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6.73</w:t>
            </w:r>
          </w:p>
        </w:tc>
        <w:tc>
          <w:tcPr>
            <w:tcW w:w="1812" w:type="dxa"/>
            <w:tcBorders>
              <w:top w:val="single" w:color="000000" w:sz="4" w:space="0"/>
              <w:left w:val="single" w:color="000000" w:sz="4" w:space="0"/>
              <w:bottom w:val="single" w:color="000000" w:sz="4" w:space="0"/>
              <w:right w:val="single" w:color="000000" w:sz="4" w:space="0"/>
            </w:tcBorders>
            <w:noWrap/>
            <w:vAlign w:val="center"/>
          </w:tcPr>
          <w:p w14:paraId="09F951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63.89</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28E69A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733D68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35.31</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7EEF5C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4.99</w:t>
            </w:r>
          </w:p>
        </w:tc>
      </w:tr>
      <w:tr w14:paraId="52E1A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ign w:val="center"/>
          </w:tcPr>
          <w:p w14:paraId="225580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草丛</w:t>
            </w:r>
          </w:p>
        </w:tc>
        <w:tc>
          <w:tcPr>
            <w:tcW w:w="1456" w:type="dxa"/>
            <w:tcBorders>
              <w:top w:val="single" w:color="000000" w:sz="4" w:space="0"/>
              <w:left w:val="single" w:color="000000" w:sz="4" w:space="0"/>
              <w:bottom w:val="single" w:color="000000" w:sz="4" w:space="0"/>
              <w:right w:val="single" w:color="000000" w:sz="4" w:space="0"/>
            </w:tcBorders>
            <w:noWrap/>
            <w:vAlign w:val="center"/>
          </w:tcPr>
          <w:p w14:paraId="7CEA99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1812" w:type="dxa"/>
            <w:tcBorders>
              <w:top w:val="single" w:color="000000" w:sz="4" w:space="0"/>
              <w:left w:val="single" w:color="000000" w:sz="4" w:space="0"/>
              <w:bottom w:val="single" w:color="000000" w:sz="4" w:space="0"/>
              <w:right w:val="single" w:color="000000" w:sz="4" w:space="0"/>
            </w:tcBorders>
            <w:noWrap/>
            <w:vAlign w:val="center"/>
          </w:tcPr>
          <w:p w14:paraId="5B2B6B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567666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29B1E5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6E939E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0.28</w:t>
            </w:r>
          </w:p>
        </w:tc>
      </w:tr>
      <w:tr w14:paraId="782C5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ign w:val="center"/>
          </w:tcPr>
          <w:p w14:paraId="1DE75B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耕地</w:t>
            </w:r>
          </w:p>
        </w:tc>
        <w:tc>
          <w:tcPr>
            <w:tcW w:w="1456" w:type="dxa"/>
            <w:tcBorders>
              <w:top w:val="single" w:color="000000" w:sz="4" w:space="0"/>
              <w:left w:val="single" w:color="000000" w:sz="4" w:space="0"/>
              <w:bottom w:val="single" w:color="000000" w:sz="4" w:space="0"/>
              <w:right w:val="single" w:color="000000" w:sz="4" w:space="0"/>
            </w:tcBorders>
            <w:noWrap/>
            <w:vAlign w:val="center"/>
          </w:tcPr>
          <w:p w14:paraId="73BD92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30.13</w:t>
            </w:r>
          </w:p>
        </w:tc>
        <w:tc>
          <w:tcPr>
            <w:tcW w:w="1812" w:type="dxa"/>
            <w:tcBorders>
              <w:top w:val="single" w:color="000000" w:sz="4" w:space="0"/>
              <w:left w:val="single" w:color="000000" w:sz="4" w:space="0"/>
              <w:bottom w:val="single" w:color="000000" w:sz="4" w:space="0"/>
              <w:right w:val="single" w:color="000000" w:sz="4" w:space="0"/>
            </w:tcBorders>
            <w:noWrap/>
            <w:vAlign w:val="center"/>
          </w:tcPr>
          <w:p w14:paraId="4F7111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180.78</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5866A9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4.08</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1DF006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216.94</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2EC706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30.66</w:t>
            </w:r>
          </w:p>
        </w:tc>
      </w:tr>
      <w:tr w14:paraId="0ECF3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ign w:val="center"/>
          </w:tcPr>
          <w:p w14:paraId="7A4E51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水域</w:t>
            </w:r>
          </w:p>
        </w:tc>
        <w:tc>
          <w:tcPr>
            <w:tcW w:w="1456" w:type="dxa"/>
            <w:tcBorders>
              <w:top w:val="single" w:color="000000" w:sz="4" w:space="0"/>
              <w:left w:val="single" w:color="000000" w:sz="4" w:space="0"/>
              <w:bottom w:val="single" w:color="000000" w:sz="4" w:space="0"/>
              <w:right w:val="single" w:color="000000" w:sz="4" w:space="0"/>
            </w:tcBorders>
            <w:noWrap/>
            <w:vAlign w:val="center"/>
          </w:tcPr>
          <w:p w14:paraId="207382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9.47</w:t>
            </w:r>
          </w:p>
        </w:tc>
        <w:tc>
          <w:tcPr>
            <w:tcW w:w="1812" w:type="dxa"/>
            <w:tcBorders>
              <w:top w:val="single" w:color="000000" w:sz="4" w:space="0"/>
              <w:left w:val="single" w:color="000000" w:sz="4" w:space="0"/>
              <w:bottom w:val="single" w:color="000000" w:sz="4" w:space="0"/>
              <w:right w:val="single" w:color="000000" w:sz="4" w:space="0"/>
            </w:tcBorders>
            <w:noWrap/>
            <w:vAlign w:val="center"/>
          </w:tcPr>
          <w:p w14:paraId="087F8A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11.36</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777B0A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0.26</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293202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4.74</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2BB707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0.67</w:t>
            </w:r>
          </w:p>
        </w:tc>
      </w:tr>
      <w:tr w14:paraId="1874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ign w:val="center"/>
          </w:tcPr>
          <w:p w14:paraId="729321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其他无植被地段</w:t>
            </w:r>
          </w:p>
        </w:tc>
        <w:tc>
          <w:tcPr>
            <w:tcW w:w="1456" w:type="dxa"/>
            <w:tcBorders>
              <w:top w:val="single" w:color="000000" w:sz="4" w:space="0"/>
              <w:left w:val="single" w:color="000000" w:sz="4" w:space="0"/>
              <w:bottom w:val="single" w:color="000000" w:sz="4" w:space="0"/>
              <w:right w:val="single" w:color="000000" w:sz="4" w:space="0"/>
            </w:tcBorders>
            <w:noWrap/>
            <w:vAlign w:val="center"/>
          </w:tcPr>
          <w:p w14:paraId="772A08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1812" w:type="dxa"/>
            <w:tcBorders>
              <w:top w:val="single" w:color="000000" w:sz="4" w:space="0"/>
              <w:left w:val="single" w:color="000000" w:sz="4" w:space="0"/>
              <w:bottom w:val="single" w:color="000000" w:sz="4" w:space="0"/>
              <w:right w:val="single" w:color="000000" w:sz="4" w:space="0"/>
            </w:tcBorders>
            <w:noWrap/>
            <w:vAlign w:val="center"/>
          </w:tcPr>
          <w:p w14:paraId="6E2381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07A842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18D6D3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54E691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68239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ign w:val="center"/>
          </w:tcPr>
          <w:p w14:paraId="273A69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456" w:type="dxa"/>
            <w:tcBorders>
              <w:top w:val="single" w:color="000000" w:sz="4" w:space="0"/>
              <w:left w:val="single" w:color="000000" w:sz="4" w:space="0"/>
              <w:bottom w:val="single" w:color="000000" w:sz="4" w:space="0"/>
              <w:right w:val="single" w:color="000000" w:sz="4" w:space="0"/>
            </w:tcBorders>
            <w:noWrap/>
            <w:vAlign w:val="center"/>
          </w:tcPr>
          <w:p w14:paraId="5CD0A0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110.13</w:t>
            </w:r>
          </w:p>
        </w:tc>
        <w:tc>
          <w:tcPr>
            <w:tcW w:w="1812" w:type="dxa"/>
            <w:tcBorders>
              <w:top w:val="single" w:color="000000" w:sz="4" w:space="0"/>
              <w:left w:val="single" w:color="000000" w:sz="4" w:space="0"/>
              <w:bottom w:val="single" w:color="000000" w:sz="4" w:space="0"/>
              <w:right w:val="single" w:color="000000" w:sz="4" w:space="0"/>
            </w:tcBorders>
            <w:noWrap/>
            <w:vAlign w:val="center"/>
          </w:tcPr>
          <w:p w14:paraId="639CBB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4432.32</w:t>
            </w:r>
          </w:p>
        </w:tc>
        <w:tc>
          <w:tcPr>
            <w:tcW w:w="1250" w:type="dxa"/>
            <w:tcBorders>
              <w:top w:val="single" w:color="000000" w:sz="4" w:space="0"/>
              <w:left w:val="single" w:color="000000" w:sz="4" w:space="0"/>
              <w:bottom w:val="single" w:color="000000" w:sz="4" w:space="0"/>
              <w:right w:val="single" w:color="000000" w:sz="4" w:space="0"/>
            </w:tcBorders>
            <w:noWrap/>
            <w:vAlign w:val="center"/>
          </w:tcPr>
          <w:p w14:paraId="06974C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100.00</w:t>
            </w:r>
          </w:p>
        </w:tc>
        <w:tc>
          <w:tcPr>
            <w:tcW w:w="1769" w:type="dxa"/>
            <w:tcBorders>
              <w:top w:val="single" w:color="000000" w:sz="4" w:space="0"/>
              <w:left w:val="single" w:color="000000" w:sz="4" w:space="0"/>
              <w:bottom w:val="single" w:color="000000" w:sz="4" w:space="0"/>
              <w:right w:val="single" w:color="000000" w:sz="4" w:space="0"/>
            </w:tcBorders>
            <w:noWrap/>
            <w:vAlign w:val="center"/>
          </w:tcPr>
          <w:p w14:paraId="15755A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707.50</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7D00A4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100.00</w:t>
            </w:r>
          </w:p>
        </w:tc>
      </w:tr>
      <w:tr w14:paraId="15E35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0"/>
            <w:vAlign w:val="center"/>
          </w:tcPr>
          <w:p w14:paraId="314388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平均净生产力</w:t>
            </w:r>
          </w:p>
        </w:tc>
        <w:tc>
          <w:tcPr>
            <w:tcW w:w="1456" w:type="dxa"/>
            <w:tcBorders>
              <w:top w:val="single" w:color="000000" w:sz="4" w:space="0"/>
              <w:left w:val="single" w:color="000000" w:sz="4" w:space="0"/>
              <w:bottom w:val="single" w:color="000000" w:sz="4" w:space="0"/>
              <w:right w:val="single" w:color="000000" w:sz="4" w:space="0"/>
            </w:tcBorders>
            <w:noWrap w:val="0"/>
            <w:vAlign w:val="center"/>
          </w:tcPr>
          <w:p w14:paraId="225B85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812" w:type="dxa"/>
            <w:tcBorders>
              <w:top w:val="single" w:color="000000" w:sz="4" w:space="0"/>
              <w:left w:val="single" w:color="000000" w:sz="4" w:space="0"/>
              <w:bottom w:val="single" w:color="000000" w:sz="4" w:space="0"/>
              <w:right w:val="single" w:color="000000" w:sz="4" w:space="0"/>
            </w:tcBorders>
            <w:noWrap w:val="0"/>
            <w:vAlign w:val="center"/>
          </w:tcPr>
          <w:p w14:paraId="3676C9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1229FE4">
            <w:pPr>
              <w:jc w:val="center"/>
              <w:rPr>
                <w:rFonts w:hint="default" w:ascii="Times New Roman" w:hAnsi="Times New Roman" w:eastAsia="宋体" w:cs="Times New Roman"/>
                <w:i w:val="0"/>
                <w:iCs w:val="0"/>
                <w:color w:val="auto"/>
                <w:sz w:val="21"/>
                <w:szCs w:val="21"/>
                <w:u w:val="none"/>
              </w:rPr>
            </w:pPr>
          </w:p>
        </w:tc>
        <w:tc>
          <w:tcPr>
            <w:tcW w:w="1769" w:type="dxa"/>
            <w:tcBorders>
              <w:top w:val="single" w:color="000000" w:sz="4" w:space="0"/>
              <w:left w:val="single" w:color="000000" w:sz="4" w:space="0"/>
              <w:bottom w:val="single" w:color="000000" w:sz="4" w:space="0"/>
              <w:right w:val="single" w:color="000000" w:sz="4" w:space="0"/>
            </w:tcBorders>
            <w:noWrap w:val="0"/>
            <w:vAlign w:val="center"/>
          </w:tcPr>
          <w:p w14:paraId="6F4A18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6.42tc/(hm</w:t>
            </w:r>
            <w:r>
              <w:rPr>
                <w:rFonts w:hint="default" w:ascii="Times New Roman" w:hAnsi="Times New Roman" w:eastAsia="宋体" w:cs="Times New Roman"/>
                <w:i w:val="0"/>
                <w:iCs w:val="0"/>
                <w:color w:val="000000"/>
                <w:kern w:val="0"/>
                <w:sz w:val="22"/>
                <w:szCs w:val="22"/>
                <w:u w:val="none"/>
                <w:vertAlign w:val="superscript"/>
                <w:lang w:val="en-US" w:eastAsia="zh-CN" w:bidi="ar"/>
              </w:rPr>
              <w:t>2</w:t>
            </w:r>
            <w:r>
              <w:rPr>
                <w:rFonts w:hint="default" w:ascii="Times New Roman" w:hAnsi="Times New Roman" w:eastAsia="宋体" w:cs="Times New Roman"/>
                <w:i w:val="0"/>
                <w:iCs w:val="0"/>
                <w:color w:val="000000"/>
                <w:kern w:val="0"/>
                <w:sz w:val="22"/>
                <w:szCs w:val="22"/>
                <w:u w:val="none"/>
                <w:lang w:val="en-US" w:eastAsia="zh-CN" w:bidi="ar"/>
              </w:rPr>
              <w:t>·a)</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1CBB3210">
            <w:pPr>
              <w:jc w:val="center"/>
              <w:rPr>
                <w:rFonts w:hint="default" w:ascii="Times New Roman" w:hAnsi="Times New Roman" w:eastAsia="宋体" w:cs="Times New Roman"/>
                <w:i w:val="0"/>
                <w:iCs w:val="0"/>
                <w:color w:val="auto"/>
                <w:sz w:val="21"/>
                <w:szCs w:val="21"/>
                <w:u w:val="none"/>
              </w:rPr>
            </w:pPr>
          </w:p>
        </w:tc>
      </w:tr>
      <w:tr w14:paraId="381FB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32" w:type="pct"/>
            <w:tcBorders>
              <w:top w:val="single" w:color="000000" w:sz="4" w:space="0"/>
              <w:left w:val="single" w:color="000000" w:sz="4" w:space="0"/>
              <w:bottom w:val="single" w:color="000000" w:sz="4" w:space="0"/>
              <w:right w:val="single" w:color="000000" w:sz="4" w:space="0"/>
            </w:tcBorders>
            <w:noWrap w:val="0"/>
            <w:vAlign w:val="center"/>
          </w:tcPr>
          <w:p w14:paraId="16719A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评价标准</w:t>
            </w:r>
          </w:p>
        </w:tc>
        <w:tc>
          <w:tcPr>
            <w:tcW w:w="812" w:type="pct"/>
            <w:tcBorders>
              <w:top w:val="single" w:color="000000" w:sz="4" w:space="0"/>
              <w:left w:val="single" w:color="000000" w:sz="4" w:space="0"/>
              <w:bottom w:val="single" w:color="000000" w:sz="4" w:space="0"/>
              <w:right w:val="single" w:color="000000" w:sz="4" w:space="0"/>
            </w:tcBorders>
            <w:noWrap w:val="0"/>
            <w:vAlign w:val="center"/>
          </w:tcPr>
          <w:p w14:paraId="2852F7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19" w:type="pct"/>
            <w:tcBorders>
              <w:top w:val="single" w:color="000000" w:sz="4" w:space="0"/>
              <w:left w:val="single" w:color="000000" w:sz="4" w:space="0"/>
              <w:bottom w:val="single" w:color="000000" w:sz="4" w:space="0"/>
              <w:right w:val="single" w:color="000000" w:sz="4" w:space="0"/>
            </w:tcBorders>
            <w:noWrap w:val="0"/>
            <w:vAlign w:val="center"/>
          </w:tcPr>
          <w:p w14:paraId="58DC67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noWrap w:val="0"/>
            <w:vAlign w:val="center"/>
          </w:tcPr>
          <w:p w14:paraId="5BC0EE47">
            <w:pPr>
              <w:jc w:val="center"/>
              <w:rPr>
                <w:rFonts w:hint="default" w:ascii="Times New Roman" w:hAnsi="Times New Roman" w:eastAsia="宋体" w:cs="Times New Roman"/>
                <w:i w:val="0"/>
                <w:iCs w:val="0"/>
                <w:color w:val="auto"/>
                <w:sz w:val="21"/>
                <w:szCs w:val="21"/>
                <w:u w:val="none"/>
              </w:rPr>
            </w:pPr>
          </w:p>
        </w:tc>
        <w:tc>
          <w:tcPr>
            <w:tcW w:w="995" w:type="pct"/>
            <w:tcBorders>
              <w:top w:val="single" w:color="000000" w:sz="4" w:space="0"/>
              <w:left w:val="single" w:color="000000" w:sz="4" w:space="0"/>
              <w:bottom w:val="single" w:color="000000" w:sz="4" w:space="0"/>
              <w:right w:val="single" w:color="000000" w:sz="4" w:space="0"/>
            </w:tcBorders>
            <w:noWrap w:val="0"/>
            <w:vAlign w:val="center"/>
          </w:tcPr>
          <w:p w14:paraId="01F8D6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7.2tc/(hm</w:t>
            </w:r>
            <w:r>
              <w:rPr>
                <w:rStyle w:val="128"/>
                <w:rFonts w:hint="default" w:ascii="Times New Roman" w:hAnsi="Times New Roman" w:eastAsia="宋体" w:cs="Times New Roman"/>
                <w:color w:val="auto"/>
                <w:sz w:val="21"/>
                <w:szCs w:val="21"/>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·a)</w:t>
            </w:r>
          </w:p>
        </w:tc>
        <w:tc>
          <w:tcPr>
            <w:tcW w:w="535" w:type="pct"/>
            <w:tcBorders>
              <w:top w:val="single" w:color="000000" w:sz="4" w:space="0"/>
              <w:left w:val="single" w:color="000000" w:sz="4" w:space="0"/>
              <w:bottom w:val="single" w:color="000000" w:sz="4" w:space="0"/>
              <w:right w:val="single" w:color="000000" w:sz="4" w:space="0"/>
            </w:tcBorders>
            <w:noWrap w:val="0"/>
            <w:vAlign w:val="center"/>
          </w:tcPr>
          <w:p w14:paraId="374229C4">
            <w:pPr>
              <w:jc w:val="center"/>
              <w:rPr>
                <w:rFonts w:hint="default" w:ascii="Times New Roman" w:hAnsi="Times New Roman" w:eastAsia="宋体" w:cs="Times New Roman"/>
                <w:i w:val="0"/>
                <w:iCs w:val="0"/>
                <w:color w:val="auto"/>
                <w:sz w:val="21"/>
                <w:szCs w:val="21"/>
                <w:u w:val="none"/>
              </w:rPr>
            </w:pPr>
          </w:p>
        </w:tc>
      </w:tr>
    </w:tbl>
    <w:p w14:paraId="1A2159FB">
      <w:pPr>
        <w:snapToGrid w:val="0"/>
        <w:spacing w:line="240" w:lineRule="auto"/>
        <w:ind w:firstLine="522"/>
        <w:rPr>
          <w:rFonts w:hint="default" w:ascii="Times New Roman" w:hAnsi="Times New Roman" w:eastAsia="宋体" w:cs="Times New Roman"/>
          <w:color w:val="auto"/>
          <w:sz w:val="26"/>
          <w:szCs w:val="26"/>
        </w:rPr>
      </w:pPr>
    </w:p>
    <w:p w14:paraId="20AFADFA">
      <w:pPr>
        <w:spacing w:line="480" w:lineRule="exact"/>
        <w:ind w:firstLine="520" w:firstLineChars="2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rPr>
        <w:t>由</w:t>
      </w:r>
      <w:r>
        <w:rPr>
          <w:rFonts w:hint="default" w:ascii="Times New Roman" w:hAnsi="Times New Roman" w:eastAsia="宋体" w:cs="Times New Roman"/>
          <w:color w:val="auto"/>
          <w:sz w:val="26"/>
          <w:szCs w:val="26"/>
          <w:lang w:val="en-US" w:eastAsia="zh-CN"/>
        </w:rPr>
        <w:t>上表可得，本次评价范围内总生物量为4432.32t，其中暖性针叶林生物量占的比例最大，占总生物量的72.54%；</w:t>
      </w:r>
      <w:r>
        <w:rPr>
          <w:rFonts w:hint="default" w:ascii="Times New Roman" w:hAnsi="Times New Roman" w:eastAsia="宋体" w:cs="Times New Roman"/>
          <w:color w:val="auto"/>
          <w:sz w:val="26"/>
          <w:szCs w:val="26"/>
        </w:rPr>
        <w:t>其次是</w:t>
      </w:r>
      <w:r>
        <w:rPr>
          <w:rFonts w:hint="default" w:ascii="Times New Roman" w:hAnsi="Times New Roman" w:eastAsia="宋体" w:cs="Times New Roman"/>
          <w:color w:val="auto"/>
          <w:sz w:val="26"/>
          <w:szCs w:val="26"/>
          <w:lang w:val="en-US" w:eastAsia="zh-CN"/>
        </w:rPr>
        <w:t>落叶阔叶林</w:t>
      </w:r>
      <w:r>
        <w:rPr>
          <w:rFonts w:hint="default" w:ascii="Times New Roman" w:hAnsi="Times New Roman" w:eastAsia="宋体" w:cs="Times New Roman"/>
          <w:color w:val="auto"/>
          <w:sz w:val="26"/>
          <w:szCs w:val="26"/>
        </w:rPr>
        <w:t>，占总生物量的</w:t>
      </w:r>
      <w:r>
        <w:rPr>
          <w:rFonts w:hint="default" w:ascii="Times New Roman" w:hAnsi="Times New Roman" w:eastAsia="宋体" w:cs="Times New Roman"/>
          <w:color w:val="auto"/>
          <w:sz w:val="26"/>
          <w:szCs w:val="26"/>
          <w:lang w:val="en-US" w:eastAsia="zh-CN"/>
        </w:rPr>
        <w:t>13.22</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草丛</w:t>
      </w:r>
      <w:r>
        <w:rPr>
          <w:rFonts w:hint="default" w:ascii="Times New Roman" w:hAnsi="Times New Roman" w:eastAsia="宋体" w:cs="Times New Roman"/>
          <w:color w:val="auto"/>
          <w:sz w:val="26"/>
          <w:szCs w:val="26"/>
        </w:rPr>
        <w:t>生物量占比最小，为0.0</w:t>
      </w:r>
      <w:r>
        <w:rPr>
          <w:rFonts w:hint="default" w:ascii="Times New Roman" w:hAnsi="Times New Roman" w:eastAsia="宋体" w:cs="Times New Roman"/>
          <w:color w:val="auto"/>
          <w:sz w:val="26"/>
          <w:szCs w:val="26"/>
          <w:lang w:val="en-US" w:eastAsia="zh-CN"/>
        </w:rPr>
        <w:t>4</w:t>
      </w:r>
      <w:r>
        <w:rPr>
          <w:rFonts w:hint="default" w:ascii="Times New Roman" w:hAnsi="Times New Roman" w:eastAsia="宋体" w:cs="Times New Roman"/>
          <w:color w:val="auto"/>
          <w:sz w:val="26"/>
          <w:szCs w:val="26"/>
        </w:rPr>
        <w:t>%。对于平均生产力而言，整个评价范围内总生产力为</w:t>
      </w:r>
      <w:r>
        <w:rPr>
          <w:rFonts w:hint="default" w:ascii="Times New Roman" w:hAnsi="Times New Roman" w:eastAsia="宋体" w:cs="Times New Roman"/>
          <w:color w:val="auto"/>
          <w:sz w:val="26"/>
          <w:szCs w:val="26"/>
          <w:lang w:val="en-US" w:eastAsia="zh-CN"/>
        </w:rPr>
        <w:t>707.50</w:t>
      </w:r>
      <w:r>
        <w:rPr>
          <w:rFonts w:hint="default" w:ascii="Times New Roman" w:hAnsi="Times New Roman" w:eastAsia="宋体" w:cs="Times New Roman"/>
          <w:color w:val="auto"/>
          <w:sz w:val="26"/>
          <w:szCs w:val="26"/>
        </w:rPr>
        <w:t>tC/a，平均净生产力</w:t>
      </w:r>
      <w:r>
        <w:rPr>
          <w:rFonts w:hint="default" w:ascii="Times New Roman" w:hAnsi="Times New Roman" w:eastAsia="宋体" w:cs="Times New Roman"/>
          <w:color w:val="auto"/>
          <w:sz w:val="26"/>
          <w:szCs w:val="26"/>
          <w:lang w:val="en-US" w:eastAsia="zh-CN"/>
        </w:rPr>
        <w:t>6.42</w:t>
      </w:r>
      <w:r>
        <w:rPr>
          <w:rFonts w:hint="default" w:ascii="Times New Roman" w:hAnsi="Times New Roman" w:eastAsia="宋体" w:cs="Times New Roman"/>
          <w:color w:val="auto"/>
          <w:sz w:val="26"/>
          <w:szCs w:val="26"/>
        </w:rPr>
        <w:t>tC/</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hm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·a</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，略</w:t>
      </w:r>
      <w:r>
        <w:rPr>
          <w:rFonts w:hint="default" w:ascii="Times New Roman" w:hAnsi="Times New Roman" w:eastAsia="宋体" w:cs="Times New Roman"/>
          <w:color w:val="auto"/>
          <w:sz w:val="26"/>
          <w:szCs w:val="26"/>
          <w:lang w:val="en-US" w:eastAsia="zh-CN"/>
        </w:rPr>
        <w:t>低</w:t>
      </w:r>
      <w:r>
        <w:rPr>
          <w:rFonts w:hint="default" w:ascii="Times New Roman" w:hAnsi="Times New Roman" w:eastAsia="宋体" w:cs="Times New Roman"/>
          <w:color w:val="auto"/>
          <w:sz w:val="26"/>
          <w:szCs w:val="26"/>
        </w:rPr>
        <w:t>于全球陆地平均水平7.20tc/</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hm</w:t>
      </w:r>
      <w:r>
        <w:rPr>
          <w:rFonts w:hint="default" w:ascii="Times New Roman" w:hAnsi="Times New Roman" w:eastAsia="宋体" w:cs="Times New Roman"/>
          <w:strike w:val="0"/>
          <w:dstrike w:val="0"/>
          <w:color w:val="auto"/>
          <w:sz w:val="26"/>
          <w:szCs w:val="26"/>
          <w:vertAlign w:val="superscript"/>
        </w:rPr>
        <w:t>2</w:t>
      </w:r>
      <w:r>
        <w:rPr>
          <w:rFonts w:hint="default" w:ascii="Times New Roman" w:hAnsi="Times New Roman" w:eastAsia="宋体" w:cs="Times New Roman"/>
          <w:color w:val="auto"/>
          <w:sz w:val="26"/>
          <w:szCs w:val="26"/>
        </w:rPr>
        <w:t>·a</w:t>
      </w:r>
      <w:r>
        <w:rPr>
          <w:rFonts w:hint="default" w:ascii="Times New Roman" w:hAnsi="Times New Roman" w:eastAsia="宋体" w:cs="Times New Roman"/>
          <w:color w:val="auto"/>
          <w:sz w:val="26"/>
          <w:szCs w:val="26"/>
          <w:lang w:eastAsia="zh-CN"/>
        </w:rPr>
        <w:t>）。</w:t>
      </w:r>
    </w:p>
    <w:p w14:paraId="0D56D731">
      <w:pPr>
        <w:adjustRightInd w:val="0"/>
        <w:snapToGrid w:val="0"/>
        <w:spacing w:line="500" w:lineRule="exact"/>
        <w:outlineLvl w:val="2"/>
        <w:rPr>
          <w:rFonts w:hint="default" w:ascii="Times New Roman" w:hAnsi="Times New Roman" w:eastAsia="宋体" w:cs="Times New Roman"/>
          <w:b/>
          <w:color w:val="auto"/>
          <w:sz w:val="26"/>
          <w:szCs w:val="26"/>
          <w:lang w:val="en-US" w:eastAsia="zh-CN"/>
        </w:rPr>
      </w:pPr>
      <w:r>
        <w:rPr>
          <w:rFonts w:hint="default" w:ascii="Times New Roman" w:hAnsi="Times New Roman" w:eastAsia="宋体" w:cs="Times New Roman"/>
          <w:b/>
          <w:color w:val="auto"/>
          <w:sz w:val="26"/>
          <w:szCs w:val="26"/>
          <w:lang w:val="en-US" w:eastAsia="zh-CN"/>
        </w:rPr>
        <w:t>4.3.4景观格局现状</w:t>
      </w:r>
    </w:p>
    <w:p w14:paraId="543A1F59">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景观生态学主要研究宏观尺度上景观类型的空间格局和生态过程的相互作用及其动态变化特征。景观格局是</w:t>
      </w:r>
      <w:r>
        <w:rPr>
          <w:rFonts w:hint="default" w:ascii="Times New Roman" w:hAnsi="Times New Roman" w:eastAsia="宋体" w:cs="Times New Roman"/>
          <w:color w:val="auto"/>
          <w:sz w:val="26"/>
          <w:szCs w:val="26"/>
          <w:shd w:val="clear" w:fill="FFFFFF"/>
          <w:lang w:eastAsia="zh-CN"/>
        </w:rPr>
        <w:t>指</w:t>
      </w:r>
      <w:r>
        <w:rPr>
          <w:rFonts w:hint="default" w:ascii="Times New Roman" w:hAnsi="Times New Roman" w:eastAsia="宋体" w:cs="Times New Roman"/>
          <w:color w:val="auto"/>
          <w:sz w:val="26"/>
          <w:szCs w:val="26"/>
        </w:rPr>
        <w:t>大小和形状不一的景观斑块在空间上的排列，是各种生态过程在不同尺度上综合作用的结果。景观格局变化对生物多样性产生直接而强烈影响，其主要原因是生境丧失和破碎化。</w:t>
      </w:r>
    </w:p>
    <w:p w14:paraId="0AD1DDAB">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评价采用景观指数对评价区域内的景观生态结构进行了分析。景观指数是高度浓缩的景观格局信息，它能够反映区域内景观结构组成和空间配置某些方面的定量指标。本评价选取如下表的指数进行分析，评价结果详见下表。</w:t>
      </w:r>
    </w:p>
    <w:p w14:paraId="7749A3A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6"/>
          <w:szCs w:val="26"/>
          <w:highlight w:val="none"/>
          <w:lang w:val="en-US" w:eastAsia="zh-CN"/>
        </w:rPr>
      </w:pPr>
      <w:r>
        <w:rPr>
          <w:rFonts w:hint="default" w:ascii="Times New Roman" w:hAnsi="Times New Roman" w:eastAsia="宋体" w:cs="Times New Roman"/>
          <w:b/>
          <w:bCs w:val="0"/>
          <w:color w:val="auto"/>
          <w:sz w:val="26"/>
          <w:szCs w:val="26"/>
          <w:highlight w:val="none"/>
          <w:lang w:val="en-US" w:eastAsia="zh-CN"/>
        </w:rPr>
        <w:t>表4.3-</w:t>
      </w:r>
      <w:r>
        <w:rPr>
          <w:rFonts w:hint="eastAsia" w:ascii="Times New Roman" w:hAnsi="Times New Roman" w:cs="Times New Roman"/>
          <w:b/>
          <w:bCs w:val="0"/>
          <w:color w:val="auto"/>
          <w:sz w:val="26"/>
          <w:szCs w:val="26"/>
          <w:highlight w:val="none"/>
          <w:lang w:val="en-US" w:eastAsia="zh-CN"/>
        </w:rPr>
        <w:t>9</w:t>
      </w:r>
      <w:r>
        <w:rPr>
          <w:rFonts w:hint="default" w:ascii="Times New Roman" w:hAnsi="Times New Roman" w:eastAsia="宋体" w:cs="Times New Roman"/>
          <w:b/>
          <w:bCs w:val="0"/>
          <w:color w:val="auto"/>
          <w:sz w:val="26"/>
          <w:szCs w:val="26"/>
          <w:highlight w:val="none"/>
          <w:lang w:val="en-US" w:eastAsia="zh-CN"/>
        </w:rPr>
        <w:t xml:space="preserve">   景观指数</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45"/>
        <w:gridCol w:w="1657"/>
        <w:gridCol w:w="1222"/>
        <w:gridCol w:w="3060"/>
        <w:gridCol w:w="2455"/>
      </w:tblGrid>
      <w:tr w14:paraId="3EC8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52" w:type="pct"/>
            <w:noWrap w:val="0"/>
            <w:vAlign w:val="center"/>
          </w:tcPr>
          <w:p w14:paraId="3AEE9A9D">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编号</w:t>
            </w:r>
          </w:p>
        </w:tc>
        <w:tc>
          <w:tcPr>
            <w:tcW w:w="937" w:type="pct"/>
            <w:noWrap w:val="0"/>
            <w:vAlign w:val="center"/>
          </w:tcPr>
          <w:p w14:paraId="4EC57FDB">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景观指数</w:t>
            </w:r>
          </w:p>
        </w:tc>
        <w:tc>
          <w:tcPr>
            <w:tcW w:w="691" w:type="pct"/>
            <w:noWrap w:val="0"/>
            <w:vAlign w:val="center"/>
          </w:tcPr>
          <w:p w14:paraId="3A43ACC3">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值域</w:t>
            </w:r>
          </w:p>
        </w:tc>
        <w:tc>
          <w:tcPr>
            <w:tcW w:w="1730" w:type="pct"/>
            <w:noWrap w:val="0"/>
            <w:vAlign w:val="center"/>
          </w:tcPr>
          <w:p w14:paraId="79A1FB82">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表达式</w:t>
            </w:r>
          </w:p>
        </w:tc>
        <w:tc>
          <w:tcPr>
            <w:tcW w:w="1388" w:type="pct"/>
            <w:noWrap w:val="0"/>
            <w:vAlign w:val="center"/>
          </w:tcPr>
          <w:p w14:paraId="576A5F50">
            <w:pPr>
              <w:jc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含义</w:t>
            </w:r>
          </w:p>
        </w:tc>
      </w:tr>
      <w:tr w14:paraId="52F3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2" w:type="pct"/>
            <w:noWrap w:val="0"/>
            <w:vAlign w:val="center"/>
          </w:tcPr>
          <w:p w14:paraId="56C8F1CF">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w:t>
            </w:r>
          </w:p>
        </w:tc>
        <w:tc>
          <w:tcPr>
            <w:tcW w:w="937" w:type="pct"/>
            <w:noWrap w:val="0"/>
            <w:vAlign w:val="center"/>
          </w:tcPr>
          <w:p w14:paraId="368CC032">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斑块类型面积 CA（hm</w:t>
            </w:r>
            <w:r>
              <w:rPr>
                <w:rFonts w:hint="default" w:ascii="Times New Roman" w:hAnsi="Times New Roman" w:eastAsia="宋体" w:cs="Times New Roman"/>
                <w:color w:val="auto"/>
                <w:sz w:val="22"/>
                <w:szCs w:val="22"/>
                <w:vertAlign w:val="superscript"/>
              </w:rPr>
              <w:t>2</w:t>
            </w:r>
            <w:r>
              <w:rPr>
                <w:rFonts w:hint="default" w:ascii="Times New Roman" w:hAnsi="Times New Roman" w:eastAsia="宋体" w:cs="Times New Roman"/>
                <w:color w:val="auto"/>
                <w:sz w:val="22"/>
                <w:szCs w:val="22"/>
              </w:rPr>
              <w:t>）</w:t>
            </w:r>
          </w:p>
        </w:tc>
        <w:tc>
          <w:tcPr>
            <w:tcW w:w="691" w:type="pct"/>
            <w:noWrap w:val="0"/>
            <w:vAlign w:val="center"/>
          </w:tcPr>
          <w:p w14:paraId="01F8A622">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CA＞0</w:t>
            </w:r>
          </w:p>
        </w:tc>
        <w:tc>
          <w:tcPr>
            <w:tcW w:w="1730" w:type="pct"/>
            <w:noWrap w:val="0"/>
            <w:vAlign w:val="center"/>
          </w:tcPr>
          <w:p w14:paraId="3057D056">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object>
                <v:shape id="_x0000_i1025" o:spt="75" type="#_x0000_t75" style="height:36pt;width:92.5pt;" o:ole="t" filled="f" stroked="f" coordsize="21600,21600">
                  <v:path/>
                  <v:fill on="f" focussize="0,0"/>
                  <v:stroke on="f"/>
                  <v:imagedata r:id="rId23" o:title=""/>
                  <o:lock v:ext="edit" aspectratio="t"/>
                  <w10:wrap type="none"/>
                  <w10:anchorlock/>
                </v:shape>
                <o:OLEObject Type="Embed" ProgID="Equation.3" ShapeID="_x0000_i1025" DrawAspect="Content" ObjectID="_1468075725" r:id="rId22">
                  <o:LockedField>false</o:LockedField>
                </o:OLEObject>
              </w:object>
            </w:r>
          </w:p>
        </w:tc>
        <w:tc>
          <w:tcPr>
            <w:tcW w:w="1388" w:type="pct"/>
            <w:noWrap w:val="0"/>
            <w:vAlign w:val="center"/>
          </w:tcPr>
          <w:p w14:paraId="450C1E84">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一类景观所包含的斑块的总面积。</w:t>
            </w:r>
          </w:p>
        </w:tc>
      </w:tr>
      <w:tr w14:paraId="5A86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2" w:type="pct"/>
            <w:noWrap w:val="0"/>
            <w:vAlign w:val="center"/>
          </w:tcPr>
          <w:p w14:paraId="115D62FE">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w:t>
            </w:r>
          </w:p>
        </w:tc>
        <w:tc>
          <w:tcPr>
            <w:tcW w:w="937" w:type="pct"/>
            <w:noWrap w:val="0"/>
            <w:vAlign w:val="center"/>
          </w:tcPr>
          <w:p w14:paraId="2D7666ED">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最大斑块指数LPI （%）</w:t>
            </w:r>
          </w:p>
        </w:tc>
        <w:tc>
          <w:tcPr>
            <w:tcW w:w="691" w:type="pct"/>
            <w:noWrap w:val="0"/>
            <w:vAlign w:val="center"/>
          </w:tcPr>
          <w:p w14:paraId="405F8791">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LPI＞0</w:t>
            </w:r>
          </w:p>
        </w:tc>
        <w:tc>
          <w:tcPr>
            <w:tcW w:w="1730" w:type="pct"/>
            <w:noWrap w:val="0"/>
            <w:vAlign w:val="center"/>
          </w:tcPr>
          <w:p w14:paraId="40B4B3C4">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drawing>
                <wp:inline distT="0" distB="0" distL="114300" distR="114300">
                  <wp:extent cx="1651635" cy="449580"/>
                  <wp:effectExtent l="0" t="0" r="0" b="6350"/>
                  <wp:docPr id="7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4"/>
                          <pic:cNvPicPr>
                            <a:picLocks noChangeAspect="1"/>
                          </pic:cNvPicPr>
                        </pic:nvPicPr>
                        <pic:blipFill>
                          <a:blip r:embed="rId24">
                            <a:clrChange>
                              <a:clrFrom>
                                <a:srgbClr val="FFFFFF"/>
                              </a:clrFrom>
                              <a:clrTo>
                                <a:srgbClr val="FFFFFF">
                                  <a:alpha val="0"/>
                                </a:srgbClr>
                              </a:clrTo>
                            </a:clrChange>
                          </a:blip>
                          <a:stretch>
                            <a:fillRect/>
                          </a:stretch>
                        </pic:blipFill>
                        <pic:spPr>
                          <a:xfrm>
                            <a:off x="0" y="0"/>
                            <a:ext cx="1651635" cy="449580"/>
                          </a:xfrm>
                          <a:prstGeom prst="rect">
                            <a:avLst/>
                          </a:prstGeom>
                          <a:noFill/>
                          <a:ln>
                            <a:noFill/>
                          </a:ln>
                        </pic:spPr>
                      </pic:pic>
                    </a:graphicData>
                  </a:graphic>
                </wp:inline>
              </w:drawing>
            </w:r>
          </w:p>
        </w:tc>
        <w:tc>
          <w:tcPr>
            <w:tcW w:w="1388" w:type="pct"/>
            <w:noWrap w:val="0"/>
            <w:vAlign w:val="center"/>
          </w:tcPr>
          <w:p w14:paraId="0FB99ECE">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某一斑块类型中最大斑块占整个景观的百分比。</w:t>
            </w:r>
          </w:p>
        </w:tc>
      </w:tr>
      <w:tr w14:paraId="0DD8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2" w:type="pct"/>
            <w:noWrap w:val="0"/>
            <w:vAlign w:val="center"/>
          </w:tcPr>
          <w:p w14:paraId="1C5E1A6A">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w:t>
            </w:r>
          </w:p>
        </w:tc>
        <w:tc>
          <w:tcPr>
            <w:tcW w:w="937" w:type="pct"/>
            <w:noWrap w:val="0"/>
            <w:vAlign w:val="center"/>
          </w:tcPr>
          <w:p w14:paraId="728EEF9D">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斑块类型面积比例PLAND （%）</w:t>
            </w:r>
          </w:p>
        </w:tc>
        <w:tc>
          <w:tcPr>
            <w:tcW w:w="691" w:type="pct"/>
            <w:noWrap w:val="0"/>
            <w:vAlign w:val="center"/>
          </w:tcPr>
          <w:p w14:paraId="5D81FE4C">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PLAND＞0</w:t>
            </w:r>
          </w:p>
        </w:tc>
        <w:tc>
          <w:tcPr>
            <w:tcW w:w="1730" w:type="pct"/>
            <w:noWrap w:val="0"/>
            <w:vAlign w:val="center"/>
          </w:tcPr>
          <w:p w14:paraId="1851B229">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object>
                <v:shape id="_x0000_i1026" o:spt="75" type="#_x0000_t75" style="height:36pt;width:99pt;" o:ole="t" filled="f" stroked="f" coordsize="21600,21600">
                  <v:path/>
                  <v:fill on="f" focussize="0,0"/>
                  <v:stroke on="f"/>
                  <v:imagedata r:id="rId26" o:title=""/>
                  <o:lock v:ext="edit" aspectratio="t"/>
                  <w10:wrap type="none"/>
                  <w10:anchorlock/>
                </v:shape>
                <o:OLEObject Type="Embed" ProgID="Equation.3" ShapeID="_x0000_i1026" DrawAspect="Content" ObjectID="_1468075726" r:id="rId25">
                  <o:LockedField>false</o:LockedField>
                </o:OLEObject>
              </w:object>
            </w:r>
          </w:p>
        </w:tc>
        <w:tc>
          <w:tcPr>
            <w:tcW w:w="1388" w:type="pct"/>
            <w:noWrap w:val="0"/>
            <w:vAlign w:val="center"/>
          </w:tcPr>
          <w:p w14:paraId="72B7A342">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某类景观的面积占所有景观类型总面积的比例。</w:t>
            </w:r>
          </w:p>
        </w:tc>
      </w:tr>
      <w:tr w14:paraId="0229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2" w:type="pct"/>
            <w:noWrap w:val="0"/>
            <w:vAlign w:val="center"/>
          </w:tcPr>
          <w:p w14:paraId="44FA21EA">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w:t>
            </w:r>
          </w:p>
        </w:tc>
        <w:tc>
          <w:tcPr>
            <w:tcW w:w="937" w:type="pct"/>
            <w:noWrap w:val="0"/>
            <w:vAlign w:val="center"/>
          </w:tcPr>
          <w:p w14:paraId="3C3CE4C8">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散布与并列指数IJI （%）</w:t>
            </w:r>
          </w:p>
        </w:tc>
        <w:tc>
          <w:tcPr>
            <w:tcW w:w="691" w:type="pct"/>
            <w:noWrap w:val="0"/>
            <w:vAlign w:val="center"/>
          </w:tcPr>
          <w:p w14:paraId="3045E548">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IJI＞0</w:t>
            </w:r>
          </w:p>
        </w:tc>
        <w:tc>
          <w:tcPr>
            <w:tcW w:w="1730" w:type="pct"/>
            <w:noWrap w:val="0"/>
            <w:vAlign w:val="center"/>
          </w:tcPr>
          <w:p w14:paraId="53420A4F">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drawing>
                <wp:inline distT="0" distB="0" distL="114300" distR="114300">
                  <wp:extent cx="1764030" cy="304800"/>
                  <wp:effectExtent l="0" t="0" r="7620" b="0"/>
                  <wp:docPr id="7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6"/>
                          <pic:cNvPicPr>
                            <a:picLocks noChangeAspect="1"/>
                          </pic:cNvPicPr>
                        </pic:nvPicPr>
                        <pic:blipFill>
                          <a:blip r:embed="rId27">
                            <a:clrChange>
                              <a:clrFrom>
                                <a:srgbClr val="FFFFFF"/>
                              </a:clrFrom>
                              <a:clrTo>
                                <a:srgbClr val="FFFFFF">
                                  <a:alpha val="0"/>
                                </a:srgbClr>
                              </a:clrTo>
                            </a:clrChange>
                          </a:blip>
                          <a:srcRect l="12395" t="8528"/>
                          <a:stretch>
                            <a:fillRect/>
                          </a:stretch>
                        </pic:blipFill>
                        <pic:spPr>
                          <a:xfrm>
                            <a:off x="0" y="0"/>
                            <a:ext cx="1764030" cy="304800"/>
                          </a:xfrm>
                          <a:prstGeom prst="rect">
                            <a:avLst/>
                          </a:prstGeom>
                          <a:noFill/>
                          <a:ln>
                            <a:noFill/>
                          </a:ln>
                        </pic:spPr>
                      </pic:pic>
                    </a:graphicData>
                  </a:graphic>
                </wp:inline>
              </w:drawing>
            </w:r>
          </w:p>
        </w:tc>
        <w:tc>
          <w:tcPr>
            <w:tcW w:w="1388" w:type="pct"/>
            <w:noWrap w:val="0"/>
            <w:vAlign w:val="center"/>
          </w:tcPr>
          <w:p w14:paraId="2172F48D">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反映斑块类型的隔离分布情况。</w:t>
            </w:r>
          </w:p>
        </w:tc>
      </w:tr>
      <w:tr w14:paraId="1B55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2" w:type="pct"/>
            <w:noWrap w:val="0"/>
            <w:vAlign w:val="center"/>
          </w:tcPr>
          <w:p w14:paraId="69577589">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w:t>
            </w:r>
          </w:p>
        </w:tc>
        <w:tc>
          <w:tcPr>
            <w:tcW w:w="937" w:type="pct"/>
            <w:noWrap w:val="0"/>
            <w:vAlign w:val="center"/>
          </w:tcPr>
          <w:p w14:paraId="09303B7F">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聚集度指数</w:t>
            </w:r>
          </w:p>
          <w:p w14:paraId="194E70F3">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AI （%）</w:t>
            </w:r>
          </w:p>
        </w:tc>
        <w:tc>
          <w:tcPr>
            <w:tcW w:w="691" w:type="pct"/>
            <w:noWrap w:val="0"/>
            <w:vAlign w:val="center"/>
          </w:tcPr>
          <w:p w14:paraId="65D9F87A">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AI＞0</w:t>
            </w:r>
          </w:p>
        </w:tc>
        <w:tc>
          <w:tcPr>
            <w:tcW w:w="1730" w:type="pct"/>
            <w:noWrap w:val="0"/>
            <w:vAlign w:val="center"/>
          </w:tcPr>
          <w:p w14:paraId="05825C5B">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drawing>
                <wp:inline distT="0" distB="0" distL="114300" distR="114300">
                  <wp:extent cx="1800225" cy="450850"/>
                  <wp:effectExtent l="0" t="0" r="9525" b="5715"/>
                  <wp:docPr id="7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7"/>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1800225" cy="450850"/>
                          </a:xfrm>
                          <a:prstGeom prst="rect">
                            <a:avLst/>
                          </a:prstGeom>
                          <a:noFill/>
                          <a:ln>
                            <a:noFill/>
                          </a:ln>
                        </pic:spPr>
                      </pic:pic>
                    </a:graphicData>
                  </a:graphic>
                </wp:inline>
              </w:drawing>
            </w:r>
          </w:p>
        </w:tc>
        <w:tc>
          <w:tcPr>
            <w:tcW w:w="1388" w:type="pct"/>
            <w:noWrap w:val="0"/>
            <w:vAlign w:val="center"/>
          </w:tcPr>
          <w:p w14:paraId="024B1E11">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基于栅格数量测度景观或者某种斑块类型的聚集程度。</w:t>
            </w:r>
          </w:p>
        </w:tc>
      </w:tr>
      <w:tr w14:paraId="53AE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2" w:type="pct"/>
            <w:noWrap w:val="0"/>
            <w:vAlign w:val="center"/>
          </w:tcPr>
          <w:p w14:paraId="7B6F4BA7">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w:t>
            </w:r>
          </w:p>
        </w:tc>
        <w:tc>
          <w:tcPr>
            <w:tcW w:w="937" w:type="pct"/>
            <w:noWrap w:val="0"/>
            <w:vAlign w:val="center"/>
          </w:tcPr>
          <w:p w14:paraId="6B4511C0">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蔓延度指数CONTAG （%）</w:t>
            </w:r>
          </w:p>
        </w:tc>
        <w:tc>
          <w:tcPr>
            <w:tcW w:w="691" w:type="pct"/>
            <w:noWrap w:val="0"/>
            <w:vAlign w:val="center"/>
          </w:tcPr>
          <w:p w14:paraId="56E16CA4">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CONTAG＞0</w:t>
            </w:r>
          </w:p>
        </w:tc>
        <w:tc>
          <w:tcPr>
            <w:tcW w:w="1730" w:type="pct"/>
            <w:noWrap w:val="0"/>
            <w:vAlign w:val="center"/>
          </w:tcPr>
          <w:p w14:paraId="03F2F679">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drawing>
                <wp:inline distT="0" distB="0" distL="114300" distR="114300">
                  <wp:extent cx="1800225" cy="335280"/>
                  <wp:effectExtent l="0" t="0" r="9525" b="6985"/>
                  <wp:docPr id="7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8"/>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1800225" cy="335280"/>
                          </a:xfrm>
                          <a:prstGeom prst="rect">
                            <a:avLst/>
                          </a:prstGeom>
                          <a:noFill/>
                          <a:ln>
                            <a:noFill/>
                          </a:ln>
                        </pic:spPr>
                      </pic:pic>
                    </a:graphicData>
                  </a:graphic>
                </wp:inline>
              </w:drawing>
            </w:r>
          </w:p>
        </w:tc>
        <w:tc>
          <w:tcPr>
            <w:tcW w:w="1388" w:type="pct"/>
            <w:noWrap w:val="0"/>
            <w:vAlign w:val="center"/>
          </w:tcPr>
          <w:p w14:paraId="4AABCB0B">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高蔓延度值表明景观的破碎化程度。</w:t>
            </w:r>
          </w:p>
        </w:tc>
      </w:tr>
      <w:tr w14:paraId="384C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2" w:type="pct"/>
            <w:noWrap w:val="0"/>
            <w:vAlign w:val="center"/>
          </w:tcPr>
          <w:p w14:paraId="023EA84F">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w:t>
            </w:r>
          </w:p>
        </w:tc>
        <w:tc>
          <w:tcPr>
            <w:tcW w:w="937" w:type="pct"/>
            <w:noWrap w:val="0"/>
            <w:vAlign w:val="center"/>
          </w:tcPr>
          <w:p w14:paraId="33E45B0C">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香农多样性指数SHDI （无量纲）</w:t>
            </w:r>
          </w:p>
        </w:tc>
        <w:tc>
          <w:tcPr>
            <w:tcW w:w="691" w:type="pct"/>
            <w:noWrap w:val="0"/>
            <w:vAlign w:val="center"/>
          </w:tcPr>
          <w:p w14:paraId="3518A607">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SHDI≥0</w:t>
            </w:r>
          </w:p>
        </w:tc>
        <w:tc>
          <w:tcPr>
            <w:tcW w:w="1730" w:type="pct"/>
            <w:noWrap w:val="0"/>
            <w:vAlign w:val="center"/>
          </w:tcPr>
          <w:p w14:paraId="6FA09128">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drawing>
                <wp:inline distT="0" distB="0" distL="114300" distR="114300">
                  <wp:extent cx="1188085" cy="457835"/>
                  <wp:effectExtent l="0" t="0" r="0" b="18415"/>
                  <wp:docPr id="7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9"/>
                          <pic:cNvPicPr>
                            <a:picLocks noChangeAspect="1"/>
                          </pic:cNvPicPr>
                        </pic:nvPicPr>
                        <pic:blipFill>
                          <a:blip r:embed="rId30">
                            <a:clrChange>
                              <a:clrFrom>
                                <a:srgbClr val="FFFFFF"/>
                              </a:clrFrom>
                              <a:clrTo>
                                <a:srgbClr val="FFFFFF">
                                  <a:alpha val="0"/>
                                </a:srgbClr>
                              </a:clrTo>
                            </a:clrChange>
                          </a:blip>
                          <a:srcRect l="-276" t="7898" b="5949"/>
                          <a:stretch>
                            <a:fillRect/>
                          </a:stretch>
                        </pic:blipFill>
                        <pic:spPr>
                          <a:xfrm>
                            <a:off x="0" y="0"/>
                            <a:ext cx="1188085" cy="457835"/>
                          </a:xfrm>
                          <a:prstGeom prst="rect">
                            <a:avLst/>
                          </a:prstGeom>
                          <a:noFill/>
                          <a:ln>
                            <a:noFill/>
                          </a:ln>
                        </pic:spPr>
                      </pic:pic>
                    </a:graphicData>
                  </a:graphic>
                </wp:inline>
              </w:drawing>
            </w:r>
          </w:p>
        </w:tc>
        <w:tc>
          <w:tcPr>
            <w:tcW w:w="1388" w:type="pct"/>
            <w:noWrap w:val="0"/>
            <w:vAlign w:val="center"/>
          </w:tcPr>
          <w:p w14:paraId="033C0D7B">
            <w:pP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反映景观类型的多样性和异质性。</w:t>
            </w:r>
          </w:p>
        </w:tc>
      </w:tr>
    </w:tbl>
    <w:p w14:paraId="5C384B5B">
      <w:pPr>
        <w:pStyle w:val="106"/>
        <w:rPr>
          <w:rFonts w:hint="default" w:ascii="Times New Roman" w:hAnsi="Times New Roman" w:eastAsia="宋体" w:cs="Times New Roman"/>
          <w:color w:val="auto"/>
        </w:rPr>
      </w:pPr>
    </w:p>
    <w:p w14:paraId="2FBD881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6"/>
          <w:szCs w:val="26"/>
          <w:highlight w:val="none"/>
          <w:lang w:val="en-US" w:eastAsia="zh-CN"/>
        </w:rPr>
      </w:pPr>
      <w:r>
        <w:rPr>
          <w:rFonts w:hint="default" w:ascii="Times New Roman" w:hAnsi="Times New Roman" w:eastAsia="宋体" w:cs="Times New Roman"/>
          <w:b/>
          <w:bCs w:val="0"/>
          <w:color w:val="auto"/>
          <w:sz w:val="26"/>
          <w:szCs w:val="26"/>
          <w:highlight w:val="none"/>
          <w:lang w:val="en-US" w:eastAsia="zh-CN"/>
        </w:rPr>
        <w:t>表4.3-</w:t>
      </w:r>
      <w:r>
        <w:rPr>
          <w:rFonts w:hint="eastAsia" w:ascii="Times New Roman" w:hAnsi="Times New Roman" w:cs="Times New Roman"/>
          <w:b/>
          <w:bCs w:val="0"/>
          <w:color w:val="auto"/>
          <w:sz w:val="26"/>
          <w:szCs w:val="26"/>
          <w:highlight w:val="none"/>
          <w:lang w:val="en-US" w:eastAsia="zh-CN"/>
        </w:rPr>
        <w:t>10</w:t>
      </w:r>
      <w:r>
        <w:rPr>
          <w:rFonts w:hint="default" w:ascii="Times New Roman" w:hAnsi="Times New Roman" w:eastAsia="宋体" w:cs="Times New Roman"/>
          <w:b/>
          <w:bCs w:val="0"/>
          <w:color w:val="auto"/>
          <w:sz w:val="26"/>
          <w:szCs w:val="26"/>
          <w:highlight w:val="none"/>
          <w:lang w:val="en-US" w:eastAsia="zh-CN"/>
        </w:rPr>
        <w:t xml:space="preserve"> 评价区景观类型</w:t>
      </w:r>
    </w:p>
    <w:tbl>
      <w:tblPr>
        <w:tblStyle w:val="2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24"/>
        <w:gridCol w:w="1472"/>
        <w:gridCol w:w="1810"/>
        <w:gridCol w:w="1535"/>
        <w:gridCol w:w="1245"/>
        <w:gridCol w:w="1255"/>
      </w:tblGrid>
      <w:tr w14:paraId="2EE4E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908" w:type="pct"/>
            <w:tcBorders>
              <w:top w:val="single" w:color="000000" w:sz="8" w:space="0"/>
              <w:left w:val="single" w:color="000000" w:sz="8" w:space="0"/>
              <w:bottom w:val="single" w:color="000000" w:sz="8" w:space="0"/>
              <w:right w:val="single" w:color="000000" w:sz="8" w:space="0"/>
            </w:tcBorders>
            <w:noWrap/>
            <w:vAlign w:val="center"/>
          </w:tcPr>
          <w:p w14:paraId="40F2454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景观类型</w:t>
            </w:r>
          </w:p>
        </w:tc>
        <w:tc>
          <w:tcPr>
            <w:tcW w:w="823" w:type="pct"/>
            <w:tcBorders>
              <w:top w:val="single" w:color="000000" w:sz="8" w:space="0"/>
              <w:left w:val="nil"/>
              <w:bottom w:val="single" w:color="000000" w:sz="8" w:space="0"/>
              <w:right w:val="single" w:color="000000" w:sz="8" w:space="0"/>
            </w:tcBorders>
            <w:noWrap w:val="0"/>
            <w:vAlign w:val="bottom"/>
          </w:tcPr>
          <w:p w14:paraId="67898AEF">
            <w:pPr>
              <w:keepNext w:val="0"/>
              <w:keepLines w:val="0"/>
              <w:widowControl/>
              <w:suppressLineNumbers w:val="0"/>
              <w:jc w:val="center"/>
              <w:textAlignment w:val="bottom"/>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CA（hm</w:t>
            </w:r>
            <w:r>
              <w:rPr>
                <w:rFonts w:hint="default" w:ascii="Times New Roman" w:hAnsi="Times New Roman" w:eastAsia="宋体" w:cs="Times New Roman"/>
                <w:b/>
                <w:bCs/>
                <w:i w:val="0"/>
                <w:iCs w:val="0"/>
                <w:color w:val="auto"/>
                <w:kern w:val="0"/>
                <w:sz w:val="22"/>
                <w:szCs w:val="22"/>
                <w:u w:val="none"/>
                <w:vertAlign w:val="superscript"/>
                <w:lang w:val="en-US" w:eastAsia="zh-CN" w:bidi="ar"/>
              </w:rPr>
              <w:t>2</w:t>
            </w:r>
            <w:r>
              <w:rPr>
                <w:rFonts w:hint="default" w:ascii="Times New Roman" w:hAnsi="Times New Roman" w:eastAsia="宋体" w:cs="Times New Roman"/>
                <w:b/>
                <w:bCs/>
                <w:i w:val="0"/>
                <w:iCs w:val="0"/>
                <w:color w:val="auto"/>
                <w:kern w:val="0"/>
                <w:sz w:val="22"/>
                <w:szCs w:val="22"/>
                <w:u w:val="none"/>
                <w:lang w:val="en-US" w:eastAsia="zh-CN" w:bidi="ar"/>
              </w:rPr>
              <w:t>）</w:t>
            </w:r>
          </w:p>
        </w:tc>
        <w:tc>
          <w:tcPr>
            <w:tcW w:w="1012" w:type="pct"/>
            <w:tcBorders>
              <w:top w:val="single" w:color="000000" w:sz="8" w:space="0"/>
              <w:left w:val="nil"/>
              <w:bottom w:val="single" w:color="000000" w:sz="8" w:space="0"/>
              <w:right w:val="single" w:color="000000" w:sz="8" w:space="0"/>
            </w:tcBorders>
            <w:noWrap w:val="0"/>
            <w:vAlign w:val="bottom"/>
          </w:tcPr>
          <w:p w14:paraId="3A238778">
            <w:pPr>
              <w:keepNext w:val="0"/>
              <w:keepLines w:val="0"/>
              <w:widowControl/>
              <w:suppressLineNumbers w:val="0"/>
              <w:jc w:val="center"/>
              <w:textAlignment w:val="bottom"/>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PLAND（%）</w:t>
            </w:r>
          </w:p>
        </w:tc>
        <w:tc>
          <w:tcPr>
            <w:tcW w:w="858" w:type="pct"/>
            <w:tcBorders>
              <w:top w:val="single" w:color="000000" w:sz="8" w:space="0"/>
              <w:left w:val="nil"/>
              <w:bottom w:val="single" w:color="000000" w:sz="8" w:space="0"/>
              <w:right w:val="single" w:color="000000" w:sz="8" w:space="0"/>
            </w:tcBorders>
            <w:noWrap/>
            <w:vAlign w:val="bottom"/>
          </w:tcPr>
          <w:p w14:paraId="340C7024">
            <w:pPr>
              <w:keepNext w:val="0"/>
              <w:keepLines w:val="0"/>
              <w:widowControl/>
              <w:suppressLineNumbers w:val="0"/>
              <w:jc w:val="center"/>
              <w:textAlignment w:val="bottom"/>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LPI（%）</w:t>
            </w:r>
          </w:p>
        </w:tc>
        <w:tc>
          <w:tcPr>
            <w:tcW w:w="696" w:type="pct"/>
            <w:tcBorders>
              <w:top w:val="single" w:color="000000" w:sz="8" w:space="0"/>
              <w:left w:val="nil"/>
              <w:bottom w:val="single" w:color="000000" w:sz="8" w:space="0"/>
              <w:right w:val="single" w:color="000000" w:sz="8" w:space="0"/>
            </w:tcBorders>
            <w:noWrap w:val="0"/>
            <w:vAlign w:val="bottom"/>
          </w:tcPr>
          <w:p w14:paraId="14765DB4">
            <w:pPr>
              <w:keepNext w:val="0"/>
              <w:keepLines w:val="0"/>
              <w:widowControl/>
              <w:suppressLineNumbers w:val="0"/>
              <w:jc w:val="center"/>
              <w:textAlignment w:val="bottom"/>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IJI（%）</w:t>
            </w:r>
          </w:p>
        </w:tc>
        <w:tc>
          <w:tcPr>
            <w:tcW w:w="701" w:type="pct"/>
            <w:tcBorders>
              <w:top w:val="single" w:color="000000" w:sz="8" w:space="0"/>
              <w:left w:val="nil"/>
              <w:bottom w:val="single" w:color="000000" w:sz="8" w:space="0"/>
              <w:right w:val="single" w:color="000000" w:sz="8" w:space="0"/>
            </w:tcBorders>
            <w:noWrap w:val="0"/>
            <w:vAlign w:val="bottom"/>
          </w:tcPr>
          <w:p w14:paraId="6F860539">
            <w:pPr>
              <w:keepNext w:val="0"/>
              <w:keepLines w:val="0"/>
              <w:widowControl/>
              <w:suppressLineNumbers w:val="0"/>
              <w:jc w:val="center"/>
              <w:textAlignment w:val="bottom"/>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AI（%）</w:t>
            </w:r>
          </w:p>
        </w:tc>
      </w:tr>
      <w:tr w14:paraId="2ACFF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624" w:type="dxa"/>
            <w:tcBorders>
              <w:top w:val="single" w:color="000000" w:sz="8" w:space="0"/>
              <w:left w:val="single" w:color="000000" w:sz="8" w:space="0"/>
              <w:bottom w:val="single" w:color="000000" w:sz="8" w:space="0"/>
              <w:right w:val="single" w:color="000000" w:sz="8" w:space="0"/>
            </w:tcBorders>
            <w:noWrap/>
            <w:vAlign w:val="center"/>
          </w:tcPr>
          <w:p w14:paraId="2E1EEA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森林斑块</w:t>
            </w:r>
          </w:p>
        </w:tc>
        <w:tc>
          <w:tcPr>
            <w:tcW w:w="1472" w:type="dxa"/>
            <w:tcBorders>
              <w:top w:val="nil"/>
              <w:left w:val="nil"/>
              <w:bottom w:val="single" w:color="000000" w:sz="8" w:space="0"/>
              <w:right w:val="single" w:color="000000" w:sz="8" w:space="0"/>
            </w:tcBorders>
            <w:noWrap/>
            <w:vAlign w:val="center"/>
          </w:tcPr>
          <w:p w14:paraId="736A95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55.08</w:t>
            </w:r>
          </w:p>
        </w:tc>
        <w:tc>
          <w:tcPr>
            <w:tcW w:w="1810" w:type="dxa"/>
            <w:tcBorders>
              <w:top w:val="nil"/>
              <w:left w:val="nil"/>
              <w:bottom w:val="single" w:color="000000" w:sz="8" w:space="0"/>
              <w:right w:val="single" w:color="000000" w:sz="8" w:space="0"/>
            </w:tcBorders>
            <w:noWrap/>
            <w:vAlign w:val="center"/>
          </w:tcPr>
          <w:p w14:paraId="099D36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50.11</w:t>
            </w:r>
          </w:p>
        </w:tc>
        <w:tc>
          <w:tcPr>
            <w:tcW w:w="1535" w:type="dxa"/>
            <w:tcBorders>
              <w:top w:val="nil"/>
              <w:left w:val="nil"/>
              <w:bottom w:val="single" w:color="000000" w:sz="8" w:space="0"/>
              <w:right w:val="single" w:color="000000" w:sz="8" w:space="0"/>
            </w:tcBorders>
            <w:noWrap/>
            <w:vAlign w:val="center"/>
          </w:tcPr>
          <w:p w14:paraId="288EE6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26.52</w:t>
            </w:r>
          </w:p>
        </w:tc>
        <w:tc>
          <w:tcPr>
            <w:tcW w:w="1245" w:type="dxa"/>
            <w:tcBorders>
              <w:top w:val="nil"/>
              <w:left w:val="nil"/>
              <w:bottom w:val="single" w:color="000000" w:sz="8" w:space="0"/>
              <w:right w:val="single" w:color="000000" w:sz="8" w:space="0"/>
            </w:tcBorders>
            <w:noWrap/>
            <w:vAlign w:val="center"/>
          </w:tcPr>
          <w:p w14:paraId="6698B4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78.00</w:t>
            </w:r>
          </w:p>
        </w:tc>
        <w:tc>
          <w:tcPr>
            <w:tcW w:w="1255" w:type="dxa"/>
            <w:tcBorders>
              <w:top w:val="nil"/>
              <w:left w:val="nil"/>
              <w:bottom w:val="single" w:color="000000" w:sz="8" w:space="0"/>
              <w:right w:val="single" w:color="000000" w:sz="8" w:space="0"/>
            </w:tcBorders>
            <w:noWrap/>
            <w:vAlign w:val="center"/>
          </w:tcPr>
          <w:p w14:paraId="686329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94.96</w:t>
            </w:r>
          </w:p>
        </w:tc>
      </w:tr>
      <w:tr w14:paraId="71774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624" w:type="dxa"/>
            <w:tcBorders>
              <w:top w:val="single" w:color="000000" w:sz="8" w:space="0"/>
              <w:left w:val="single" w:color="000000" w:sz="8" w:space="0"/>
              <w:bottom w:val="single" w:color="000000" w:sz="8" w:space="0"/>
              <w:right w:val="single" w:color="000000" w:sz="8" w:space="0"/>
            </w:tcBorders>
            <w:noWrap/>
            <w:vAlign w:val="center"/>
          </w:tcPr>
          <w:p w14:paraId="45D2E9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灌木斑块</w:t>
            </w:r>
          </w:p>
        </w:tc>
        <w:tc>
          <w:tcPr>
            <w:tcW w:w="1472" w:type="dxa"/>
            <w:tcBorders>
              <w:top w:val="nil"/>
              <w:left w:val="nil"/>
              <w:bottom w:val="single" w:color="000000" w:sz="8" w:space="0"/>
              <w:right w:val="single" w:color="000000" w:sz="8" w:space="0"/>
            </w:tcBorders>
            <w:noWrap/>
            <w:vAlign w:val="center"/>
          </w:tcPr>
          <w:p w14:paraId="48B096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10.45</w:t>
            </w:r>
          </w:p>
        </w:tc>
        <w:tc>
          <w:tcPr>
            <w:tcW w:w="1810" w:type="dxa"/>
            <w:tcBorders>
              <w:top w:val="nil"/>
              <w:left w:val="nil"/>
              <w:bottom w:val="single" w:color="000000" w:sz="8" w:space="0"/>
              <w:right w:val="single" w:color="000000" w:sz="8" w:space="0"/>
            </w:tcBorders>
            <w:noWrap/>
            <w:vAlign w:val="center"/>
          </w:tcPr>
          <w:p w14:paraId="4D083D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9.41</w:t>
            </w:r>
          </w:p>
        </w:tc>
        <w:tc>
          <w:tcPr>
            <w:tcW w:w="1535" w:type="dxa"/>
            <w:tcBorders>
              <w:top w:val="nil"/>
              <w:left w:val="nil"/>
              <w:bottom w:val="single" w:color="000000" w:sz="8" w:space="0"/>
              <w:right w:val="single" w:color="000000" w:sz="8" w:space="0"/>
            </w:tcBorders>
            <w:noWrap/>
            <w:vAlign w:val="center"/>
          </w:tcPr>
          <w:p w14:paraId="1F762C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4.51</w:t>
            </w:r>
          </w:p>
        </w:tc>
        <w:tc>
          <w:tcPr>
            <w:tcW w:w="1245" w:type="dxa"/>
            <w:tcBorders>
              <w:top w:val="nil"/>
              <w:left w:val="nil"/>
              <w:bottom w:val="single" w:color="000000" w:sz="8" w:space="0"/>
              <w:right w:val="single" w:color="000000" w:sz="8" w:space="0"/>
            </w:tcBorders>
            <w:noWrap/>
            <w:vAlign w:val="center"/>
          </w:tcPr>
          <w:p w14:paraId="38DA7E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49.97</w:t>
            </w:r>
          </w:p>
        </w:tc>
        <w:tc>
          <w:tcPr>
            <w:tcW w:w="1255" w:type="dxa"/>
            <w:tcBorders>
              <w:top w:val="nil"/>
              <w:left w:val="nil"/>
              <w:bottom w:val="single" w:color="000000" w:sz="8" w:space="0"/>
              <w:right w:val="single" w:color="000000" w:sz="8" w:space="0"/>
            </w:tcBorders>
            <w:noWrap/>
            <w:vAlign w:val="center"/>
          </w:tcPr>
          <w:p w14:paraId="41292A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92.03</w:t>
            </w:r>
          </w:p>
        </w:tc>
      </w:tr>
      <w:tr w14:paraId="79FE9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624" w:type="dxa"/>
            <w:tcBorders>
              <w:top w:val="single" w:color="000000" w:sz="8" w:space="0"/>
              <w:left w:val="single" w:color="000000" w:sz="8" w:space="0"/>
              <w:bottom w:val="single" w:color="000000" w:sz="8" w:space="0"/>
              <w:right w:val="single" w:color="000000" w:sz="8" w:space="0"/>
            </w:tcBorders>
            <w:noWrap/>
            <w:vAlign w:val="center"/>
          </w:tcPr>
          <w:p w14:paraId="69B189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草地斑块</w:t>
            </w:r>
          </w:p>
        </w:tc>
        <w:tc>
          <w:tcPr>
            <w:tcW w:w="1472" w:type="dxa"/>
            <w:tcBorders>
              <w:top w:val="nil"/>
              <w:left w:val="nil"/>
              <w:bottom w:val="single" w:color="000000" w:sz="8" w:space="0"/>
              <w:right w:val="single" w:color="000000" w:sz="8" w:space="0"/>
            </w:tcBorders>
            <w:noWrap/>
            <w:vAlign w:val="center"/>
          </w:tcPr>
          <w:p w14:paraId="4F0259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0.49</w:t>
            </w:r>
          </w:p>
        </w:tc>
        <w:tc>
          <w:tcPr>
            <w:tcW w:w="1810" w:type="dxa"/>
            <w:tcBorders>
              <w:top w:val="nil"/>
              <w:left w:val="nil"/>
              <w:bottom w:val="single" w:color="000000" w:sz="8" w:space="0"/>
              <w:right w:val="single" w:color="000000" w:sz="8" w:space="0"/>
            </w:tcBorders>
            <w:noWrap/>
            <w:vAlign w:val="center"/>
          </w:tcPr>
          <w:p w14:paraId="7B763E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0.44</w:t>
            </w:r>
          </w:p>
        </w:tc>
        <w:tc>
          <w:tcPr>
            <w:tcW w:w="1535" w:type="dxa"/>
            <w:tcBorders>
              <w:top w:val="nil"/>
              <w:left w:val="nil"/>
              <w:bottom w:val="single" w:color="000000" w:sz="8" w:space="0"/>
              <w:right w:val="single" w:color="000000" w:sz="8" w:space="0"/>
            </w:tcBorders>
            <w:noWrap/>
            <w:vAlign w:val="center"/>
          </w:tcPr>
          <w:p w14:paraId="7D7CE7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0.17</w:t>
            </w:r>
          </w:p>
        </w:tc>
        <w:tc>
          <w:tcPr>
            <w:tcW w:w="1245" w:type="dxa"/>
            <w:tcBorders>
              <w:top w:val="nil"/>
              <w:left w:val="nil"/>
              <w:bottom w:val="single" w:color="000000" w:sz="8" w:space="0"/>
              <w:right w:val="single" w:color="000000" w:sz="8" w:space="0"/>
            </w:tcBorders>
            <w:noWrap/>
            <w:vAlign w:val="center"/>
          </w:tcPr>
          <w:p w14:paraId="331920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84.20</w:t>
            </w:r>
          </w:p>
        </w:tc>
        <w:tc>
          <w:tcPr>
            <w:tcW w:w="1255" w:type="dxa"/>
            <w:tcBorders>
              <w:top w:val="nil"/>
              <w:left w:val="nil"/>
              <w:bottom w:val="single" w:color="000000" w:sz="8" w:space="0"/>
              <w:right w:val="single" w:color="000000" w:sz="8" w:space="0"/>
            </w:tcBorders>
            <w:noWrap/>
            <w:vAlign w:val="center"/>
          </w:tcPr>
          <w:p w14:paraId="2E0FB8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81.05</w:t>
            </w:r>
          </w:p>
        </w:tc>
      </w:tr>
      <w:tr w14:paraId="15C01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624" w:type="dxa"/>
            <w:tcBorders>
              <w:top w:val="single" w:color="000000" w:sz="8" w:space="0"/>
              <w:left w:val="single" w:color="000000" w:sz="8" w:space="0"/>
              <w:bottom w:val="single" w:color="000000" w:sz="8" w:space="0"/>
              <w:right w:val="single" w:color="000000" w:sz="8" w:space="0"/>
            </w:tcBorders>
            <w:noWrap/>
            <w:vAlign w:val="center"/>
          </w:tcPr>
          <w:p w14:paraId="4A86ED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耕地斑块</w:t>
            </w:r>
          </w:p>
        </w:tc>
        <w:tc>
          <w:tcPr>
            <w:tcW w:w="1472" w:type="dxa"/>
            <w:tcBorders>
              <w:top w:val="nil"/>
              <w:left w:val="nil"/>
              <w:bottom w:val="single" w:color="000000" w:sz="8" w:space="0"/>
              <w:right w:val="single" w:color="000000" w:sz="8" w:space="0"/>
            </w:tcBorders>
            <w:noWrap/>
            <w:vAlign w:val="center"/>
          </w:tcPr>
          <w:p w14:paraId="01B53A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30.37</w:t>
            </w:r>
          </w:p>
        </w:tc>
        <w:tc>
          <w:tcPr>
            <w:tcW w:w="1810" w:type="dxa"/>
            <w:tcBorders>
              <w:top w:val="nil"/>
              <w:left w:val="nil"/>
              <w:bottom w:val="single" w:color="000000" w:sz="8" w:space="0"/>
              <w:right w:val="single" w:color="000000" w:sz="8" w:space="0"/>
            </w:tcBorders>
            <w:noWrap/>
            <w:vAlign w:val="center"/>
          </w:tcPr>
          <w:p w14:paraId="710E98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30.28</w:t>
            </w:r>
          </w:p>
        </w:tc>
        <w:tc>
          <w:tcPr>
            <w:tcW w:w="1535" w:type="dxa"/>
            <w:tcBorders>
              <w:top w:val="nil"/>
              <w:left w:val="nil"/>
              <w:bottom w:val="single" w:color="000000" w:sz="8" w:space="0"/>
              <w:right w:val="single" w:color="000000" w:sz="8" w:space="0"/>
            </w:tcBorders>
            <w:noWrap/>
            <w:vAlign w:val="center"/>
          </w:tcPr>
          <w:p w14:paraId="44E4CA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25.98</w:t>
            </w:r>
          </w:p>
        </w:tc>
        <w:tc>
          <w:tcPr>
            <w:tcW w:w="1245" w:type="dxa"/>
            <w:tcBorders>
              <w:top w:val="nil"/>
              <w:left w:val="nil"/>
              <w:bottom w:val="single" w:color="000000" w:sz="8" w:space="0"/>
              <w:right w:val="single" w:color="000000" w:sz="8" w:space="0"/>
            </w:tcBorders>
            <w:noWrap/>
            <w:vAlign w:val="center"/>
          </w:tcPr>
          <w:p w14:paraId="7FCB25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62.00</w:t>
            </w:r>
          </w:p>
        </w:tc>
        <w:tc>
          <w:tcPr>
            <w:tcW w:w="1255" w:type="dxa"/>
            <w:tcBorders>
              <w:top w:val="nil"/>
              <w:left w:val="nil"/>
              <w:bottom w:val="single" w:color="000000" w:sz="8" w:space="0"/>
              <w:right w:val="single" w:color="000000" w:sz="8" w:space="0"/>
            </w:tcBorders>
            <w:noWrap/>
            <w:vAlign w:val="center"/>
          </w:tcPr>
          <w:p w14:paraId="21BAC4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93.95</w:t>
            </w:r>
          </w:p>
        </w:tc>
      </w:tr>
      <w:tr w14:paraId="2A8EC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624" w:type="dxa"/>
            <w:tcBorders>
              <w:top w:val="single" w:color="000000" w:sz="8" w:space="0"/>
              <w:left w:val="single" w:color="000000" w:sz="8" w:space="0"/>
              <w:bottom w:val="single" w:color="000000" w:sz="8" w:space="0"/>
              <w:right w:val="single" w:color="000000" w:sz="8" w:space="0"/>
            </w:tcBorders>
            <w:noWrap/>
            <w:vAlign w:val="center"/>
          </w:tcPr>
          <w:p w14:paraId="20DF32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水体斑块</w:t>
            </w:r>
          </w:p>
        </w:tc>
        <w:tc>
          <w:tcPr>
            <w:tcW w:w="1472" w:type="dxa"/>
            <w:tcBorders>
              <w:top w:val="nil"/>
              <w:left w:val="nil"/>
              <w:bottom w:val="single" w:color="000000" w:sz="8" w:space="0"/>
              <w:right w:val="single" w:color="000000" w:sz="8" w:space="0"/>
            </w:tcBorders>
            <w:noWrap/>
            <w:vAlign w:val="center"/>
          </w:tcPr>
          <w:p w14:paraId="354056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9.47</w:t>
            </w:r>
          </w:p>
        </w:tc>
        <w:tc>
          <w:tcPr>
            <w:tcW w:w="1810" w:type="dxa"/>
            <w:tcBorders>
              <w:top w:val="nil"/>
              <w:left w:val="nil"/>
              <w:bottom w:val="single" w:color="000000" w:sz="8" w:space="0"/>
              <w:right w:val="single" w:color="000000" w:sz="8" w:space="0"/>
            </w:tcBorders>
            <w:noWrap/>
            <w:vAlign w:val="center"/>
          </w:tcPr>
          <w:p w14:paraId="7B5A46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5.89</w:t>
            </w:r>
          </w:p>
        </w:tc>
        <w:tc>
          <w:tcPr>
            <w:tcW w:w="1535" w:type="dxa"/>
            <w:tcBorders>
              <w:top w:val="nil"/>
              <w:left w:val="nil"/>
              <w:bottom w:val="single" w:color="000000" w:sz="8" w:space="0"/>
              <w:right w:val="single" w:color="000000" w:sz="8" w:space="0"/>
            </w:tcBorders>
            <w:noWrap/>
            <w:vAlign w:val="center"/>
          </w:tcPr>
          <w:p w14:paraId="121028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2.48</w:t>
            </w:r>
          </w:p>
        </w:tc>
        <w:tc>
          <w:tcPr>
            <w:tcW w:w="1245" w:type="dxa"/>
            <w:tcBorders>
              <w:top w:val="nil"/>
              <w:left w:val="nil"/>
              <w:bottom w:val="single" w:color="000000" w:sz="8" w:space="0"/>
              <w:right w:val="single" w:color="000000" w:sz="8" w:space="0"/>
            </w:tcBorders>
            <w:noWrap/>
            <w:vAlign w:val="center"/>
          </w:tcPr>
          <w:p w14:paraId="67231D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82.34</w:t>
            </w:r>
          </w:p>
        </w:tc>
        <w:tc>
          <w:tcPr>
            <w:tcW w:w="1255" w:type="dxa"/>
            <w:tcBorders>
              <w:top w:val="nil"/>
              <w:left w:val="nil"/>
              <w:bottom w:val="single" w:color="000000" w:sz="8" w:space="0"/>
              <w:right w:val="single" w:color="000000" w:sz="8" w:space="0"/>
            </w:tcBorders>
            <w:noWrap/>
            <w:vAlign w:val="center"/>
          </w:tcPr>
          <w:p w14:paraId="779978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93.51</w:t>
            </w:r>
          </w:p>
        </w:tc>
      </w:tr>
      <w:tr w14:paraId="74DCC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624" w:type="dxa"/>
            <w:tcBorders>
              <w:top w:val="single" w:color="000000" w:sz="8" w:space="0"/>
              <w:left w:val="single" w:color="000000" w:sz="8" w:space="0"/>
              <w:bottom w:val="single" w:color="000000" w:sz="8" w:space="0"/>
              <w:right w:val="single" w:color="000000" w:sz="8" w:space="0"/>
            </w:tcBorders>
            <w:noWrap/>
            <w:vAlign w:val="center"/>
          </w:tcPr>
          <w:p w14:paraId="701105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建设用地斑块</w:t>
            </w:r>
          </w:p>
        </w:tc>
        <w:tc>
          <w:tcPr>
            <w:tcW w:w="1472" w:type="dxa"/>
            <w:tcBorders>
              <w:top w:val="nil"/>
              <w:left w:val="nil"/>
              <w:bottom w:val="single" w:color="000000" w:sz="8" w:space="0"/>
              <w:right w:val="single" w:color="000000" w:sz="8" w:space="0"/>
            </w:tcBorders>
            <w:noWrap/>
            <w:vAlign w:val="center"/>
          </w:tcPr>
          <w:p w14:paraId="2BBEFE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4.27</w:t>
            </w:r>
          </w:p>
        </w:tc>
        <w:tc>
          <w:tcPr>
            <w:tcW w:w="1810" w:type="dxa"/>
            <w:tcBorders>
              <w:top w:val="nil"/>
              <w:left w:val="nil"/>
              <w:bottom w:val="single" w:color="000000" w:sz="8" w:space="0"/>
              <w:right w:val="single" w:color="000000" w:sz="8" w:space="0"/>
            </w:tcBorders>
            <w:noWrap/>
            <w:vAlign w:val="center"/>
          </w:tcPr>
          <w:p w14:paraId="78EF0C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3.87</w:t>
            </w:r>
          </w:p>
        </w:tc>
        <w:tc>
          <w:tcPr>
            <w:tcW w:w="1535" w:type="dxa"/>
            <w:tcBorders>
              <w:top w:val="nil"/>
              <w:left w:val="nil"/>
              <w:bottom w:val="single" w:color="000000" w:sz="8" w:space="0"/>
              <w:right w:val="single" w:color="000000" w:sz="8" w:space="0"/>
            </w:tcBorders>
            <w:noWrap/>
            <w:vAlign w:val="center"/>
          </w:tcPr>
          <w:p w14:paraId="193CD8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2.35</w:t>
            </w:r>
          </w:p>
        </w:tc>
        <w:tc>
          <w:tcPr>
            <w:tcW w:w="1245" w:type="dxa"/>
            <w:tcBorders>
              <w:top w:val="nil"/>
              <w:left w:val="nil"/>
              <w:bottom w:val="single" w:color="000000" w:sz="8" w:space="0"/>
              <w:right w:val="single" w:color="000000" w:sz="8" w:space="0"/>
            </w:tcBorders>
            <w:noWrap/>
            <w:vAlign w:val="center"/>
          </w:tcPr>
          <w:p w14:paraId="11BDC8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78.59</w:t>
            </w:r>
          </w:p>
        </w:tc>
        <w:tc>
          <w:tcPr>
            <w:tcW w:w="1255" w:type="dxa"/>
            <w:tcBorders>
              <w:top w:val="nil"/>
              <w:left w:val="nil"/>
              <w:bottom w:val="single" w:color="000000" w:sz="8" w:space="0"/>
              <w:right w:val="single" w:color="000000" w:sz="8" w:space="0"/>
            </w:tcBorders>
            <w:noWrap/>
            <w:vAlign w:val="center"/>
          </w:tcPr>
          <w:p w14:paraId="5D5D6C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69.58</w:t>
            </w:r>
          </w:p>
        </w:tc>
      </w:tr>
    </w:tbl>
    <w:p w14:paraId="273E4069">
      <w:pPr>
        <w:keepNext w:val="0"/>
        <w:keepLines w:val="0"/>
        <w:pageBreakBefore w:val="0"/>
        <w:widowControl w:val="0"/>
        <w:kinsoku/>
        <w:wordWrap/>
        <w:overflowPunct/>
        <w:topLinePunct w:val="0"/>
        <w:autoSpaceDE/>
        <w:autoSpaceDN/>
        <w:bidi w:val="0"/>
        <w:spacing w:line="480" w:lineRule="exact"/>
        <w:ind w:firstLine="520" w:firstLineChars="200"/>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由上表可知，本项目评价范围内的主要景观类型为</w:t>
      </w:r>
      <w:r>
        <w:rPr>
          <w:rFonts w:hint="default" w:ascii="Times New Roman" w:hAnsi="Times New Roman" w:eastAsia="宋体" w:cs="Times New Roman"/>
          <w:color w:val="auto"/>
          <w:sz w:val="26"/>
          <w:szCs w:val="26"/>
          <w:lang w:val="en-US" w:eastAsia="zh-CN"/>
        </w:rPr>
        <w:t>森林</w:t>
      </w:r>
      <w:r>
        <w:rPr>
          <w:rFonts w:hint="default" w:ascii="Times New Roman" w:hAnsi="Times New Roman" w:eastAsia="宋体" w:cs="Times New Roman"/>
          <w:color w:val="auto"/>
          <w:sz w:val="26"/>
          <w:szCs w:val="26"/>
        </w:rPr>
        <w:t>景观，斑块类型面积为</w:t>
      </w:r>
      <w:r>
        <w:rPr>
          <w:rFonts w:hint="default" w:ascii="Times New Roman" w:hAnsi="Times New Roman" w:eastAsia="宋体" w:cs="Times New Roman"/>
          <w:color w:val="auto"/>
          <w:sz w:val="26"/>
          <w:szCs w:val="26"/>
          <w:lang w:val="en-US" w:eastAsia="zh-CN"/>
        </w:rPr>
        <w:t>55.08</w:t>
      </w:r>
      <w:r>
        <w:rPr>
          <w:rFonts w:hint="default" w:ascii="Times New Roman" w:hAnsi="Times New Roman" w:eastAsia="宋体" w:cs="Times New Roman"/>
          <w:color w:val="auto"/>
          <w:sz w:val="26"/>
          <w:szCs w:val="26"/>
        </w:rPr>
        <w:t>hm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，景观面积比例达</w:t>
      </w:r>
      <w:r>
        <w:rPr>
          <w:rFonts w:hint="default" w:ascii="Times New Roman" w:hAnsi="Times New Roman" w:eastAsia="宋体" w:cs="Times New Roman"/>
          <w:color w:val="auto"/>
          <w:sz w:val="26"/>
          <w:szCs w:val="26"/>
          <w:lang w:val="en-US" w:eastAsia="zh-CN"/>
        </w:rPr>
        <w:t>50.11</w:t>
      </w:r>
      <w:r>
        <w:rPr>
          <w:rFonts w:hint="default" w:ascii="Times New Roman" w:hAnsi="Times New Roman" w:eastAsia="宋体" w:cs="Times New Roman"/>
          <w:color w:val="auto"/>
          <w:sz w:val="26"/>
          <w:szCs w:val="26"/>
        </w:rPr>
        <w:t>%，最大斑块指数</w:t>
      </w:r>
      <w:r>
        <w:rPr>
          <w:rFonts w:hint="default" w:ascii="Times New Roman" w:hAnsi="Times New Roman" w:eastAsia="宋体" w:cs="Times New Roman"/>
          <w:color w:val="auto"/>
          <w:sz w:val="26"/>
          <w:szCs w:val="26"/>
          <w:lang w:val="en-US" w:eastAsia="zh-CN"/>
        </w:rPr>
        <w:t>26.52</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主要为改建段的马尾松林</w:t>
      </w:r>
      <w:r>
        <w:rPr>
          <w:rFonts w:hint="default" w:ascii="Times New Roman" w:hAnsi="Times New Roman" w:eastAsia="宋体" w:cs="Times New Roman"/>
          <w:color w:val="auto"/>
          <w:sz w:val="26"/>
          <w:szCs w:val="26"/>
        </w:rPr>
        <w:t>。其次为</w:t>
      </w:r>
      <w:r>
        <w:rPr>
          <w:rFonts w:hint="default" w:ascii="Times New Roman" w:hAnsi="Times New Roman" w:eastAsia="宋体" w:cs="Times New Roman"/>
          <w:color w:val="auto"/>
          <w:sz w:val="26"/>
          <w:szCs w:val="26"/>
          <w:lang w:val="en-US" w:eastAsia="zh-CN"/>
        </w:rPr>
        <w:t>耕地</w:t>
      </w:r>
      <w:r>
        <w:rPr>
          <w:rFonts w:hint="default" w:ascii="Times New Roman" w:hAnsi="Times New Roman" w:eastAsia="宋体" w:cs="Times New Roman"/>
          <w:color w:val="auto"/>
          <w:sz w:val="26"/>
          <w:szCs w:val="26"/>
        </w:rPr>
        <w:t>景观，斑块类型面积</w:t>
      </w:r>
      <w:r>
        <w:rPr>
          <w:rFonts w:hint="default" w:ascii="Times New Roman" w:hAnsi="Times New Roman" w:eastAsia="宋体" w:cs="Times New Roman"/>
          <w:color w:val="auto"/>
          <w:sz w:val="26"/>
          <w:szCs w:val="26"/>
          <w:lang w:val="en-US" w:eastAsia="zh-CN"/>
        </w:rPr>
        <w:t>30.37</w:t>
      </w:r>
      <w:r>
        <w:rPr>
          <w:rFonts w:hint="default" w:ascii="Times New Roman" w:hAnsi="Times New Roman" w:eastAsia="宋体" w:cs="Times New Roman"/>
          <w:color w:val="auto"/>
          <w:sz w:val="26"/>
          <w:szCs w:val="26"/>
        </w:rPr>
        <w:t>hm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，景观面积比</w:t>
      </w:r>
      <w:r>
        <w:rPr>
          <w:rFonts w:hint="default" w:ascii="Times New Roman" w:hAnsi="Times New Roman" w:eastAsia="宋体" w:cs="Times New Roman"/>
          <w:color w:val="auto"/>
          <w:sz w:val="26"/>
          <w:szCs w:val="26"/>
          <w:lang w:val="en-US" w:eastAsia="zh-CN"/>
        </w:rPr>
        <w:t>30.28</w:t>
      </w:r>
      <w:r>
        <w:rPr>
          <w:rFonts w:hint="default" w:ascii="Times New Roman" w:hAnsi="Times New Roman" w:eastAsia="宋体" w:cs="Times New Roman"/>
          <w:color w:val="auto"/>
          <w:sz w:val="26"/>
          <w:szCs w:val="26"/>
        </w:rPr>
        <w:t>%，最大斑块指数</w:t>
      </w:r>
      <w:r>
        <w:rPr>
          <w:rFonts w:hint="default" w:ascii="Times New Roman" w:hAnsi="Times New Roman" w:eastAsia="宋体" w:cs="Times New Roman"/>
          <w:color w:val="auto"/>
          <w:sz w:val="26"/>
          <w:szCs w:val="26"/>
          <w:lang w:val="en-US" w:eastAsia="zh-CN"/>
        </w:rPr>
        <w:t>25.98</w:t>
      </w:r>
      <w:r>
        <w:rPr>
          <w:rFonts w:hint="default" w:ascii="Times New Roman" w:hAnsi="Times New Roman" w:eastAsia="宋体" w:cs="Times New Roman"/>
          <w:color w:val="auto"/>
          <w:sz w:val="26"/>
          <w:szCs w:val="26"/>
        </w:rPr>
        <w:t>%，主要</w:t>
      </w:r>
      <w:r>
        <w:rPr>
          <w:rFonts w:hint="default" w:ascii="Times New Roman" w:hAnsi="Times New Roman" w:eastAsia="宋体" w:cs="Times New Roman"/>
          <w:color w:val="auto"/>
          <w:sz w:val="26"/>
          <w:szCs w:val="26"/>
          <w:lang w:val="en-US" w:eastAsia="zh-CN"/>
        </w:rPr>
        <w:t>为沿线的旱地、水田等</w:t>
      </w:r>
      <w:r>
        <w:rPr>
          <w:rFonts w:hint="default" w:ascii="Times New Roman" w:hAnsi="Times New Roman" w:eastAsia="宋体" w:cs="Times New Roman"/>
          <w:color w:val="auto"/>
          <w:sz w:val="26"/>
          <w:szCs w:val="26"/>
        </w:rPr>
        <w:t>。</w:t>
      </w:r>
    </w:p>
    <w:p w14:paraId="357E528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b/>
          <w:bCs w:val="0"/>
          <w:color w:val="auto"/>
          <w:sz w:val="26"/>
          <w:szCs w:val="26"/>
          <w:highlight w:val="none"/>
          <w:lang w:val="en-US" w:eastAsia="zh-CN"/>
        </w:rPr>
        <w:t>表4.3-</w:t>
      </w:r>
      <w:r>
        <w:rPr>
          <w:rFonts w:hint="eastAsia" w:ascii="Times New Roman" w:hAnsi="Times New Roman" w:cs="Times New Roman"/>
          <w:b/>
          <w:bCs w:val="0"/>
          <w:color w:val="auto"/>
          <w:sz w:val="26"/>
          <w:szCs w:val="26"/>
          <w:highlight w:val="none"/>
          <w:lang w:val="en-US" w:eastAsia="zh-CN"/>
        </w:rPr>
        <w:t>11</w:t>
      </w:r>
      <w:r>
        <w:rPr>
          <w:rFonts w:hint="default" w:ascii="Times New Roman" w:hAnsi="Times New Roman" w:eastAsia="宋体" w:cs="Times New Roman"/>
          <w:b/>
          <w:bCs w:val="0"/>
          <w:color w:val="auto"/>
          <w:sz w:val="26"/>
          <w:szCs w:val="26"/>
          <w:highlight w:val="none"/>
          <w:lang w:val="en-US" w:eastAsia="zh-CN"/>
        </w:rPr>
        <w:t xml:space="preserve"> 评价区景观指数</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2447"/>
        <w:gridCol w:w="2267"/>
        <w:gridCol w:w="1628"/>
      </w:tblGrid>
      <w:tr w14:paraId="4D9D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3" w:type="pct"/>
            <w:noWrap/>
            <w:vAlign w:val="center"/>
          </w:tcPr>
          <w:p w14:paraId="7FD4CD50">
            <w:pPr>
              <w:keepNext w:val="0"/>
              <w:keepLines w:val="0"/>
              <w:widowControl/>
              <w:suppressLineNumbers w:val="0"/>
              <w:jc w:val="center"/>
              <w:textAlignment w:val="center"/>
              <w:rPr>
                <w:rFonts w:hint="default" w:ascii="Times New Roman" w:hAnsi="Times New Roman" w:eastAsia="宋体" w:cs="Times New Roman"/>
                <w:b/>
                <w:bCs/>
                <w:color w:val="auto"/>
                <w:sz w:val="22"/>
                <w:szCs w:val="22"/>
                <w:lang w:bidi="ar"/>
              </w:rPr>
            </w:pPr>
            <w:r>
              <w:rPr>
                <w:rFonts w:hint="default" w:ascii="Times New Roman" w:hAnsi="Times New Roman" w:eastAsia="宋体" w:cs="Times New Roman"/>
                <w:b/>
                <w:bCs/>
                <w:i w:val="0"/>
                <w:iCs w:val="0"/>
                <w:color w:val="auto"/>
                <w:kern w:val="0"/>
                <w:sz w:val="22"/>
                <w:szCs w:val="22"/>
                <w:u w:val="none"/>
                <w:lang w:val="en-US" w:eastAsia="zh-CN" w:bidi="ar"/>
              </w:rPr>
              <w:t>香农多样性指数（SHDI）</w:t>
            </w:r>
          </w:p>
        </w:tc>
        <w:tc>
          <w:tcPr>
            <w:tcW w:w="1368" w:type="pct"/>
            <w:tcBorders>
              <w:right w:val="single" w:color="auto" w:sz="8" w:space="0"/>
            </w:tcBorders>
            <w:noWrap w:val="0"/>
            <w:vAlign w:val="center"/>
          </w:tcPr>
          <w:p w14:paraId="58ADFB86">
            <w:pPr>
              <w:keepNext w:val="0"/>
              <w:keepLines w:val="0"/>
              <w:widowControl/>
              <w:suppressLineNumbers w:val="0"/>
              <w:jc w:val="center"/>
              <w:textAlignment w:val="center"/>
              <w:rPr>
                <w:rFonts w:hint="default" w:ascii="Times New Roman" w:hAnsi="Times New Roman" w:eastAsia="宋体" w:cs="Times New Roman"/>
                <w:b/>
                <w:bCs/>
                <w:color w:val="auto"/>
                <w:sz w:val="22"/>
                <w:szCs w:val="22"/>
                <w:lang w:bidi="ar"/>
              </w:rPr>
            </w:pPr>
            <w:r>
              <w:rPr>
                <w:rFonts w:hint="default" w:ascii="Times New Roman" w:hAnsi="Times New Roman" w:eastAsia="宋体" w:cs="Times New Roman"/>
                <w:b/>
                <w:bCs/>
                <w:i w:val="0"/>
                <w:iCs w:val="0"/>
                <w:color w:val="auto"/>
                <w:kern w:val="0"/>
                <w:sz w:val="22"/>
                <w:szCs w:val="22"/>
                <w:u w:val="none"/>
                <w:lang w:val="en-US" w:eastAsia="zh-CN" w:bidi="ar"/>
              </w:rPr>
              <w:t>蔓延度指数（CONTAG）</w:t>
            </w:r>
          </w:p>
        </w:tc>
        <w:tc>
          <w:tcPr>
            <w:tcW w:w="1267" w:type="pct"/>
            <w:tcBorders>
              <w:right w:val="single" w:color="auto" w:sz="8" w:space="0"/>
            </w:tcBorders>
            <w:noWrap w:val="0"/>
            <w:vAlign w:val="center"/>
          </w:tcPr>
          <w:p w14:paraId="7C3227AB">
            <w:pPr>
              <w:keepNext w:val="0"/>
              <w:keepLines w:val="0"/>
              <w:widowControl/>
              <w:suppressLineNumbers w:val="0"/>
              <w:jc w:val="center"/>
              <w:textAlignment w:val="center"/>
              <w:rPr>
                <w:rFonts w:hint="default" w:ascii="Times New Roman" w:hAnsi="Times New Roman" w:eastAsia="宋体" w:cs="Times New Roman"/>
                <w:b/>
                <w:bCs/>
                <w:color w:val="auto"/>
                <w:sz w:val="22"/>
                <w:szCs w:val="22"/>
                <w:lang w:bidi="ar"/>
              </w:rPr>
            </w:pPr>
            <w:r>
              <w:rPr>
                <w:rFonts w:hint="default" w:ascii="Times New Roman" w:hAnsi="Times New Roman" w:eastAsia="宋体" w:cs="Times New Roman"/>
                <w:b/>
                <w:bCs/>
                <w:i w:val="0"/>
                <w:iCs w:val="0"/>
                <w:color w:val="auto"/>
                <w:kern w:val="0"/>
                <w:sz w:val="22"/>
                <w:szCs w:val="22"/>
                <w:u w:val="none"/>
                <w:lang w:val="en-US" w:eastAsia="zh-CN" w:bidi="ar"/>
              </w:rPr>
              <w:t>散布与并列指数（IJI）</w:t>
            </w:r>
          </w:p>
        </w:tc>
        <w:tc>
          <w:tcPr>
            <w:tcW w:w="910" w:type="pct"/>
            <w:tcBorders>
              <w:right w:val="single" w:color="auto" w:sz="8" w:space="0"/>
            </w:tcBorders>
            <w:noWrap w:val="0"/>
            <w:vAlign w:val="center"/>
          </w:tcPr>
          <w:p w14:paraId="0653BC54">
            <w:pPr>
              <w:keepNext w:val="0"/>
              <w:keepLines w:val="0"/>
              <w:widowControl/>
              <w:suppressLineNumbers w:val="0"/>
              <w:jc w:val="center"/>
              <w:textAlignment w:val="center"/>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i w:val="0"/>
                <w:iCs w:val="0"/>
                <w:color w:val="auto"/>
                <w:kern w:val="0"/>
                <w:sz w:val="22"/>
                <w:szCs w:val="22"/>
                <w:u w:val="none"/>
                <w:lang w:val="en-US" w:eastAsia="zh-CN" w:bidi="ar"/>
              </w:rPr>
              <w:t>聚集度指数（AI）</w:t>
            </w:r>
          </w:p>
        </w:tc>
      </w:tr>
      <w:tr w14:paraId="25E8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3" w:type="pct"/>
            <w:noWrap/>
            <w:vAlign w:val="center"/>
          </w:tcPr>
          <w:p w14:paraId="04FE336A">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1.25</w:t>
            </w:r>
          </w:p>
        </w:tc>
        <w:tc>
          <w:tcPr>
            <w:tcW w:w="1368" w:type="pct"/>
            <w:tcBorders>
              <w:right w:val="single" w:color="auto" w:sz="8" w:space="0"/>
            </w:tcBorders>
            <w:noWrap w:val="0"/>
            <w:vAlign w:val="center"/>
          </w:tcPr>
          <w:p w14:paraId="355F0BFE">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56.31</w:t>
            </w:r>
          </w:p>
        </w:tc>
        <w:tc>
          <w:tcPr>
            <w:tcW w:w="1267" w:type="pct"/>
            <w:tcBorders>
              <w:right w:val="single" w:color="auto" w:sz="8" w:space="0"/>
            </w:tcBorders>
            <w:noWrap w:val="0"/>
            <w:vAlign w:val="center"/>
          </w:tcPr>
          <w:p w14:paraId="24A54D2A">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72.69</w:t>
            </w:r>
          </w:p>
        </w:tc>
        <w:tc>
          <w:tcPr>
            <w:tcW w:w="910" w:type="pct"/>
            <w:tcBorders>
              <w:right w:val="single" w:color="auto" w:sz="8" w:space="0"/>
            </w:tcBorders>
            <w:noWrap w:val="0"/>
            <w:vAlign w:val="center"/>
          </w:tcPr>
          <w:p w14:paraId="11FCF4B6">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93.25</w:t>
            </w:r>
          </w:p>
        </w:tc>
      </w:tr>
    </w:tbl>
    <w:p w14:paraId="6CF6840A">
      <w:pPr>
        <w:adjustRightInd w:val="0"/>
        <w:snapToGrid w:val="0"/>
        <w:jc w:val="center"/>
        <w:textAlignment w:val="baseline"/>
        <w:rPr>
          <w:rFonts w:hint="default" w:ascii="Times New Roman" w:hAnsi="Times New Roman" w:eastAsia="宋体" w:cs="Times New Roman"/>
          <w:b/>
          <w:color w:val="auto"/>
          <w:sz w:val="26"/>
          <w:szCs w:val="26"/>
        </w:rPr>
      </w:pPr>
    </w:p>
    <w:p w14:paraId="46E870B0">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由上表可知，香农多样性指数为1.</w:t>
      </w:r>
      <w:r>
        <w:rPr>
          <w:rFonts w:hint="default" w:ascii="Times New Roman" w:hAnsi="Times New Roman" w:eastAsia="宋体" w:cs="Times New Roman"/>
          <w:color w:val="auto"/>
          <w:sz w:val="26"/>
          <w:szCs w:val="26"/>
          <w:lang w:val="en-US" w:eastAsia="zh-CN"/>
        </w:rPr>
        <w:t>25</w:t>
      </w:r>
      <w:r>
        <w:rPr>
          <w:rFonts w:hint="default" w:ascii="Times New Roman" w:hAnsi="Times New Roman" w:eastAsia="宋体" w:cs="Times New Roman"/>
          <w:color w:val="auto"/>
          <w:sz w:val="26"/>
          <w:szCs w:val="26"/>
        </w:rPr>
        <w:t>，该数值处于较</w:t>
      </w:r>
      <w:r>
        <w:rPr>
          <w:rFonts w:hint="default" w:ascii="Times New Roman" w:hAnsi="Times New Roman" w:eastAsia="宋体" w:cs="Times New Roman"/>
          <w:color w:val="auto"/>
          <w:sz w:val="26"/>
          <w:szCs w:val="26"/>
          <w:lang w:val="en-US" w:eastAsia="zh-CN"/>
        </w:rPr>
        <w:t>高</w:t>
      </w:r>
      <w:r>
        <w:rPr>
          <w:rFonts w:hint="default" w:ascii="Times New Roman" w:hAnsi="Times New Roman" w:eastAsia="宋体" w:cs="Times New Roman"/>
          <w:color w:val="auto"/>
          <w:sz w:val="26"/>
          <w:szCs w:val="26"/>
        </w:rPr>
        <w:t>水平，说明评价范围内景观类型的丰富度较</w:t>
      </w:r>
      <w:r>
        <w:rPr>
          <w:rFonts w:hint="default" w:ascii="Times New Roman" w:hAnsi="Times New Roman" w:eastAsia="宋体" w:cs="Times New Roman"/>
          <w:color w:val="auto"/>
          <w:sz w:val="26"/>
          <w:szCs w:val="26"/>
          <w:lang w:val="en-US" w:eastAsia="zh-CN"/>
        </w:rPr>
        <w:t>好</w:t>
      </w:r>
      <w:r>
        <w:rPr>
          <w:rFonts w:hint="default" w:ascii="Times New Roman" w:hAnsi="Times New Roman" w:eastAsia="宋体" w:cs="Times New Roman"/>
          <w:color w:val="auto"/>
          <w:sz w:val="26"/>
          <w:szCs w:val="26"/>
        </w:rPr>
        <w:t>；蔓延度指数为</w:t>
      </w:r>
      <w:r>
        <w:rPr>
          <w:rFonts w:hint="default" w:ascii="Times New Roman" w:hAnsi="Times New Roman" w:eastAsia="宋体" w:cs="Times New Roman"/>
          <w:color w:val="auto"/>
          <w:sz w:val="26"/>
          <w:szCs w:val="26"/>
          <w:lang w:val="en-US" w:eastAsia="zh-CN"/>
        </w:rPr>
        <w:t>56.31</w:t>
      </w:r>
      <w:r>
        <w:rPr>
          <w:rFonts w:hint="default" w:ascii="Times New Roman" w:hAnsi="Times New Roman" w:eastAsia="宋体" w:cs="Times New Roman"/>
          <w:color w:val="auto"/>
          <w:sz w:val="26"/>
          <w:szCs w:val="26"/>
        </w:rPr>
        <w:t>%，该数值处于中等水平，说明评价范围内仍表现出一定的优势景观连通性与蔓延程度；散布与并列指数为</w:t>
      </w:r>
      <w:r>
        <w:rPr>
          <w:rFonts w:hint="default" w:ascii="Times New Roman" w:hAnsi="Times New Roman" w:eastAsia="宋体" w:cs="Times New Roman"/>
          <w:color w:val="auto"/>
          <w:sz w:val="26"/>
          <w:szCs w:val="26"/>
          <w:lang w:val="en-US" w:eastAsia="zh-CN"/>
        </w:rPr>
        <w:t>72.69</w:t>
      </w:r>
      <w:r>
        <w:rPr>
          <w:rFonts w:hint="default" w:ascii="Times New Roman" w:hAnsi="Times New Roman" w:eastAsia="宋体" w:cs="Times New Roman"/>
          <w:color w:val="auto"/>
          <w:sz w:val="26"/>
          <w:szCs w:val="26"/>
        </w:rPr>
        <w:t>%，该数值处于较高水平，说明不同</w:t>
      </w:r>
      <w:r>
        <w:rPr>
          <w:rFonts w:hint="default" w:ascii="Times New Roman" w:hAnsi="Times New Roman" w:eastAsia="宋体" w:cs="Times New Roman"/>
          <w:color w:val="auto"/>
          <w:sz w:val="26"/>
          <w:szCs w:val="26"/>
          <w:lang w:val="en-US" w:eastAsia="zh-CN"/>
        </w:rPr>
        <w:t>斑块的</w:t>
      </w:r>
      <w:r>
        <w:rPr>
          <w:rFonts w:hint="default" w:ascii="Times New Roman" w:hAnsi="Times New Roman" w:eastAsia="宋体" w:cs="Times New Roman"/>
          <w:color w:val="auto"/>
          <w:sz w:val="26"/>
          <w:szCs w:val="26"/>
        </w:rPr>
        <w:t>景观混合度良好；聚集度指数</w:t>
      </w:r>
      <w:r>
        <w:rPr>
          <w:rFonts w:hint="default" w:ascii="Times New Roman" w:hAnsi="Times New Roman" w:eastAsia="宋体" w:cs="Times New Roman"/>
          <w:color w:val="auto"/>
          <w:sz w:val="26"/>
          <w:szCs w:val="26"/>
          <w:lang w:val="en-US" w:eastAsia="zh-CN"/>
        </w:rPr>
        <w:t>93.25</w:t>
      </w:r>
      <w:r>
        <w:rPr>
          <w:rFonts w:hint="default" w:ascii="Times New Roman" w:hAnsi="Times New Roman" w:eastAsia="宋体" w:cs="Times New Roman"/>
          <w:color w:val="auto"/>
          <w:sz w:val="26"/>
          <w:szCs w:val="26"/>
        </w:rPr>
        <w:t>%，该数值处于极高水平说明评价范围内</w:t>
      </w:r>
      <w:r>
        <w:rPr>
          <w:rFonts w:hint="default" w:ascii="Times New Roman" w:hAnsi="Times New Roman" w:eastAsia="宋体" w:cs="Times New Roman"/>
          <w:color w:val="auto"/>
          <w:sz w:val="26"/>
          <w:szCs w:val="26"/>
          <w:lang w:val="en-US" w:eastAsia="zh-CN"/>
        </w:rPr>
        <w:t>林地</w:t>
      </w:r>
      <w:r>
        <w:rPr>
          <w:rFonts w:hint="default" w:ascii="Times New Roman" w:hAnsi="Times New Roman" w:eastAsia="宋体" w:cs="Times New Roman"/>
          <w:color w:val="auto"/>
          <w:sz w:val="26"/>
          <w:szCs w:val="26"/>
        </w:rPr>
        <w:t>斑块具有较强的聚集性，同类斑块倾向于集中分布。</w:t>
      </w:r>
    </w:p>
    <w:p w14:paraId="43EF8195">
      <w:pPr>
        <w:pStyle w:val="93"/>
        <w:ind w:firstLine="520"/>
        <w:rPr>
          <w:rFonts w:hint="default" w:ascii="Times New Roman" w:hAnsi="Times New Roman" w:eastAsia="宋体" w:cs="Times New Roman"/>
          <w:snapToGrid w:val="0"/>
          <w:color w:val="auto"/>
          <w:sz w:val="26"/>
          <w:szCs w:val="26"/>
          <w:lang w:val="en-US" w:eastAsia="zh-CN"/>
        </w:rPr>
      </w:pPr>
      <w:r>
        <w:rPr>
          <w:rFonts w:hint="default" w:ascii="Times New Roman" w:hAnsi="Times New Roman" w:eastAsia="宋体" w:cs="Times New Roman"/>
          <w:b w:val="0"/>
          <w:bCs/>
          <w:color w:val="auto"/>
          <w:sz w:val="26"/>
          <w:szCs w:val="26"/>
          <w:lang w:val="en-US" w:eastAsia="zh-CN"/>
        </w:rPr>
        <w:t>综上，评价范围内景观整体表现为多样性较高，优势类型突出且连通性较好，同类斑块聚集程度较强。</w:t>
      </w:r>
    </w:p>
    <w:bookmarkEnd w:id="296"/>
    <w:p w14:paraId="67DEB4E9">
      <w:pPr>
        <w:adjustRightInd w:val="0"/>
        <w:snapToGrid w:val="0"/>
        <w:spacing w:line="500" w:lineRule="exact"/>
        <w:outlineLvl w:val="2"/>
        <w:rPr>
          <w:rFonts w:hint="default" w:ascii="Times New Roman" w:hAnsi="Times New Roman" w:eastAsia="宋体" w:cs="Times New Roman"/>
          <w:b/>
          <w:color w:val="auto"/>
          <w:sz w:val="26"/>
          <w:szCs w:val="26"/>
          <w:lang w:val="en-US" w:eastAsia="zh-CN"/>
        </w:rPr>
      </w:pPr>
      <w:r>
        <w:rPr>
          <w:rFonts w:hint="default" w:ascii="Times New Roman" w:hAnsi="Times New Roman" w:eastAsia="宋体" w:cs="Times New Roman"/>
          <w:b/>
          <w:color w:val="auto"/>
          <w:sz w:val="26"/>
          <w:szCs w:val="26"/>
          <w:lang w:val="en-US" w:eastAsia="zh-CN"/>
        </w:rPr>
        <w:t>4.3.5生态环境现状</w:t>
      </w:r>
    </w:p>
    <w:p w14:paraId="2D3AA4E9">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Times New Roman" w:hAnsi="Times New Roman" w:eastAsia="宋体" w:cs="Times New Roman"/>
          <w:snapToGrid w:val="0"/>
          <w:color w:val="auto"/>
          <w:kern w:val="0"/>
          <w:sz w:val="26"/>
          <w:szCs w:val="26"/>
          <w:lang w:eastAsia="zh-CN"/>
        </w:rPr>
      </w:pPr>
      <w:r>
        <w:rPr>
          <w:rFonts w:hint="default" w:ascii="Times New Roman" w:hAnsi="Times New Roman" w:eastAsia="宋体" w:cs="Times New Roman"/>
          <w:snapToGrid w:val="0"/>
          <w:color w:val="auto"/>
          <w:kern w:val="0"/>
          <w:sz w:val="26"/>
          <w:szCs w:val="26"/>
          <w:lang w:eastAsia="zh-CN"/>
        </w:rPr>
        <w:t>（</w:t>
      </w:r>
      <w:r>
        <w:rPr>
          <w:rFonts w:hint="default" w:ascii="Times New Roman" w:hAnsi="Times New Roman" w:eastAsia="宋体" w:cs="Times New Roman"/>
          <w:snapToGrid w:val="0"/>
          <w:color w:val="auto"/>
          <w:kern w:val="0"/>
          <w:sz w:val="26"/>
          <w:szCs w:val="26"/>
          <w:lang w:val="en-US" w:eastAsia="zh-CN"/>
        </w:rPr>
        <w:t>1</w:t>
      </w:r>
      <w:r>
        <w:rPr>
          <w:rFonts w:hint="default" w:ascii="Times New Roman" w:hAnsi="Times New Roman" w:eastAsia="宋体" w:cs="Times New Roman"/>
          <w:snapToGrid w:val="0"/>
          <w:color w:val="auto"/>
          <w:kern w:val="0"/>
          <w:sz w:val="26"/>
          <w:szCs w:val="26"/>
          <w:lang w:eastAsia="zh-CN"/>
        </w:rPr>
        <w:t>）调查内容：主要为调查范围内的</w:t>
      </w:r>
      <w:r>
        <w:rPr>
          <w:rFonts w:hint="default" w:ascii="Times New Roman" w:hAnsi="Times New Roman" w:eastAsia="宋体" w:cs="Times New Roman"/>
          <w:snapToGrid w:val="0"/>
          <w:color w:val="auto"/>
          <w:kern w:val="0"/>
          <w:sz w:val="26"/>
          <w:szCs w:val="26"/>
          <w:lang w:val="en-US" w:eastAsia="zh-CN"/>
        </w:rPr>
        <w:t>植物资源</w:t>
      </w:r>
      <w:r>
        <w:rPr>
          <w:rFonts w:hint="default" w:ascii="Times New Roman" w:hAnsi="Times New Roman" w:eastAsia="宋体" w:cs="Times New Roman"/>
          <w:snapToGrid w:val="0"/>
          <w:color w:val="auto"/>
          <w:kern w:val="0"/>
          <w:sz w:val="26"/>
          <w:szCs w:val="26"/>
          <w:lang w:eastAsia="zh-CN"/>
        </w:rPr>
        <w:t>现状、</w:t>
      </w:r>
      <w:r>
        <w:rPr>
          <w:rFonts w:hint="default" w:ascii="Times New Roman" w:hAnsi="Times New Roman" w:eastAsia="宋体" w:cs="Times New Roman"/>
          <w:snapToGrid w:val="0"/>
          <w:color w:val="auto"/>
          <w:kern w:val="0"/>
          <w:sz w:val="26"/>
          <w:szCs w:val="26"/>
          <w:lang w:val="en-US" w:eastAsia="zh-CN"/>
        </w:rPr>
        <w:t>动物资源现状、</w:t>
      </w:r>
      <w:r>
        <w:rPr>
          <w:rFonts w:hint="default" w:ascii="Times New Roman" w:hAnsi="Times New Roman" w:eastAsia="宋体" w:cs="Times New Roman"/>
          <w:snapToGrid w:val="0"/>
          <w:color w:val="auto"/>
          <w:kern w:val="0"/>
          <w:sz w:val="26"/>
          <w:szCs w:val="26"/>
          <w:lang w:eastAsia="zh-CN"/>
        </w:rPr>
        <w:t>生态</w:t>
      </w:r>
      <w:r>
        <w:rPr>
          <w:rFonts w:hint="default" w:ascii="Times New Roman" w:hAnsi="Times New Roman" w:eastAsia="宋体" w:cs="Times New Roman"/>
          <w:snapToGrid w:val="0"/>
          <w:color w:val="auto"/>
          <w:kern w:val="0"/>
          <w:sz w:val="26"/>
          <w:szCs w:val="26"/>
          <w:lang w:val="en-US" w:eastAsia="zh-CN"/>
        </w:rPr>
        <w:t>环境保护目标</w:t>
      </w:r>
      <w:r>
        <w:rPr>
          <w:rFonts w:hint="default" w:ascii="Times New Roman" w:hAnsi="Times New Roman" w:eastAsia="宋体" w:cs="Times New Roman"/>
          <w:snapToGrid w:val="0"/>
          <w:color w:val="auto"/>
          <w:kern w:val="0"/>
          <w:sz w:val="26"/>
          <w:szCs w:val="26"/>
          <w:lang w:eastAsia="zh-CN"/>
        </w:rPr>
        <w:t>以及调查区域内的主要生态问题等。</w:t>
      </w:r>
    </w:p>
    <w:p w14:paraId="072B94B3">
      <w:pPr>
        <w:pStyle w:val="62"/>
        <w:keepNext w:val="0"/>
        <w:keepLines w:val="0"/>
        <w:pageBreakBefore w:val="0"/>
        <w:widowControl w:val="0"/>
        <w:kinsoku/>
        <w:wordWrap/>
        <w:overflowPunct/>
        <w:topLinePunct w:val="0"/>
        <w:autoSpaceDE w:val="0"/>
        <w:autoSpaceDN w:val="0"/>
        <w:bidi w:val="0"/>
        <w:adjustRightInd w:val="0"/>
        <w:snapToGrid/>
        <w:spacing w:line="48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snapToGrid w:val="0"/>
          <w:color w:val="auto"/>
          <w:kern w:val="0"/>
          <w:sz w:val="26"/>
          <w:szCs w:val="26"/>
          <w:lang w:eastAsia="zh-CN"/>
        </w:rPr>
        <w:t>（</w:t>
      </w:r>
      <w:r>
        <w:rPr>
          <w:rFonts w:hint="default" w:ascii="Times New Roman" w:hAnsi="Times New Roman" w:eastAsia="宋体" w:cs="Times New Roman"/>
          <w:snapToGrid w:val="0"/>
          <w:color w:val="auto"/>
          <w:kern w:val="0"/>
          <w:sz w:val="26"/>
          <w:szCs w:val="26"/>
          <w:lang w:val="en-US" w:eastAsia="zh-CN"/>
        </w:rPr>
        <w:t>2</w:t>
      </w:r>
      <w:r>
        <w:rPr>
          <w:rFonts w:hint="default" w:ascii="Times New Roman" w:hAnsi="Times New Roman" w:eastAsia="宋体" w:cs="Times New Roman"/>
          <w:snapToGrid w:val="0"/>
          <w:color w:val="auto"/>
          <w:kern w:val="0"/>
          <w:sz w:val="26"/>
          <w:szCs w:val="26"/>
          <w:lang w:eastAsia="zh-CN"/>
        </w:rPr>
        <w:t>）调查方法：根据本项目调查内容、目的、</w:t>
      </w:r>
      <w:r>
        <w:rPr>
          <w:rFonts w:hint="default" w:ascii="Times New Roman" w:hAnsi="Times New Roman" w:eastAsia="宋体" w:cs="Times New Roman"/>
          <w:snapToGrid w:val="0"/>
          <w:color w:val="auto"/>
          <w:kern w:val="0"/>
          <w:sz w:val="26"/>
          <w:szCs w:val="26"/>
          <w:lang w:val="en-US" w:eastAsia="zh-CN"/>
        </w:rPr>
        <w:t>评</w:t>
      </w:r>
      <w:r>
        <w:rPr>
          <w:rFonts w:hint="default" w:ascii="Times New Roman" w:hAnsi="Times New Roman" w:eastAsia="宋体" w:cs="Times New Roman"/>
          <w:color w:val="auto"/>
          <w:sz w:val="26"/>
          <w:szCs w:val="26"/>
        </w:rPr>
        <w:t>价要求和评价范围</w:t>
      </w:r>
      <w:r>
        <w:rPr>
          <w:rFonts w:hint="default" w:ascii="Times New Roman" w:hAnsi="Times New Roman" w:eastAsia="宋体" w:cs="Times New Roman"/>
          <w:color w:val="auto"/>
          <w:sz w:val="26"/>
          <w:szCs w:val="26"/>
          <w:lang w:val="en-US" w:eastAsia="zh-CN"/>
        </w:rPr>
        <w:t>等</w:t>
      </w:r>
      <w:r>
        <w:rPr>
          <w:rFonts w:hint="default" w:ascii="Times New Roman" w:hAnsi="Times New Roman" w:eastAsia="宋体" w:cs="Times New Roman"/>
          <w:color w:val="auto"/>
          <w:sz w:val="26"/>
          <w:szCs w:val="26"/>
        </w:rPr>
        <w:t>情况</w:t>
      </w:r>
      <w:r>
        <w:rPr>
          <w:rFonts w:hint="default" w:ascii="Times New Roman" w:hAnsi="Times New Roman" w:eastAsia="宋体" w:cs="Times New Roman"/>
          <w:snapToGrid w:val="0"/>
          <w:color w:val="auto"/>
          <w:kern w:val="0"/>
          <w:sz w:val="26"/>
          <w:szCs w:val="26"/>
          <w:lang w:eastAsia="zh-CN"/>
        </w:rPr>
        <w:t>，确定本评</w:t>
      </w:r>
      <w:r>
        <w:rPr>
          <w:rFonts w:hint="default" w:ascii="Times New Roman" w:hAnsi="Times New Roman" w:eastAsia="宋体" w:cs="Times New Roman"/>
          <w:snapToGrid w:val="0"/>
          <w:color w:val="auto"/>
          <w:kern w:val="0"/>
          <w:sz w:val="26"/>
          <w:szCs w:val="26"/>
          <w:shd w:val="clear" w:fill="FFFFFF"/>
          <w:lang w:eastAsia="zh-CN"/>
        </w:rPr>
        <w:t>价区</w:t>
      </w:r>
      <w:r>
        <w:rPr>
          <w:rFonts w:hint="default" w:ascii="Times New Roman" w:hAnsi="Times New Roman" w:eastAsia="宋体" w:cs="Times New Roman"/>
          <w:color w:val="auto"/>
          <w:sz w:val="26"/>
          <w:szCs w:val="26"/>
          <w:highlight w:val="none"/>
          <w:lang w:val="en-US" w:eastAsia="zh-CN"/>
        </w:rPr>
        <w:t>生态环境现状调查采用资料收集法、遥感解译、现场勘查法对评价区生态环境现状进行调查。</w:t>
      </w:r>
    </w:p>
    <w:p w14:paraId="44242752">
      <w:pPr>
        <w:pStyle w:val="62"/>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lang w:val="en-US" w:eastAsia="zh-CN" w:bidi="ar-SA"/>
        </w:rPr>
        <w:t>①</w:t>
      </w:r>
      <w:r>
        <w:rPr>
          <w:rFonts w:hint="default" w:ascii="Times New Roman" w:hAnsi="Times New Roman" w:eastAsia="宋体" w:cs="Times New Roman"/>
          <w:color w:val="auto"/>
          <w:sz w:val="26"/>
          <w:szCs w:val="26"/>
          <w:highlight w:val="none"/>
          <w:lang w:val="en-US" w:eastAsia="zh-CN"/>
        </w:rPr>
        <w:t>资料收集</w:t>
      </w:r>
    </w:p>
    <w:p w14:paraId="32E647F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highlight w:val="none"/>
          <w:lang w:bidi="ar"/>
        </w:rPr>
        <w:t>收集整理区域生物多样性资料，参考《中国植物志</w:t>
      </w:r>
      <w:r>
        <w:rPr>
          <w:rFonts w:hint="default" w:ascii="Times New Roman" w:hAnsi="Times New Roman" w:eastAsia="宋体" w:cs="Times New Roman"/>
          <w:color w:val="auto"/>
          <w:sz w:val="26"/>
          <w:highlight w:val="none"/>
          <w:shd w:val="clear" w:fill="FFFFFF"/>
          <w:lang w:bidi="ar"/>
        </w:rPr>
        <w:t>》、《</w:t>
      </w:r>
      <w:r>
        <w:rPr>
          <w:rFonts w:hint="default" w:ascii="Times New Roman" w:hAnsi="Times New Roman" w:eastAsia="宋体" w:cs="Times New Roman"/>
          <w:color w:val="auto"/>
          <w:sz w:val="26"/>
          <w:highlight w:val="none"/>
          <w:lang w:bidi="ar"/>
        </w:rPr>
        <w:t>中国高等植物图鉴</w:t>
      </w:r>
      <w:r>
        <w:rPr>
          <w:rFonts w:hint="default" w:ascii="Times New Roman" w:hAnsi="Times New Roman" w:eastAsia="宋体" w:cs="Times New Roman"/>
          <w:color w:val="auto"/>
          <w:sz w:val="26"/>
          <w:highlight w:val="none"/>
          <w:shd w:val="clear" w:fill="FFFFFF"/>
          <w:lang w:bidi="ar"/>
        </w:rPr>
        <w:t>》、《</w:t>
      </w:r>
      <w:r>
        <w:rPr>
          <w:rFonts w:hint="default" w:ascii="Times New Roman" w:hAnsi="Times New Roman" w:eastAsia="宋体" w:cs="Times New Roman"/>
          <w:color w:val="auto"/>
          <w:sz w:val="26"/>
          <w:highlight w:val="none"/>
          <w:lang w:bidi="ar"/>
        </w:rPr>
        <w:t>四川植物志</w:t>
      </w:r>
      <w:r>
        <w:rPr>
          <w:rFonts w:hint="default" w:ascii="Times New Roman" w:hAnsi="Times New Roman" w:eastAsia="宋体" w:cs="Times New Roman"/>
          <w:color w:val="auto"/>
          <w:sz w:val="26"/>
          <w:highlight w:val="none"/>
          <w:shd w:val="clear" w:fill="FFFFFF"/>
          <w:lang w:bidi="ar"/>
        </w:rPr>
        <w:t>》</w:t>
      </w:r>
      <w:r>
        <w:rPr>
          <w:rFonts w:hint="default" w:ascii="Times New Roman" w:hAnsi="Times New Roman" w:eastAsia="宋体" w:cs="Times New Roman"/>
          <w:color w:val="auto"/>
          <w:sz w:val="26"/>
          <w:highlight w:val="none"/>
          <w:shd w:val="clear" w:fill="FFFFFF"/>
          <w:lang w:eastAsia="zh-CN" w:bidi="ar"/>
        </w:rPr>
        <w:t>、</w:t>
      </w:r>
      <w:r>
        <w:rPr>
          <w:rFonts w:hint="default" w:ascii="Times New Roman" w:hAnsi="Times New Roman" w:eastAsia="宋体" w:cs="Times New Roman"/>
          <w:snapToGrid w:val="0"/>
          <w:color w:val="auto"/>
          <w:kern w:val="0"/>
          <w:sz w:val="26"/>
          <w:szCs w:val="26"/>
          <w:shd w:val="clear" w:fill="FFFFFF"/>
          <w:lang w:eastAsia="zh-CN"/>
        </w:rPr>
        <w:t>《</w:t>
      </w:r>
      <w:r>
        <w:rPr>
          <w:rFonts w:hint="default" w:ascii="Times New Roman" w:hAnsi="Times New Roman" w:eastAsia="宋体" w:cs="Times New Roman"/>
          <w:snapToGrid w:val="0"/>
          <w:color w:val="auto"/>
          <w:kern w:val="0"/>
          <w:sz w:val="26"/>
          <w:szCs w:val="26"/>
          <w:lang w:eastAsia="zh-CN"/>
        </w:rPr>
        <w:t>重庆维管植物检索表</w:t>
      </w:r>
      <w:r>
        <w:rPr>
          <w:rFonts w:hint="default" w:ascii="Times New Roman" w:hAnsi="Times New Roman" w:eastAsia="宋体" w:cs="Times New Roman"/>
          <w:snapToGrid w:val="0"/>
          <w:color w:val="auto"/>
          <w:kern w:val="0"/>
          <w:sz w:val="26"/>
          <w:szCs w:val="26"/>
          <w:shd w:val="clear" w:fill="FFFFFF"/>
          <w:lang w:eastAsia="zh-CN"/>
        </w:rPr>
        <w:t>》</w:t>
      </w:r>
      <w:r>
        <w:rPr>
          <w:rFonts w:hint="default" w:ascii="Times New Roman" w:hAnsi="Times New Roman" w:eastAsia="宋体" w:cs="Times New Roman"/>
          <w:color w:val="auto"/>
          <w:sz w:val="26"/>
          <w:highlight w:val="none"/>
          <w:shd w:val="clear" w:fill="FFFFFF"/>
          <w:lang w:bidi="ar"/>
        </w:rPr>
        <w:t>、《</w:t>
      </w:r>
      <w:r>
        <w:rPr>
          <w:rFonts w:hint="default" w:ascii="Times New Roman" w:hAnsi="Times New Roman" w:eastAsia="宋体" w:cs="Times New Roman"/>
          <w:color w:val="auto"/>
          <w:sz w:val="26"/>
          <w:highlight w:val="none"/>
          <w:lang w:bidi="ar"/>
        </w:rPr>
        <w:t>中国植被</w:t>
      </w:r>
      <w:r>
        <w:rPr>
          <w:rFonts w:hint="default" w:ascii="Times New Roman" w:hAnsi="Times New Roman" w:eastAsia="宋体" w:cs="Times New Roman"/>
          <w:color w:val="auto"/>
          <w:sz w:val="26"/>
          <w:highlight w:val="none"/>
          <w:shd w:val="clear" w:fill="FFFFFF"/>
          <w:lang w:bidi="ar"/>
        </w:rPr>
        <w:t>》、《</w:t>
      </w:r>
      <w:r>
        <w:rPr>
          <w:rFonts w:hint="default" w:ascii="Times New Roman" w:hAnsi="Times New Roman" w:eastAsia="宋体" w:cs="Times New Roman"/>
          <w:color w:val="auto"/>
          <w:sz w:val="26"/>
          <w:highlight w:val="none"/>
          <w:lang w:bidi="ar"/>
        </w:rPr>
        <w:t>四川植被</w:t>
      </w:r>
      <w:r>
        <w:rPr>
          <w:rFonts w:hint="default" w:ascii="Times New Roman" w:hAnsi="Times New Roman" w:eastAsia="宋体" w:cs="Times New Roman"/>
          <w:color w:val="auto"/>
          <w:sz w:val="26"/>
          <w:highlight w:val="none"/>
          <w:shd w:val="clear" w:fill="FFFFFF"/>
          <w:lang w:bidi="ar"/>
        </w:rPr>
        <w:t>》</w:t>
      </w:r>
      <w:r>
        <w:rPr>
          <w:rFonts w:hint="default" w:ascii="Times New Roman" w:hAnsi="Times New Roman" w:eastAsia="宋体" w:cs="Times New Roman"/>
          <w:color w:val="auto"/>
          <w:sz w:val="26"/>
          <w:highlight w:val="none"/>
          <w:shd w:val="clear" w:fill="FFFFFF"/>
          <w:lang w:eastAsia="zh-CN" w:bidi="ar"/>
        </w:rPr>
        <w:t>、</w:t>
      </w:r>
      <w:r>
        <w:rPr>
          <w:rFonts w:hint="default" w:ascii="Times New Roman" w:hAnsi="Times New Roman" w:eastAsia="宋体" w:cs="Times New Roman"/>
          <w:color w:val="auto"/>
          <w:sz w:val="26"/>
          <w:highlight w:val="none"/>
          <w:shd w:val="clear" w:fill="FFFFFF"/>
        </w:rPr>
        <w:t>《</w:t>
      </w:r>
      <w:r>
        <w:rPr>
          <w:rFonts w:hint="default" w:ascii="Times New Roman" w:hAnsi="Times New Roman" w:eastAsia="宋体" w:cs="Times New Roman"/>
          <w:color w:val="auto"/>
          <w:sz w:val="26"/>
          <w:highlight w:val="none"/>
        </w:rPr>
        <w:t>中国动物志（两栖纲）》（科学出版社，2009年）、《中国爬行动物图鉴》（河南科学技术出版社，2002年）、《中国鸟类分类与分布名录（第3版）》（科学出版社，2017年）、《中国哺乳动物种和亚种分类名录与分布大全》，中国林业出版社，2003年</w:t>
      </w:r>
      <w:r>
        <w:rPr>
          <w:rFonts w:hint="default" w:ascii="Times New Roman" w:hAnsi="Times New Roman" w:eastAsia="宋体" w:cs="Times New Roman"/>
          <w:color w:val="auto"/>
          <w:sz w:val="26"/>
          <w:highlight w:val="none"/>
          <w:shd w:val="clear" w:fill="FFFFFF"/>
        </w:rPr>
        <w:t>）</w:t>
      </w:r>
      <w:r>
        <w:rPr>
          <w:rFonts w:hint="default" w:ascii="Times New Roman" w:hAnsi="Times New Roman" w:eastAsia="宋体" w:cs="Times New Roman"/>
          <w:color w:val="auto"/>
          <w:sz w:val="26"/>
          <w:highlight w:val="none"/>
        </w:rPr>
        <w:t>、《重庆脊椎动物名录（续一）（两栖纲、爬行纲）》（程地芸、陈恩渝，2002年）、《重庆市鸟类资源的最新统计》（曹长雷，2009年）、《重庆市哺乳动物名录及其生态地理分布》（彭杰，2018年）、《重庆市兽类资源及其区系分析》（韩宗先，2002）</w:t>
      </w:r>
      <w:r>
        <w:rPr>
          <w:rFonts w:hint="default" w:ascii="Times New Roman" w:hAnsi="Times New Roman" w:eastAsia="宋体" w:cs="Times New Roman"/>
          <w:color w:val="auto"/>
          <w:sz w:val="26"/>
          <w:highlight w:val="none"/>
          <w:lang w:bidi="ar"/>
        </w:rPr>
        <w:t>等专著</w:t>
      </w:r>
      <w:r>
        <w:rPr>
          <w:rFonts w:hint="default" w:ascii="Times New Roman" w:hAnsi="Times New Roman" w:eastAsia="宋体" w:cs="Times New Roman"/>
          <w:color w:val="auto"/>
          <w:sz w:val="26"/>
          <w:highlight w:val="none"/>
          <w:lang w:eastAsia="zh-CN" w:bidi="ar"/>
        </w:rPr>
        <w:t>，</w:t>
      </w:r>
      <w:r>
        <w:rPr>
          <w:rFonts w:hint="default" w:ascii="Times New Roman" w:hAnsi="Times New Roman" w:eastAsia="宋体" w:cs="Times New Roman"/>
          <w:snapToGrid w:val="0"/>
          <w:color w:val="auto"/>
          <w:kern w:val="0"/>
          <w:sz w:val="26"/>
          <w:szCs w:val="26"/>
          <w:lang w:eastAsia="zh-CN"/>
        </w:rPr>
        <w:t>结合访问当地居民及现场实地记录，补充区域相关生态环境现状评价</w:t>
      </w:r>
      <w:r>
        <w:rPr>
          <w:rFonts w:hint="default" w:ascii="Times New Roman" w:hAnsi="Times New Roman" w:eastAsia="宋体" w:cs="Times New Roman"/>
          <w:color w:val="auto"/>
          <w:sz w:val="26"/>
          <w:szCs w:val="26"/>
          <w:highlight w:val="none"/>
          <w:lang w:val="en-US" w:eastAsia="zh-CN"/>
        </w:rPr>
        <w:t>。</w:t>
      </w:r>
    </w:p>
    <w:p w14:paraId="4E79ED1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②遥感解译</w:t>
      </w:r>
    </w:p>
    <w:p w14:paraId="1BCDD755">
      <w:pPr>
        <w:adjustRightInd w:val="0"/>
        <w:snapToGrid w:val="0"/>
        <w:spacing w:line="480" w:lineRule="exact"/>
        <w:ind w:firstLine="520" w:firstLineChars="200"/>
        <w:rPr>
          <w:rFonts w:hint="default" w:ascii="Times New Roman" w:hAnsi="Times New Roman" w:eastAsia="宋体" w:cs="Times New Roman"/>
          <w:snapToGrid w:val="0"/>
          <w:color w:val="auto"/>
          <w:kern w:val="0"/>
          <w:sz w:val="26"/>
          <w:szCs w:val="26"/>
          <w:lang w:eastAsia="zh-CN"/>
        </w:rPr>
      </w:pPr>
      <w:r>
        <w:rPr>
          <w:rFonts w:hint="default" w:ascii="Times New Roman" w:hAnsi="Times New Roman" w:eastAsia="宋体" w:cs="Times New Roman"/>
          <w:color w:val="auto"/>
          <w:sz w:val="26"/>
          <w:highlight w:val="none"/>
          <w:lang w:bidi="ar"/>
        </w:rPr>
        <w:t>评价采取遥感影像解译、现场调查、地理信息系统分析制图与统计以及生态分析等方法对评价区植被类型、植被覆盖度、土地利用状况等专题进行解译，为环境影响评价提供科学依据。</w:t>
      </w:r>
      <w:r>
        <w:rPr>
          <w:rFonts w:hint="default" w:ascii="Times New Roman" w:hAnsi="Times New Roman" w:eastAsia="宋体" w:cs="Times New Roman"/>
          <w:snapToGrid w:val="0"/>
          <w:color w:val="auto"/>
          <w:kern w:val="0"/>
          <w:sz w:val="26"/>
          <w:szCs w:val="26"/>
          <w:lang w:eastAsia="zh-CN"/>
        </w:rPr>
        <w:t>本次遥感影像采用区域20</w:t>
      </w:r>
      <w:r>
        <w:rPr>
          <w:rFonts w:hint="default" w:ascii="Times New Roman" w:hAnsi="Times New Roman" w:eastAsia="宋体" w:cs="Times New Roman"/>
          <w:snapToGrid w:val="0"/>
          <w:color w:val="auto"/>
          <w:kern w:val="0"/>
          <w:sz w:val="26"/>
          <w:szCs w:val="26"/>
          <w:lang w:val="en-US" w:eastAsia="zh-CN"/>
        </w:rPr>
        <w:t>24</w:t>
      </w:r>
      <w:r>
        <w:rPr>
          <w:rFonts w:hint="default" w:ascii="Times New Roman" w:hAnsi="Times New Roman" w:eastAsia="宋体" w:cs="Times New Roman"/>
          <w:snapToGrid w:val="0"/>
          <w:color w:val="auto"/>
          <w:kern w:val="0"/>
          <w:sz w:val="26"/>
          <w:szCs w:val="26"/>
          <w:lang w:eastAsia="zh-CN"/>
        </w:rPr>
        <w:t>年</w:t>
      </w:r>
      <w:r>
        <w:rPr>
          <w:rFonts w:hint="default" w:ascii="Times New Roman" w:hAnsi="Times New Roman" w:eastAsia="宋体" w:cs="Times New Roman"/>
          <w:snapToGrid w:val="0"/>
          <w:color w:val="auto"/>
          <w:kern w:val="0"/>
          <w:sz w:val="26"/>
          <w:szCs w:val="26"/>
          <w:lang w:val="en-US" w:eastAsia="zh-CN"/>
        </w:rPr>
        <w:t>10</w:t>
      </w:r>
      <w:r>
        <w:rPr>
          <w:rFonts w:hint="default" w:ascii="Times New Roman" w:hAnsi="Times New Roman" w:eastAsia="宋体" w:cs="Times New Roman"/>
          <w:snapToGrid w:val="0"/>
          <w:color w:val="auto"/>
          <w:kern w:val="0"/>
          <w:sz w:val="26"/>
          <w:szCs w:val="26"/>
          <w:lang w:eastAsia="zh-CN"/>
        </w:rPr>
        <w:t>月</w:t>
      </w:r>
      <w:r>
        <w:rPr>
          <w:rFonts w:hint="default" w:ascii="Times New Roman" w:hAnsi="Times New Roman" w:eastAsia="宋体" w:cs="Times New Roman"/>
          <w:snapToGrid w:val="0"/>
          <w:color w:val="auto"/>
          <w:kern w:val="0"/>
          <w:sz w:val="26"/>
          <w:szCs w:val="26"/>
          <w:lang w:val="en-US" w:eastAsia="zh-CN"/>
        </w:rPr>
        <w:t>2.1</w:t>
      </w:r>
      <w:r>
        <w:rPr>
          <w:rFonts w:hint="default" w:ascii="Times New Roman" w:hAnsi="Times New Roman" w:eastAsia="宋体" w:cs="Times New Roman"/>
          <w:snapToGrid w:val="0"/>
          <w:color w:val="auto"/>
          <w:kern w:val="0"/>
          <w:sz w:val="26"/>
          <w:szCs w:val="26"/>
          <w:lang w:eastAsia="zh-CN"/>
        </w:rPr>
        <w:t>m分辨率卫星影像作为解译基础底图，遥感解译方法是运用解译标志和实践经验与知识，从遥感影像上识别目标，定性、定量地提取出目标的分布、结构、功能等有关信息，并把它们在地理底图上表示出来。</w:t>
      </w:r>
    </w:p>
    <w:p w14:paraId="1A0CF2FD">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Times New Roman" w:hAnsi="Times New Roman" w:eastAsia="宋体" w:cs="Times New Roman"/>
          <w:snapToGrid w:val="0"/>
          <w:color w:val="auto"/>
          <w:kern w:val="0"/>
          <w:sz w:val="26"/>
          <w:szCs w:val="26"/>
          <w:lang w:eastAsia="zh-CN"/>
        </w:rPr>
      </w:pPr>
      <w:r>
        <w:rPr>
          <w:rFonts w:hint="default" w:ascii="Times New Roman" w:hAnsi="Times New Roman" w:eastAsia="宋体" w:cs="Times New Roman"/>
          <w:snapToGrid w:val="0"/>
          <w:color w:val="auto"/>
          <w:kern w:val="0"/>
          <w:sz w:val="26"/>
          <w:szCs w:val="26"/>
          <w:lang w:val="en-US" w:eastAsia="zh-CN"/>
        </w:rPr>
        <w:t>②</w:t>
      </w:r>
      <w:r>
        <w:rPr>
          <w:rFonts w:hint="default" w:ascii="Times New Roman" w:hAnsi="Times New Roman" w:eastAsia="宋体" w:cs="Times New Roman"/>
          <w:snapToGrid w:val="0"/>
          <w:color w:val="auto"/>
          <w:kern w:val="0"/>
          <w:sz w:val="26"/>
          <w:szCs w:val="26"/>
          <w:lang w:eastAsia="zh-CN"/>
        </w:rPr>
        <w:t>野外实地调查</w:t>
      </w:r>
    </w:p>
    <w:p w14:paraId="0C510D09">
      <w:pPr>
        <w:pStyle w:val="56"/>
        <w:rPr>
          <w:rFonts w:hint="default" w:ascii="Times New Roman" w:hAnsi="Times New Roman" w:eastAsia="宋体" w:cs="Times New Roman"/>
          <w:snapToGrid w:val="0"/>
          <w:color w:val="auto"/>
          <w:kern w:val="0"/>
          <w:sz w:val="26"/>
          <w:szCs w:val="26"/>
          <w:lang w:eastAsia="zh-CN"/>
        </w:rPr>
      </w:pPr>
      <w:r>
        <w:rPr>
          <w:rFonts w:hint="default" w:ascii="Times New Roman" w:hAnsi="Times New Roman" w:eastAsia="宋体" w:cs="Times New Roman"/>
          <w:snapToGrid w:val="0"/>
          <w:color w:val="auto"/>
          <w:kern w:val="0"/>
          <w:sz w:val="26"/>
          <w:szCs w:val="26"/>
          <w:lang w:eastAsia="zh-CN"/>
        </w:rPr>
        <w:t>采用现场调查数据（样方、样线实地调查）和相关资料相结合的方法开展生态现状综合评价。</w:t>
      </w:r>
      <w:r>
        <w:rPr>
          <w:rFonts w:hint="default" w:ascii="Times New Roman" w:hAnsi="Times New Roman" w:eastAsia="宋体" w:cs="Times New Roman"/>
          <w:snapToGrid w:val="0"/>
          <w:color w:val="auto"/>
          <w:kern w:val="0"/>
          <w:sz w:val="26"/>
          <w:szCs w:val="26"/>
          <w:lang w:val="en-US" w:eastAsia="zh-CN"/>
        </w:rPr>
        <w:t>通过</w:t>
      </w:r>
      <w:r>
        <w:rPr>
          <w:rFonts w:hint="default" w:ascii="Times New Roman" w:hAnsi="Times New Roman" w:eastAsia="宋体" w:cs="Times New Roman"/>
          <w:snapToGrid w:val="0"/>
          <w:color w:val="auto"/>
          <w:kern w:val="0"/>
          <w:sz w:val="26"/>
          <w:szCs w:val="26"/>
          <w:lang w:eastAsia="zh-CN"/>
        </w:rPr>
        <w:t>GPS地面类型取样，</w:t>
      </w:r>
      <w:r>
        <w:rPr>
          <w:rFonts w:hint="default" w:ascii="Times New Roman" w:hAnsi="Times New Roman" w:eastAsia="宋体" w:cs="Times New Roman"/>
          <w:snapToGrid w:val="0"/>
          <w:color w:val="auto"/>
          <w:kern w:val="0"/>
          <w:sz w:val="26"/>
          <w:szCs w:val="26"/>
          <w:lang w:val="en-US" w:eastAsia="zh-CN"/>
        </w:rPr>
        <w:t>由</w:t>
      </w:r>
      <w:r>
        <w:rPr>
          <w:rFonts w:hint="default" w:ascii="Times New Roman" w:hAnsi="Times New Roman" w:eastAsia="宋体" w:cs="Times New Roman"/>
          <w:snapToGrid w:val="0"/>
          <w:color w:val="auto"/>
          <w:kern w:val="0"/>
          <w:sz w:val="26"/>
          <w:szCs w:val="26"/>
          <w:lang w:eastAsia="zh-CN"/>
        </w:rPr>
        <w:t>GPS与海拔表相结合，确定被测点的经纬度和海拔；以群系为单位记录样方植被类型，记录样</w:t>
      </w:r>
      <w:r>
        <w:rPr>
          <w:rFonts w:hint="default" w:ascii="Times New Roman" w:hAnsi="Times New Roman" w:eastAsia="宋体" w:cs="Times New Roman"/>
          <w:snapToGrid w:val="0"/>
          <w:color w:val="auto"/>
          <w:kern w:val="0"/>
          <w:sz w:val="26"/>
          <w:szCs w:val="26"/>
          <w:lang w:val="en-US" w:eastAsia="zh-CN"/>
        </w:rPr>
        <w:t>方</w:t>
      </w:r>
      <w:r>
        <w:rPr>
          <w:rFonts w:hint="default" w:ascii="Times New Roman" w:hAnsi="Times New Roman" w:eastAsia="宋体" w:cs="Times New Roman"/>
          <w:snapToGrid w:val="0"/>
          <w:color w:val="auto"/>
          <w:kern w:val="0"/>
          <w:sz w:val="26"/>
          <w:szCs w:val="26"/>
          <w:lang w:eastAsia="zh-CN"/>
        </w:rPr>
        <w:t>植物组成、分布区域，</w:t>
      </w:r>
      <w:r>
        <w:rPr>
          <w:rFonts w:hint="default" w:ascii="Times New Roman" w:hAnsi="Times New Roman" w:eastAsia="宋体" w:cs="Times New Roman"/>
          <w:snapToGrid w:val="0"/>
          <w:color w:val="auto"/>
          <w:kern w:val="0"/>
          <w:sz w:val="26"/>
          <w:szCs w:val="26"/>
          <w:lang w:val="en-US" w:eastAsia="zh-CN"/>
        </w:rPr>
        <w:t>并</w:t>
      </w:r>
      <w:r>
        <w:rPr>
          <w:rFonts w:hint="default" w:ascii="Times New Roman" w:hAnsi="Times New Roman" w:eastAsia="宋体" w:cs="Times New Roman"/>
          <w:snapToGrid w:val="0"/>
          <w:color w:val="auto"/>
          <w:kern w:val="0"/>
          <w:sz w:val="26"/>
          <w:szCs w:val="26"/>
          <w:lang w:eastAsia="zh-CN"/>
        </w:rPr>
        <w:t>拍摄典型植被外貌与结构特征；调查动物的分布及活动情况、野生动物生境。</w:t>
      </w:r>
    </w:p>
    <w:p w14:paraId="3C46869D">
      <w:pPr>
        <w:pStyle w:val="56"/>
        <w:rPr>
          <w:rFonts w:hint="default" w:ascii="Times New Roman" w:hAnsi="Times New Roman" w:eastAsia="宋体" w:cs="Times New Roman"/>
          <w:snapToGrid w:val="0"/>
          <w:color w:val="auto"/>
          <w:kern w:val="0"/>
          <w:sz w:val="26"/>
          <w:szCs w:val="26"/>
          <w:lang w:eastAsia="zh-CN"/>
        </w:rPr>
      </w:pPr>
      <w:r>
        <w:rPr>
          <w:rFonts w:hint="default" w:ascii="Times New Roman" w:hAnsi="Times New Roman" w:eastAsia="宋体" w:cs="Times New Roman"/>
          <w:snapToGrid w:val="0"/>
          <w:color w:val="auto"/>
          <w:kern w:val="0"/>
          <w:sz w:val="26"/>
          <w:szCs w:val="26"/>
          <w:lang w:val="en-US" w:eastAsia="zh-CN"/>
        </w:rPr>
        <w:t>A.</w:t>
      </w:r>
      <w:r>
        <w:rPr>
          <w:rFonts w:hint="default" w:ascii="Times New Roman" w:hAnsi="Times New Roman" w:eastAsia="宋体" w:cs="Times New Roman"/>
          <w:snapToGrid w:val="0"/>
          <w:color w:val="auto"/>
          <w:kern w:val="0"/>
          <w:sz w:val="26"/>
          <w:szCs w:val="26"/>
          <w:lang w:eastAsia="zh-CN"/>
        </w:rPr>
        <w:t>植物群落调查方法：调查过程中，确定评价范围内的植物种类、经济植物种类及资源状况、珍稀濒危植物的种类及生存状况等。实地调查采取路线调查与重点调查相结合的方法，评价区植被采取路线调查，在重点影响区域以及植被良好的区域重点调查；对资源植物和珍稀濒危植物调查采取野外调查、民间访问和市场调查相结合的方法进行；对有疑问的植物和珍稀濒危植物采集凭证标本并拍摄照片，根据《中国植物志</w:t>
      </w:r>
      <w:r>
        <w:rPr>
          <w:rFonts w:hint="default" w:ascii="Times New Roman" w:hAnsi="Times New Roman" w:eastAsia="宋体" w:cs="Times New Roman"/>
          <w:snapToGrid w:val="0"/>
          <w:color w:val="auto"/>
          <w:kern w:val="0"/>
          <w:sz w:val="26"/>
          <w:szCs w:val="26"/>
          <w:shd w:val="clear" w:fill="FFFFFF"/>
          <w:lang w:eastAsia="zh-CN"/>
        </w:rPr>
        <w:t>》、《</w:t>
      </w:r>
      <w:r>
        <w:rPr>
          <w:rFonts w:hint="default" w:ascii="Times New Roman" w:hAnsi="Times New Roman" w:eastAsia="宋体" w:cs="Times New Roman"/>
          <w:snapToGrid w:val="0"/>
          <w:color w:val="auto"/>
          <w:kern w:val="0"/>
          <w:sz w:val="26"/>
          <w:szCs w:val="26"/>
          <w:lang w:val="en-US" w:eastAsia="zh-CN"/>
        </w:rPr>
        <w:t>四川</w:t>
      </w:r>
      <w:r>
        <w:rPr>
          <w:rFonts w:hint="default" w:ascii="Times New Roman" w:hAnsi="Times New Roman" w:eastAsia="宋体" w:cs="Times New Roman"/>
          <w:snapToGrid w:val="0"/>
          <w:color w:val="auto"/>
          <w:kern w:val="0"/>
          <w:sz w:val="26"/>
          <w:szCs w:val="26"/>
          <w:lang w:eastAsia="zh-CN"/>
        </w:rPr>
        <w:t>植物志</w:t>
      </w:r>
      <w:r>
        <w:rPr>
          <w:rFonts w:hint="default" w:ascii="Times New Roman" w:hAnsi="Times New Roman" w:eastAsia="宋体" w:cs="Times New Roman"/>
          <w:snapToGrid w:val="0"/>
          <w:color w:val="auto"/>
          <w:kern w:val="0"/>
          <w:sz w:val="26"/>
          <w:szCs w:val="26"/>
          <w:shd w:val="clear" w:fill="FFFFFF"/>
          <w:lang w:eastAsia="zh-CN"/>
        </w:rPr>
        <w:t>》、《</w:t>
      </w:r>
      <w:r>
        <w:rPr>
          <w:rFonts w:hint="default" w:ascii="Times New Roman" w:hAnsi="Times New Roman" w:eastAsia="宋体" w:cs="Times New Roman"/>
          <w:snapToGrid w:val="0"/>
          <w:color w:val="auto"/>
          <w:kern w:val="0"/>
          <w:sz w:val="26"/>
          <w:szCs w:val="26"/>
          <w:lang w:eastAsia="zh-CN"/>
        </w:rPr>
        <w:t>重庆维管植物检索表》等进行鉴定。植物和植被调查采用路线法和样方法相结合，野外工作时，除记录观察到的植物物种外，同时在地图</w:t>
      </w:r>
      <w:r>
        <w:rPr>
          <w:rFonts w:hint="default" w:ascii="Times New Roman" w:hAnsi="Times New Roman" w:eastAsia="宋体" w:cs="Times New Roman"/>
          <w:snapToGrid w:val="0"/>
          <w:color w:val="auto"/>
          <w:kern w:val="0"/>
          <w:sz w:val="26"/>
          <w:szCs w:val="26"/>
          <w:shd w:val="clear" w:fill="FFFFFF"/>
          <w:lang w:eastAsia="zh-CN"/>
        </w:rPr>
        <w:t>上勾</w:t>
      </w:r>
      <w:r>
        <w:rPr>
          <w:rFonts w:hint="default" w:ascii="Times New Roman" w:hAnsi="Times New Roman" w:eastAsia="宋体" w:cs="Times New Roman"/>
          <w:snapToGrid w:val="0"/>
          <w:color w:val="auto"/>
          <w:kern w:val="0"/>
          <w:sz w:val="26"/>
          <w:szCs w:val="26"/>
          <w:lang w:eastAsia="zh-CN"/>
        </w:rPr>
        <w:t>绘观察到的植物群落类型和边界。沿样线随机确定植物群落调查样方，样方分成乔木、灌丛和草本三种类型，面积大小一般为20m×20m，</w:t>
      </w:r>
      <w:r>
        <w:rPr>
          <w:rFonts w:hint="default" w:ascii="Times New Roman" w:hAnsi="Times New Roman" w:eastAsia="宋体" w:cs="Times New Roman"/>
          <w:snapToGrid w:val="0"/>
          <w:color w:val="auto"/>
          <w:kern w:val="0"/>
          <w:sz w:val="26"/>
          <w:szCs w:val="26"/>
          <w:lang w:val="en-US" w:eastAsia="zh-CN"/>
        </w:rPr>
        <w:t>10</w:t>
      </w:r>
      <w:r>
        <w:rPr>
          <w:rFonts w:hint="default" w:ascii="Times New Roman" w:hAnsi="Times New Roman" w:eastAsia="宋体" w:cs="Times New Roman"/>
          <w:snapToGrid w:val="0"/>
          <w:color w:val="auto"/>
          <w:kern w:val="0"/>
          <w:sz w:val="26"/>
          <w:szCs w:val="26"/>
          <w:lang w:eastAsia="zh-CN"/>
        </w:rPr>
        <w:t>m×</w:t>
      </w:r>
      <w:r>
        <w:rPr>
          <w:rFonts w:hint="default" w:ascii="Times New Roman" w:hAnsi="Times New Roman" w:eastAsia="宋体" w:cs="Times New Roman"/>
          <w:snapToGrid w:val="0"/>
          <w:color w:val="auto"/>
          <w:kern w:val="0"/>
          <w:sz w:val="26"/>
          <w:szCs w:val="26"/>
          <w:lang w:val="en-US" w:eastAsia="zh-CN"/>
        </w:rPr>
        <w:t>10</w:t>
      </w:r>
      <w:r>
        <w:rPr>
          <w:rFonts w:hint="default" w:ascii="Times New Roman" w:hAnsi="Times New Roman" w:eastAsia="宋体" w:cs="Times New Roman"/>
          <w:snapToGrid w:val="0"/>
          <w:color w:val="auto"/>
          <w:kern w:val="0"/>
          <w:sz w:val="26"/>
          <w:szCs w:val="26"/>
          <w:lang w:eastAsia="zh-CN"/>
        </w:rPr>
        <w:t>m和1m×1m，各植被群落分别设置三个样方。</w:t>
      </w:r>
    </w:p>
    <w:p w14:paraId="6495E28F">
      <w:pPr>
        <w:pStyle w:val="56"/>
        <w:rPr>
          <w:rFonts w:hint="default" w:ascii="Times New Roman" w:hAnsi="Times New Roman" w:eastAsia="宋体" w:cs="Times New Roman"/>
          <w:snapToGrid w:val="0"/>
          <w:color w:val="auto"/>
          <w:kern w:val="0"/>
          <w:sz w:val="26"/>
          <w:szCs w:val="26"/>
          <w:lang w:eastAsia="zh-CN"/>
        </w:rPr>
      </w:pPr>
      <w:r>
        <w:rPr>
          <w:rFonts w:hint="default" w:ascii="Times New Roman" w:hAnsi="Times New Roman" w:eastAsia="宋体" w:cs="Times New Roman"/>
          <w:snapToGrid w:val="0"/>
          <w:color w:val="auto"/>
          <w:kern w:val="0"/>
          <w:sz w:val="26"/>
          <w:szCs w:val="26"/>
          <w:lang w:val="en-US" w:eastAsia="zh-CN"/>
        </w:rPr>
        <w:t>B.</w:t>
      </w:r>
      <w:r>
        <w:rPr>
          <w:rFonts w:hint="default" w:ascii="Times New Roman" w:hAnsi="Times New Roman" w:eastAsia="宋体" w:cs="Times New Roman"/>
          <w:snapToGrid w:val="0"/>
          <w:color w:val="auto"/>
          <w:kern w:val="0"/>
          <w:sz w:val="26"/>
          <w:szCs w:val="26"/>
          <w:lang w:eastAsia="zh-CN"/>
        </w:rPr>
        <w:t>动物调</w:t>
      </w:r>
      <w:r>
        <w:rPr>
          <w:rFonts w:hint="default" w:ascii="Times New Roman" w:hAnsi="Times New Roman" w:eastAsia="宋体" w:cs="Times New Roman"/>
          <w:snapToGrid w:val="0"/>
          <w:color w:val="auto"/>
          <w:kern w:val="0"/>
          <w:sz w:val="26"/>
          <w:szCs w:val="26"/>
          <w:shd w:val="clear" w:fill="FFFFFF"/>
          <w:lang w:eastAsia="zh-CN"/>
        </w:rPr>
        <w:t>查</w:t>
      </w:r>
      <w:r>
        <w:rPr>
          <w:rFonts w:hint="default" w:ascii="Times New Roman" w:hAnsi="Times New Roman" w:eastAsia="宋体" w:cs="Times New Roman"/>
          <w:snapToGrid w:val="0"/>
          <w:color w:val="auto"/>
          <w:kern w:val="0"/>
          <w:sz w:val="26"/>
          <w:szCs w:val="26"/>
          <w:lang w:eastAsia="zh-CN"/>
        </w:rPr>
        <w:t>方法：主要采用收集资料法、现场询问法、</w:t>
      </w:r>
      <w:r>
        <w:rPr>
          <w:rFonts w:hint="default" w:ascii="Times New Roman" w:hAnsi="Times New Roman" w:eastAsia="宋体" w:cs="Times New Roman"/>
          <w:snapToGrid w:val="0"/>
          <w:color w:val="auto"/>
          <w:kern w:val="0"/>
          <w:sz w:val="26"/>
          <w:szCs w:val="26"/>
          <w:lang w:val="en-US" w:eastAsia="zh-CN"/>
        </w:rPr>
        <w:t>实地调查法</w:t>
      </w:r>
      <w:r>
        <w:rPr>
          <w:rFonts w:hint="default" w:ascii="Times New Roman" w:hAnsi="Times New Roman" w:eastAsia="宋体" w:cs="Times New Roman"/>
          <w:snapToGrid w:val="0"/>
          <w:color w:val="auto"/>
          <w:kern w:val="0"/>
          <w:sz w:val="26"/>
          <w:szCs w:val="26"/>
          <w:lang w:eastAsia="zh-CN"/>
        </w:rPr>
        <w:t>等。调查内容</w:t>
      </w:r>
      <w:r>
        <w:rPr>
          <w:rFonts w:hint="default" w:ascii="Times New Roman" w:hAnsi="Times New Roman" w:eastAsia="宋体" w:cs="Times New Roman"/>
          <w:snapToGrid w:val="0"/>
          <w:color w:val="auto"/>
          <w:kern w:val="0"/>
          <w:sz w:val="26"/>
          <w:szCs w:val="26"/>
          <w:shd w:val="clear" w:fill="FFFFFF"/>
          <w:lang w:eastAsia="zh-CN"/>
        </w:rPr>
        <w:t>包括了</w:t>
      </w:r>
      <w:r>
        <w:rPr>
          <w:rFonts w:hint="default" w:ascii="Times New Roman" w:hAnsi="Times New Roman" w:eastAsia="宋体" w:cs="Times New Roman"/>
          <w:color w:val="auto"/>
          <w:lang w:eastAsia="zh-CN"/>
        </w:rPr>
        <w:t>评价</w:t>
      </w:r>
      <w:r>
        <w:rPr>
          <w:rFonts w:hint="default" w:ascii="Times New Roman" w:hAnsi="Times New Roman" w:eastAsia="宋体" w:cs="Times New Roman"/>
          <w:snapToGrid w:val="0"/>
          <w:color w:val="auto"/>
          <w:kern w:val="0"/>
          <w:sz w:val="26"/>
          <w:szCs w:val="26"/>
          <w:lang w:eastAsia="zh-CN"/>
        </w:rPr>
        <w:t>范围内野生脊椎动物（包括哺乳类、鸟类、爬行类、两栖类等）种类及其生态习性、分布状况及栖息环境等。</w:t>
      </w:r>
    </w:p>
    <w:p w14:paraId="01B0871F">
      <w:pPr>
        <w:keepNext w:val="0"/>
        <w:keepLines w:val="0"/>
        <w:pageBreakBefore w:val="0"/>
        <w:widowControl/>
        <w:kinsoku/>
        <w:wordWrap/>
        <w:overflowPunct/>
        <w:topLinePunct w:val="0"/>
        <w:autoSpaceDE/>
        <w:autoSpaceDN/>
        <w:bidi w:val="0"/>
        <w:adjustRightInd w:val="0"/>
        <w:snapToGrid w:val="0"/>
        <w:spacing w:line="500" w:lineRule="exact"/>
        <w:textAlignment w:val="auto"/>
        <w:outlineLvl w:val="3"/>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4.3.</w:t>
      </w:r>
      <w:r>
        <w:rPr>
          <w:rFonts w:hint="default" w:ascii="Times New Roman" w:hAnsi="Times New Roman" w:eastAsia="宋体" w:cs="Times New Roman"/>
          <w:b/>
          <w:color w:val="auto"/>
          <w:sz w:val="26"/>
          <w:szCs w:val="26"/>
          <w:lang w:val="en-US" w:eastAsia="zh-CN"/>
        </w:rPr>
        <w:t>5.1</w:t>
      </w:r>
      <w:r>
        <w:rPr>
          <w:rFonts w:hint="default" w:ascii="Times New Roman" w:hAnsi="Times New Roman" w:eastAsia="宋体" w:cs="Times New Roman"/>
          <w:b/>
          <w:color w:val="auto"/>
          <w:sz w:val="26"/>
          <w:szCs w:val="26"/>
        </w:rPr>
        <w:t xml:space="preserve"> 植物资源现状</w:t>
      </w:r>
    </w:p>
    <w:p w14:paraId="24F53FC1">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default" w:ascii="Times New Roman" w:hAnsi="Times New Roman" w:eastAsia="宋体" w:cs="Times New Roman"/>
          <w:b/>
          <w:bCs/>
          <w:snapToGrid w:val="0"/>
          <w:color w:val="auto"/>
          <w:kern w:val="0"/>
          <w:sz w:val="26"/>
          <w:szCs w:val="26"/>
          <w:lang w:val="en-US" w:eastAsia="zh-CN"/>
        </w:rPr>
      </w:pPr>
      <w:bookmarkStart w:id="297" w:name="_Hlk132384172"/>
      <w:r>
        <w:rPr>
          <w:rFonts w:hint="default" w:ascii="Times New Roman" w:hAnsi="Times New Roman" w:eastAsia="宋体" w:cs="Times New Roman"/>
          <w:b/>
          <w:bCs/>
          <w:snapToGrid w:val="0"/>
          <w:color w:val="auto"/>
          <w:kern w:val="0"/>
          <w:sz w:val="26"/>
          <w:szCs w:val="26"/>
          <w:lang w:val="en-US" w:eastAsia="zh-CN"/>
        </w:rPr>
        <w:t>（1）样方布设原则</w:t>
      </w:r>
    </w:p>
    <w:p w14:paraId="08CCFAF3">
      <w:pPr>
        <w:pStyle w:val="56"/>
        <w:rPr>
          <w:rFonts w:hint="default" w:ascii="Times New Roman" w:hAnsi="Times New Roman" w:eastAsia="宋体" w:cs="Times New Roman"/>
          <w:snapToGrid w:val="0"/>
          <w:color w:val="auto"/>
          <w:kern w:val="0"/>
          <w:sz w:val="26"/>
          <w:szCs w:val="26"/>
          <w:lang w:val="en-US" w:eastAsia="zh-CN"/>
        </w:rPr>
      </w:pPr>
      <w:r>
        <w:rPr>
          <w:rFonts w:hint="default" w:ascii="Times New Roman" w:hAnsi="Times New Roman" w:eastAsia="宋体" w:cs="Times New Roman"/>
          <w:snapToGrid w:val="0"/>
          <w:color w:val="auto"/>
          <w:kern w:val="0"/>
          <w:sz w:val="26"/>
          <w:szCs w:val="26"/>
          <w:lang w:val="en-US" w:eastAsia="zh-CN"/>
        </w:rPr>
        <w:t>植被调查取样的目的是通过样方的研究，准确地推测评价范围内植被的总体概况。因此所选取的样方应具有代表性，能通过有限的抽样获得较为准确的植被有关特征。在对评价范围的植被进行样方调查的过程中，采取的原则是：①在拟建项目施工范围周围设置样方，并考虑区域布点的均匀性和代表性；②所选取的样方植被为评价范围分布比较普遍的类型；③样方的设置避免对同一种植被进行重复设点；④尽量避免取样误差，避免选择路边易到之处，两人以上</w:t>
      </w:r>
      <w:r>
        <w:rPr>
          <w:rFonts w:hint="default" w:ascii="Times New Roman" w:hAnsi="Times New Roman" w:eastAsia="宋体" w:cs="Times New Roman"/>
          <w:color w:val="auto"/>
          <w:lang w:val="en-US" w:eastAsia="zh-CN"/>
        </w:rPr>
        <w:t>进行</w:t>
      </w:r>
      <w:r>
        <w:rPr>
          <w:rFonts w:hint="default" w:ascii="Times New Roman" w:hAnsi="Times New Roman" w:eastAsia="宋体" w:cs="Times New Roman"/>
          <w:snapToGrid w:val="0"/>
          <w:color w:val="auto"/>
          <w:kern w:val="0"/>
          <w:sz w:val="26"/>
          <w:szCs w:val="26"/>
          <w:lang w:val="en-US" w:eastAsia="zh-CN"/>
        </w:rPr>
        <w:t>观察记录，消除主观因素；⑤在</w:t>
      </w:r>
      <w:r>
        <w:rPr>
          <w:rFonts w:hint="default" w:ascii="Times New Roman" w:hAnsi="Times New Roman" w:eastAsia="宋体" w:cs="Times New Roman"/>
          <w:snapToGrid w:val="0"/>
          <w:color w:val="auto"/>
          <w:kern w:val="0"/>
          <w:sz w:val="26"/>
          <w:szCs w:val="26"/>
          <w:shd w:val="clear" w:fill="FFFFFF"/>
          <w:lang w:val="en-US" w:eastAsia="zh-CN"/>
        </w:rPr>
        <w:t>涉及到</w:t>
      </w:r>
      <w:r>
        <w:rPr>
          <w:rFonts w:hint="default" w:ascii="Times New Roman" w:hAnsi="Times New Roman" w:eastAsia="宋体" w:cs="Times New Roman"/>
          <w:snapToGrid w:val="0"/>
          <w:color w:val="auto"/>
          <w:kern w:val="0"/>
          <w:sz w:val="26"/>
          <w:szCs w:val="26"/>
          <w:lang w:val="en-US" w:eastAsia="zh-CN"/>
        </w:rPr>
        <w:t>天然林范围设置典型样方。以上原则保证了样方的布置具有代表性，调查的植被中包括了绝大部分主要植被类型。</w:t>
      </w:r>
    </w:p>
    <w:p w14:paraId="57F53AFC">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Times New Roman" w:hAnsi="Times New Roman" w:eastAsia="宋体" w:cs="Times New Roman"/>
          <w:snapToGrid w:val="0"/>
          <w:color w:val="auto"/>
          <w:kern w:val="0"/>
          <w:sz w:val="26"/>
          <w:szCs w:val="26"/>
          <w:lang w:val="en-US" w:eastAsia="zh-CN"/>
        </w:rPr>
      </w:pPr>
      <w:r>
        <w:rPr>
          <w:rFonts w:hint="default" w:ascii="Times New Roman" w:hAnsi="Times New Roman" w:eastAsia="宋体" w:cs="Times New Roman"/>
          <w:snapToGrid w:val="0"/>
          <w:color w:val="auto"/>
          <w:kern w:val="0"/>
          <w:sz w:val="26"/>
          <w:szCs w:val="26"/>
          <w:lang w:val="en-US" w:eastAsia="zh-CN"/>
        </w:rPr>
        <w:t>本项目生态评价等级为二级评价，根据《环境影响评价技术导则 生态影响》（HJ19-2022）要求，应在每种植物群落类型中设置样方，每种群落类型设置不少于3个样方。</w:t>
      </w:r>
    </w:p>
    <w:p w14:paraId="0452D55D">
      <w:pPr>
        <w:pStyle w:val="56"/>
        <w:rPr>
          <w:rFonts w:hint="default" w:ascii="Times New Roman" w:hAnsi="Times New Roman" w:eastAsia="宋体" w:cs="Times New Roman"/>
          <w:b/>
          <w:bCs/>
          <w:snapToGrid w:val="0"/>
          <w:color w:val="auto"/>
          <w:kern w:val="0"/>
          <w:sz w:val="26"/>
          <w:szCs w:val="26"/>
          <w:lang w:val="en-US" w:eastAsia="zh-CN"/>
        </w:rPr>
      </w:pPr>
      <w:r>
        <w:rPr>
          <w:rFonts w:hint="default" w:ascii="Times New Roman" w:hAnsi="Times New Roman" w:eastAsia="宋体" w:cs="Times New Roman"/>
          <w:b/>
          <w:bCs/>
          <w:snapToGrid w:val="0"/>
          <w:color w:val="auto"/>
          <w:kern w:val="0"/>
          <w:sz w:val="26"/>
          <w:szCs w:val="26"/>
          <w:lang w:val="en-US" w:eastAsia="zh-CN"/>
        </w:rPr>
        <w:t>（2）植物样方调查</w:t>
      </w:r>
    </w:p>
    <w:p w14:paraId="16AEF2DE">
      <w:pPr>
        <w:pStyle w:val="56"/>
        <w:rPr>
          <w:rFonts w:hint="default" w:ascii="Times New Roman" w:hAnsi="Times New Roman" w:eastAsia="宋体" w:cs="Times New Roman"/>
          <w:snapToGrid w:val="0"/>
          <w:color w:val="auto"/>
          <w:kern w:val="0"/>
          <w:sz w:val="26"/>
          <w:szCs w:val="26"/>
          <w:lang w:val="en-US" w:eastAsia="zh-CN"/>
        </w:rPr>
      </w:pPr>
      <w:r>
        <w:rPr>
          <w:rFonts w:hint="default" w:ascii="Times New Roman" w:hAnsi="Times New Roman" w:eastAsia="宋体" w:cs="Times New Roman"/>
          <w:snapToGrid w:val="0"/>
          <w:color w:val="auto"/>
          <w:kern w:val="0"/>
          <w:sz w:val="26"/>
          <w:szCs w:val="26"/>
          <w:lang w:eastAsia="zh-CN"/>
        </w:rPr>
        <w:t>根据现状调查，</w:t>
      </w:r>
      <w:r>
        <w:rPr>
          <w:rFonts w:hint="default" w:ascii="Times New Roman" w:hAnsi="Times New Roman" w:eastAsia="宋体" w:cs="Times New Roman"/>
          <w:snapToGrid w:val="0"/>
          <w:color w:val="auto"/>
          <w:kern w:val="0"/>
          <w:sz w:val="26"/>
          <w:szCs w:val="26"/>
          <w:lang w:val="en-US" w:eastAsia="zh-CN"/>
        </w:rPr>
        <w:t>本项目所在区域森林植被覆盖度较好，林区植被茂盛；其次为人工栽培植被，农业活动发达。本项目评价范围内植物群落类型主要为杉木林、盐麸木灌丛、狗脊草丛等，按照导则要求，二级评价每种群落类型设置样方数量不少于3个，因此，本次共设置样方12个，对能代表区域植被特征和反映群落结构及组成的群落设置样方，记录该样方的经纬度坐标，分别对群落的乔木层、灌木层、草本层和层间植物的物种组成、数量等因子进行调查和记录。野外调查样方信息统计见下表。</w:t>
      </w:r>
    </w:p>
    <w:p w14:paraId="3B95D5B0">
      <w:pPr>
        <w:pStyle w:val="88"/>
        <w:rPr>
          <w:rFonts w:hint="default" w:ascii="Times New Roman" w:hAnsi="Times New Roman" w:eastAsia="宋体" w:cs="Times New Roman"/>
          <w:snapToGrid w:val="0"/>
          <w:color w:val="auto"/>
          <w:kern w:val="0"/>
          <w:sz w:val="26"/>
          <w:szCs w:val="26"/>
          <w:lang w:val="en-US" w:eastAsia="zh-CN"/>
        </w:rPr>
      </w:pPr>
    </w:p>
    <w:p w14:paraId="77094F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表4.</w:t>
      </w:r>
      <w:r>
        <w:rPr>
          <w:rFonts w:hint="default" w:ascii="Times New Roman" w:hAnsi="Times New Roman" w:eastAsia="宋体" w:cs="Times New Roman"/>
          <w:b/>
          <w:bCs/>
          <w:color w:val="auto"/>
          <w:sz w:val="26"/>
          <w:szCs w:val="26"/>
          <w:lang w:val="en-US" w:eastAsia="zh-CN"/>
        </w:rPr>
        <w:t>3</w:t>
      </w:r>
      <w:r>
        <w:rPr>
          <w:rFonts w:hint="default" w:ascii="Times New Roman" w:hAnsi="Times New Roman" w:eastAsia="宋体" w:cs="Times New Roman"/>
          <w:b/>
          <w:bCs/>
          <w:color w:val="auto"/>
          <w:sz w:val="26"/>
          <w:szCs w:val="26"/>
        </w:rPr>
        <w:t>-</w:t>
      </w:r>
      <w:r>
        <w:rPr>
          <w:rFonts w:hint="eastAsia" w:ascii="Times New Roman" w:hAnsi="Times New Roman" w:cs="Times New Roman"/>
          <w:b/>
          <w:bCs/>
          <w:color w:val="auto"/>
          <w:sz w:val="26"/>
          <w:szCs w:val="26"/>
          <w:lang w:val="en-US" w:eastAsia="zh-CN"/>
        </w:rPr>
        <w:t>12</w:t>
      </w:r>
      <w:r>
        <w:rPr>
          <w:rFonts w:hint="default" w:ascii="Times New Roman" w:hAnsi="Times New Roman" w:eastAsia="宋体" w:cs="Times New Roman"/>
          <w:b/>
          <w:bCs/>
          <w:color w:val="auto"/>
          <w:sz w:val="26"/>
          <w:szCs w:val="26"/>
        </w:rPr>
        <w:t xml:space="preserve"> 样方信息</w:t>
      </w:r>
      <w:r>
        <w:rPr>
          <w:rFonts w:hint="default" w:ascii="Times New Roman" w:hAnsi="Times New Roman" w:eastAsia="宋体" w:cs="Times New Roman"/>
          <w:b/>
          <w:bCs/>
          <w:color w:val="auto"/>
          <w:sz w:val="26"/>
          <w:szCs w:val="26"/>
          <w:lang w:val="en-US" w:eastAsia="zh-CN"/>
        </w:rPr>
        <w:t>记录</w:t>
      </w:r>
      <w:r>
        <w:rPr>
          <w:rFonts w:hint="default" w:ascii="Times New Roman" w:hAnsi="Times New Roman" w:eastAsia="宋体" w:cs="Times New Roman"/>
          <w:b/>
          <w:bCs/>
          <w:color w:val="auto"/>
          <w:sz w:val="26"/>
          <w:szCs w:val="26"/>
        </w:rPr>
        <w:t>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2086"/>
        <w:gridCol w:w="1920"/>
        <w:gridCol w:w="1453"/>
        <w:gridCol w:w="2219"/>
      </w:tblGrid>
      <w:tr w14:paraId="3BF2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06" w:type="pct"/>
            <w:noWrap w:val="0"/>
            <w:vAlign w:val="center"/>
          </w:tcPr>
          <w:p w14:paraId="72B712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样方编号</w:t>
            </w:r>
          </w:p>
        </w:tc>
        <w:tc>
          <w:tcPr>
            <w:tcW w:w="1166" w:type="pct"/>
            <w:noWrap w:val="0"/>
            <w:vAlign w:val="center"/>
          </w:tcPr>
          <w:p w14:paraId="4C2E40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经度</w:t>
            </w:r>
          </w:p>
        </w:tc>
        <w:tc>
          <w:tcPr>
            <w:tcW w:w="1073" w:type="pct"/>
            <w:noWrap w:val="0"/>
            <w:vAlign w:val="center"/>
          </w:tcPr>
          <w:p w14:paraId="52C23D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纬度</w:t>
            </w:r>
          </w:p>
        </w:tc>
        <w:tc>
          <w:tcPr>
            <w:tcW w:w="812" w:type="pct"/>
            <w:noWrap w:val="0"/>
            <w:vAlign w:val="center"/>
          </w:tcPr>
          <w:p w14:paraId="3A9FF4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海拔（m）</w:t>
            </w:r>
          </w:p>
        </w:tc>
        <w:tc>
          <w:tcPr>
            <w:tcW w:w="1240" w:type="pct"/>
            <w:noWrap w:val="0"/>
            <w:vAlign w:val="center"/>
          </w:tcPr>
          <w:p w14:paraId="02B982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样方</w:t>
            </w:r>
            <w:r>
              <w:rPr>
                <w:rFonts w:hint="default" w:ascii="Times New Roman" w:hAnsi="Times New Roman" w:eastAsia="宋体" w:cs="Times New Roman"/>
                <w:b/>
                <w:bCs/>
                <w:color w:val="auto"/>
                <w:sz w:val="21"/>
                <w:szCs w:val="21"/>
                <w:lang w:val="en-US" w:eastAsia="zh-CN"/>
              </w:rPr>
              <w:t>类型</w:t>
            </w:r>
          </w:p>
        </w:tc>
      </w:tr>
      <w:tr w14:paraId="1753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06" w:type="pct"/>
            <w:noWrap w:val="0"/>
            <w:vAlign w:val="center"/>
          </w:tcPr>
          <w:p w14:paraId="6A65FA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166" w:type="pct"/>
            <w:noWrap w:val="0"/>
            <w:vAlign w:val="center"/>
          </w:tcPr>
          <w:p w14:paraId="384EC7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vertAlign w:val="baseline"/>
                <w:lang w:val="en-US" w:eastAsia="zh-CN"/>
              </w:rPr>
              <w:t>***</w:t>
            </w:r>
          </w:p>
        </w:tc>
        <w:tc>
          <w:tcPr>
            <w:tcW w:w="1073" w:type="pct"/>
            <w:noWrap w:val="0"/>
            <w:vAlign w:val="center"/>
          </w:tcPr>
          <w:p w14:paraId="0CF5E0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cs="Times New Roman"/>
                <w:color w:val="auto"/>
                <w:vertAlign w:val="baseline"/>
                <w:lang w:val="en-US" w:eastAsia="zh-CN"/>
              </w:rPr>
              <w:t>***</w:t>
            </w:r>
          </w:p>
        </w:tc>
        <w:tc>
          <w:tcPr>
            <w:tcW w:w="812" w:type="pct"/>
            <w:noWrap w:val="0"/>
            <w:vAlign w:val="center"/>
          </w:tcPr>
          <w:p w14:paraId="7E80F9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699</w:t>
            </w:r>
          </w:p>
        </w:tc>
        <w:tc>
          <w:tcPr>
            <w:tcW w:w="1240" w:type="pct"/>
            <w:noWrap w:val="0"/>
            <w:vAlign w:val="center"/>
          </w:tcPr>
          <w:p w14:paraId="03F9AD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芒草丛</w:t>
            </w:r>
          </w:p>
        </w:tc>
      </w:tr>
      <w:tr w14:paraId="2889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6" w:type="pct"/>
            <w:noWrap w:val="0"/>
            <w:vAlign w:val="center"/>
          </w:tcPr>
          <w:p w14:paraId="5F7D4F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w:t>
            </w:r>
          </w:p>
        </w:tc>
        <w:tc>
          <w:tcPr>
            <w:tcW w:w="1166" w:type="pct"/>
            <w:noWrap w:val="0"/>
            <w:vAlign w:val="center"/>
          </w:tcPr>
          <w:p w14:paraId="33BBAD0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Times New Roman" w:hAnsi="Times New Roman" w:cs="Times New Roman"/>
                <w:color w:val="auto"/>
                <w:vertAlign w:val="baseline"/>
                <w:lang w:val="en-US" w:eastAsia="zh-CN"/>
              </w:rPr>
              <w:t>***</w:t>
            </w:r>
          </w:p>
        </w:tc>
        <w:tc>
          <w:tcPr>
            <w:tcW w:w="1073" w:type="pct"/>
            <w:noWrap w:val="0"/>
            <w:vAlign w:val="center"/>
          </w:tcPr>
          <w:p w14:paraId="09E3306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rPr>
            </w:pPr>
            <w:r>
              <w:rPr>
                <w:rFonts w:hint="eastAsia" w:ascii="Times New Roman" w:hAnsi="Times New Roman" w:cs="Times New Roman"/>
                <w:color w:val="auto"/>
                <w:vertAlign w:val="baseline"/>
                <w:lang w:val="en-US" w:eastAsia="zh-CN"/>
              </w:rPr>
              <w:t>***</w:t>
            </w:r>
          </w:p>
        </w:tc>
        <w:tc>
          <w:tcPr>
            <w:tcW w:w="812" w:type="pct"/>
            <w:noWrap w:val="0"/>
            <w:vAlign w:val="center"/>
          </w:tcPr>
          <w:p w14:paraId="2BA0797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700</w:t>
            </w:r>
          </w:p>
        </w:tc>
        <w:tc>
          <w:tcPr>
            <w:tcW w:w="1240" w:type="pct"/>
            <w:noWrap w:val="0"/>
            <w:vAlign w:val="center"/>
          </w:tcPr>
          <w:p w14:paraId="68D495E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马尾松林</w:t>
            </w:r>
          </w:p>
        </w:tc>
      </w:tr>
      <w:tr w14:paraId="37D1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6" w:type="pct"/>
            <w:noWrap w:val="0"/>
            <w:vAlign w:val="center"/>
          </w:tcPr>
          <w:p w14:paraId="75AE1A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tc>
        <w:tc>
          <w:tcPr>
            <w:tcW w:w="1166" w:type="pct"/>
            <w:noWrap w:val="0"/>
            <w:vAlign w:val="center"/>
          </w:tcPr>
          <w:p w14:paraId="36039296">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1073" w:type="pct"/>
            <w:noWrap w:val="0"/>
            <w:vAlign w:val="center"/>
          </w:tcPr>
          <w:p w14:paraId="37D2CD5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812" w:type="pct"/>
            <w:noWrap w:val="0"/>
            <w:vAlign w:val="center"/>
          </w:tcPr>
          <w:p w14:paraId="3F0E36A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702</w:t>
            </w:r>
          </w:p>
        </w:tc>
        <w:tc>
          <w:tcPr>
            <w:tcW w:w="1240" w:type="pct"/>
            <w:noWrap w:val="0"/>
            <w:vAlign w:val="center"/>
          </w:tcPr>
          <w:p w14:paraId="479231F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狗脊草丛</w:t>
            </w:r>
          </w:p>
        </w:tc>
      </w:tr>
      <w:tr w14:paraId="0F5B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6" w:type="pct"/>
            <w:noWrap w:val="0"/>
            <w:vAlign w:val="center"/>
          </w:tcPr>
          <w:p w14:paraId="678BAF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66" w:type="pct"/>
            <w:noWrap w:val="0"/>
            <w:vAlign w:val="center"/>
          </w:tcPr>
          <w:p w14:paraId="1AF0366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auto"/>
                <w:vertAlign w:val="baseline"/>
                <w:lang w:val="en-US" w:eastAsia="zh-CN"/>
              </w:rPr>
              <w:t>***</w:t>
            </w:r>
          </w:p>
        </w:tc>
        <w:tc>
          <w:tcPr>
            <w:tcW w:w="1073" w:type="pct"/>
            <w:noWrap w:val="0"/>
            <w:vAlign w:val="center"/>
          </w:tcPr>
          <w:p w14:paraId="34B4D7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color w:val="auto"/>
                <w:vertAlign w:val="baseline"/>
                <w:lang w:val="en-US" w:eastAsia="zh-CN"/>
              </w:rPr>
              <w:t>***</w:t>
            </w:r>
          </w:p>
        </w:tc>
        <w:tc>
          <w:tcPr>
            <w:tcW w:w="812" w:type="pct"/>
            <w:noWrap w:val="0"/>
            <w:vAlign w:val="center"/>
          </w:tcPr>
          <w:p w14:paraId="6CDE67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689</w:t>
            </w:r>
          </w:p>
        </w:tc>
        <w:tc>
          <w:tcPr>
            <w:tcW w:w="1240" w:type="pct"/>
            <w:noWrap w:val="0"/>
            <w:vAlign w:val="center"/>
          </w:tcPr>
          <w:p w14:paraId="3CD9B6C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芒草丛</w:t>
            </w:r>
          </w:p>
        </w:tc>
      </w:tr>
      <w:tr w14:paraId="7E6A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6" w:type="pct"/>
            <w:noWrap w:val="0"/>
            <w:vAlign w:val="center"/>
          </w:tcPr>
          <w:p w14:paraId="189418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66" w:type="pct"/>
            <w:noWrap w:val="0"/>
            <w:vAlign w:val="center"/>
          </w:tcPr>
          <w:p w14:paraId="2DCA72E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1073" w:type="pct"/>
            <w:noWrap w:val="0"/>
            <w:vAlign w:val="center"/>
          </w:tcPr>
          <w:p w14:paraId="67B0106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812" w:type="pct"/>
            <w:noWrap w:val="0"/>
            <w:vAlign w:val="center"/>
          </w:tcPr>
          <w:p w14:paraId="1B588A6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640</w:t>
            </w:r>
          </w:p>
        </w:tc>
        <w:tc>
          <w:tcPr>
            <w:tcW w:w="1240" w:type="pct"/>
            <w:noWrap w:val="0"/>
            <w:vAlign w:val="center"/>
          </w:tcPr>
          <w:p w14:paraId="5ED940B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盐麸木灌丛</w:t>
            </w:r>
          </w:p>
        </w:tc>
      </w:tr>
      <w:tr w14:paraId="6577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6" w:type="pct"/>
            <w:noWrap w:val="0"/>
            <w:vAlign w:val="center"/>
          </w:tcPr>
          <w:p w14:paraId="14B0ED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086" w:type="dxa"/>
            <w:noWrap w:val="0"/>
            <w:vAlign w:val="center"/>
          </w:tcPr>
          <w:p w14:paraId="030997C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1920" w:type="dxa"/>
            <w:noWrap w:val="0"/>
            <w:vAlign w:val="center"/>
          </w:tcPr>
          <w:p w14:paraId="7A09BFB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1453" w:type="dxa"/>
            <w:noWrap w:val="0"/>
            <w:vAlign w:val="center"/>
          </w:tcPr>
          <w:p w14:paraId="55F3032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684</w:t>
            </w:r>
          </w:p>
        </w:tc>
        <w:tc>
          <w:tcPr>
            <w:tcW w:w="2219" w:type="dxa"/>
            <w:noWrap w:val="0"/>
            <w:vAlign w:val="center"/>
          </w:tcPr>
          <w:p w14:paraId="6ADC265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芒草丛</w:t>
            </w:r>
          </w:p>
        </w:tc>
      </w:tr>
      <w:tr w14:paraId="019A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6" w:type="pct"/>
            <w:noWrap w:val="0"/>
            <w:vAlign w:val="center"/>
          </w:tcPr>
          <w:p w14:paraId="7F4D0E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166" w:type="pct"/>
            <w:noWrap w:val="0"/>
            <w:vAlign w:val="center"/>
          </w:tcPr>
          <w:p w14:paraId="394AB02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1073" w:type="pct"/>
            <w:noWrap w:val="0"/>
            <w:vAlign w:val="center"/>
          </w:tcPr>
          <w:p w14:paraId="62E17C2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812" w:type="pct"/>
            <w:noWrap w:val="0"/>
            <w:vAlign w:val="center"/>
          </w:tcPr>
          <w:p w14:paraId="78BC8BA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695</w:t>
            </w:r>
          </w:p>
        </w:tc>
        <w:tc>
          <w:tcPr>
            <w:tcW w:w="1240" w:type="pct"/>
            <w:noWrap w:val="0"/>
            <w:vAlign w:val="center"/>
          </w:tcPr>
          <w:p w14:paraId="6A378D2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狗脊草丛</w:t>
            </w:r>
          </w:p>
        </w:tc>
      </w:tr>
      <w:tr w14:paraId="1F6D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6" w:type="pct"/>
            <w:noWrap w:val="0"/>
            <w:vAlign w:val="center"/>
          </w:tcPr>
          <w:p w14:paraId="74EB68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166" w:type="pct"/>
            <w:noWrap w:val="0"/>
            <w:vAlign w:val="center"/>
          </w:tcPr>
          <w:p w14:paraId="3CE221C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vertAlign w:val="baseline"/>
                <w:lang w:val="en-US" w:eastAsia="zh-CN"/>
              </w:rPr>
              <w:t>***</w:t>
            </w:r>
          </w:p>
        </w:tc>
        <w:tc>
          <w:tcPr>
            <w:tcW w:w="1073" w:type="pct"/>
            <w:noWrap w:val="0"/>
            <w:vAlign w:val="center"/>
          </w:tcPr>
          <w:p w14:paraId="10AEAF1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vertAlign w:val="baseline"/>
                <w:lang w:val="en-US" w:eastAsia="zh-CN"/>
              </w:rPr>
              <w:t>***</w:t>
            </w:r>
          </w:p>
        </w:tc>
        <w:tc>
          <w:tcPr>
            <w:tcW w:w="812" w:type="pct"/>
            <w:noWrap w:val="0"/>
            <w:vAlign w:val="center"/>
          </w:tcPr>
          <w:p w14:paraId="6899C6B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696</w:t>
            </w:r>
          </w:p>
        </w:tc>
        <w:tc>
          <w:tcPr>
            <w:tcW w:w="1240" w:type="pct"/>
            <w:noWrap w:val="0"/>
            <w:vAlign w:val="center"/>
          </w:tcPr>
          <w:p w14:paraId="2A83862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马尾松林</w:t>
            </w:r>
          </w:p>
        </w:tc>
      </w:tr>
      <w:tr w14:paraId="1C30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6" w:type="pct"/>
            <w:noWrap w:val="0"/>
            <w:vAlign w:val="center"/>
          </w:tcPr>
          <w:p w14:paraId="200ADE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w:t>
            </w:r>
          </w:p>
        </w:tc>
        <w:tc>
          <w:tcPr>
            <w:tcW w:w="1166" w:type="pct"/>
            <w:noWrap w:val="0"/>
            <w:vAlign w:val="center"/>
          </w:tcPr>
          <w:p w14:paraId="3D26A08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1073" w:type="pct"/>
            <w:noWrap w:val="0"/>
            <w:vAlign w:val="center"/>
          </w:tcPr>
          <w:p w14:paraId="1537B90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812" w:type="pct"/>
            <w:noWrap w:val="0"/>
            <w:vAlign w:val="center"/>
          </w:tcPr>
          <w:p w14:paraId="11A1E8F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702</w:t>
            </w:r>
          </w:p>
        </w:tc>
        <w:tc>
          <w:tcPr>
            <w:tcW w:w="1240" w:type="pct"/>
            <w:noWrap w:val="0"/>
            <w:vAlign w:val="center"/>
          </w:tcPr>
          <w:p w14:paraId="723D403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马尾松林</w:t>
            </w:r>
          </w:p>
        </w:tc>
      </w:tr>
      <w:tr w14:paraId="61DA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6" w:type="pct"/>
            <w:noWrap w:val="0"/>
            <w:vAlign w:val="center"/>
          </w:tcPr>
          <w:p w14:paraId="5A417E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166" w:type="pct"/>
            <w:noWrap w:val="0"/>
            <w:vAlign w:val="center"/>
          </w:tcPr>
          <w:p w14:paraId="3DB908F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1073" w:type="pct"/>
            <w:noWrap w:val="0"/>
            <w:vAlign w:val="center"/>
          </w:tcPr>
          <w:p w14:paraId="2E8642C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812" w:type="pct"/>
            <w:noWrap w:val="0"/>
            <w:vAlign w:val="center"/>
          </w:tcPr>
          <w:p w14:paraId="281B071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695</w:t>
            </w:r>
          </w:p>
        </w:tc>
        <w:tc>
          <w:tcPr>
            <w:tcW w:w="1240" w:type="pct"/>
            <w:noWrap w:val="0"/>
            <w:vAlign w:val="center"/>
          </w:tcPr>
          <w:p w14:paraId="327D4F7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狗脊草丛</w:t>
            </w:r>
          </w:p>
        </w:tc>
      </w:tr>
      <w:tr w14:paraId="2CCE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6" w:type="pct"/>
            <w:noWrap w:val="0"/>
            <w:vAlign w:val="center"/>
          </w:tcPr>
          <w:p w14:paraId="13B798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1166" w:type="pct"/>
            <w:noWrap w:val="0"/>
            <w:vAlign w:val="center"/>
          </w:tcPr>
          <w:p w14:paraId="10B3D9C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1073" w:type="pct"/>
            <w:noWrap w:val="0"/>
            <w:vAlign w:val="center"/>
          </w:tcPr>
          <w:p w14:paraId="78E971E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812" w:type="pct"/>
            <w:noWrap w:val="0"/>
            <w:vAlign w:val="center"/>
          </w:tcPr>
          <w:p w14:paraId="0013C98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650</w:t>
            </w:r>
          </w:p>
        </w:tc>
        <w:tc>
          <w:tcPr>
            <w:tcW w:w="1240" w:type="pct"/>
            <w:noWrap w:val="0"/>
            <w:vAlign w:val="center"/>
          </w:tcPr>
          <w:p w14:paraId="2A4C878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盐麸木灌丛</w:t>
            </w:r>
          </w:p>
        </w:tc>
      </w:tr>
      <w:tr w14:paraId="0219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6" w:type="pct"/>
            <w:noWrap w:val="0"/>
            <w:vAlign w:val="center"/>
          </w:tcPr>
          <w:p w14:paraId="4D8412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166" w:type="pct"/>
            <w:noWrap w:val="0"/>
            <w:vAlign w:val="center"/>
          </w:tcPr>
          <w:p w14:paraId="332C230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1073" w:type="pct"/>
            <w:noWrap w:val="0"/>
            <w:vAlign w:val="center"/>
          </w:tcPr>
          <w:p w14:paraId="682A6C2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ascii="Times New Roman" w:hAnsi="Times New Roman" w:cs="Times New Roman"/>
                <w:color w:val="auto"/>
                <w:vertAlign w:val="baseline"/>
                <w:lang w:val="en-US" w:eastAsia="zh-CN"/>
              </w:rPr>
              <w:t>***</w:t>
            </w:r>
          </w:p>
        </w:tc>
        <w:tc>
          <w:tcPr>
            <w:tcW w:w="812" w:type="pct"/>
            <w:noWrap w:val="0"/>
            <w:vAlign w:val="center"/>
          </w:tcPr>
          <w:p w14:paraId="79742F9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689</w:t>
            </w:r>
          </w:p>
        </w:tc>
        <w:tc>
          <w:tcPr>
            <w:tcW w:w="1240" w:type="pct"/>
            <w:noWrap w:val="0"/>
            <w:vAlign w:val="center"/>
          </w:tcPr>
          <w:p w14:paraId="7444516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盐麸木灌丛</w:t>
            </w:r>
          </w:p>
        </w:tc>
      </w:tr>
    </w:tbl>
    <w:p w14:paraId="6ECAFC16">
      <w:pPr>
        <w:pStyle w:val="88"/>
        <w:rPr>
          <w:rFonts w:hint="default" w:ascii="Times New Roman" w:hAnsi="Times New Roman" w:eastAsia="宋体" w:cs="Times New Roman"/>
          <w:color w:val="auto"/>
        </w:rPr>
      </w:pPr>
    </w:p>
    <w:p w14:paraId="21ABE7D9">
      <w:pPr>
        <w:spacing w:line="480" w:lineRule="exact"/>
        <w:ind w:firstLine="522" w:firstLineChars="200"/>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eastAsia="zh-CN"/>
        </w:rPr>
        <w:t>（</w:t>
      </w:r>
      <w:r>
        <w:rPr>
          <w:rFonts w:hint="default" w:ascii="Times New Roman" w:hAnsi="Times New Roman" w:eastAsia="宋体" w:cs="Times New Roman"/>
          <w:b/>
          <w:bCs/>
          <w:color w:val="auto"/>
          <w:sz w:val="26"/>
          <w:szCs w:val="26"/>
          <w:lang w:val="en-US" w:eastAsia="zh-CN"/>
        </w:rPr>
        <w:t>3</w:t>
      </w:r>
      <w:r>
        <w:rPr>
          <w:rFonts w:hint="default" w:ascii="Times New Roman" w:hAnsi="Times New Roman" w:eastAsia="宋体" w:cs="Times New Roman"/>
          <w:b/>
          <w:bCs/>
          <w:color w:val="auto"/>
          <w:sz w:val="26"/>
          <w:szCs w:val="26"/>
          <w:lang w:eastAsia="zh-CN"/>
        </w:rPr>
        <w:t>）</w:t>
      </w:r>
      <w:r>
        <w:rPr>
          <w:rFonts w:hint="default" w:ascii="Times New Roman" w:hAnsi="Times New Roman" w:eastAsia="宋体" w:cs="Times New Roman"/>
          <w:b/>
          <w:bCs/>
          <w:color w:val="auto"/>
          <w:sz w:val="26"/>
          <w:szCs w:val="26"/>
        </w:rPr>
        <w:t>植被类型</w:t>
      </w:r>
      <w:r>
        <w:rPr>
          <w:rFonts w:hint="default" w:ascii="Times New Roman" w:hAnsi="Times New Roman" w:eastAsia="宋体" w:cs="Times New Roman"/>
          <w:b/>
          <w:bCs/>
          <w:color w:val="auto"/>
          <w:sz w:val="26"/>
          <w:szCs w:val="26"/>
          <w:lang w:val="en-US" w:eastAsia="zh-CN"/>
        </w:rPr>
        <w:t>分析</w:t>
      </w:r>
    </w:p>
    <w:p w14:paraId="44242B1E">
      <w:pPr>
        <w:spacing w:line="480" w:lineRule="exact"/>
        <w:ind w:firstLine="522" w:firstLineChars="200"/>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lang w:val="en-US" w:eastAsia="zh-CN"/>
        </w:rPr>
        <w:t>①</w:t>
      </w:r>
      <w:r>
        <w:rPr>
          <w:rFonts w:hint="default" w:ascii="Times New Roman" w:hAnsi="Times New Roman" w:eastAsia="宋体" w:cs="Times New Roman"/>
          <w:b/>
          <w:bCs/>
          <w:color w:val="auto"/>
          <w:sz w:val="26"/>
          <w:szCs w:val="26"/>
        </w:rPr>
        <w:t>植被概况</w:t>
      </w:r>
    </w:p>
    <w:p w14:paraId="5AF121CD">
      <w:pPr>
        <w:adjustRightInd w:val="0"/>
        <w:snapToGrid w:val="0"/>
        <w:spacing w:line="480" w:lineRule="exact"/>
        <w:ind w:firstLine="520" w:firstLineChars="200"/>
        <w:rPr>
          <w:rFonts w:hint="default" w:ascii="Times New Roman" w:hAnsi="Times New Roman" w:eastAsia="宋体" w:cs="Times New Roman"/>
          <w:color w:val="auto"/>
          <w:sz w:val="26"/>
          <w:highlight w:val="none"/>
          <w:lang w:bidi="ar"/>
        </w:rPr>
      </w:pPr>
      <w:r>
        <w:rPr>
          <w:rFonts w:hint="default" w:ascii="Times New Roman" w:hAnsi="Times New Roman" w:eastAsia="宋体" w:cs="Times New Roman"/>
          <w:color w:val="auto"/>
          <w:sz w:val="26"/>
          <w:highlight w:val="none"/>
          <w:lang w:bidi="ar"/>
        </w:rPr>
        <w:t>项目位于重庆市</w:t>
      </w:r>
      <w:r>
        <w:rPr>
          <w:rFonts w:hint="default" w:ascii="Times New Roman" w:hAnsi="Times New Roman" w:eastAsia="宋体" w:cs="Times New Roman"/>
          <w:color w:val="auto"/>
          <w:sz w:val="26"/>
          <w:highlight w:val="none"/>
          <w:lang w:val="en-US" w:eastAsia="zh-CN" w:bidi="ar"/>
        </w:rPr>
        <w:t>綦江</w:t>
      </w:r>
      <w:r>
        <w:rPr>
          <w:rFonts w:hint="default" w:ascii="Times New Roman" w:hAnsi="Times New Roman" w:eastAsia="宋体" w:cs="Times New Roman"/>
          <w:color w:val="auto"/>
          <w:sz w:val="26"/>
          <w:highlight w:val="none"/>
          <w:lang w:bidi="ar"/>
        </w:rPr>
        <w:t>区，根据《四川植被》中关于四川植被</w:t>
      </w:r>
      <w:r>
        <w:rPr>
          <w:rFonts w:hint="default" w:ascii="Times New Roman" w:hAnsi="Times New Roman" w:eastAsia="宋体" w:cs="Times New Roman"/>
          <w:color w:val="auto"/>
          <w:sz w:val="26"/>
          <w:highlight w:val="none"/>
          <w:lang w:val="en-US" w:eastAsia="zh-CN" w:bidi="ar"/>
        </w:rPr>
        <w:t>分区</w:t>
      </w:r>
      <w:r>
        <w:rPr>
          <w:rFonts w:hint="default" w:ascii="Times New Roman" w:hAnsi="Times New Roman" w:eastAsia="宋体" w:cs="Times New Roman"/>
          <w:color w:val="auto"/>
          <w:sz w:val="26"/>
          <w:highlight w:val="none"/>
          <w:lang w:bidi="ar"/>
        </w:rPr>
        <w:t>，项目所在植被小区为</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Ⅰ</w:t>
      </w:r>
      <w:r>
        <w:rPr>
          <w:rFonts w:hint="default" w:ascii="Times New Roman" w:hAnsi="Times New Roman" w:eastAsia="宋体" w:cs="Times New Roman"/>
          <w:color w:val="auto"/>
          <w:sz w:val="26"/>
          <w:szCs w:val="26"/>
          <w:lang w:val="en-US" w:eastAsia="zh-CN"/>
        </w:rPr>
        <w:t xml:space="preserve"> 川东盆地及西南山地常绿阔叶林地</w:t>
      </w:r>
      <w:r>
        <w:rPr>
          <w:rFonts w:hint="default" w:ascii="Times New Roman" w:hAnsi="Times New Roman" w:eastAsia="宋体" w:cs="Times New Roman"/>
          <w:color w:val="auto"/>
          <w:sz w:val="26"/>
          <w:szCs w:val="26"/>
        </w:rPr>
        <w:t>带</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ⅠA</w:t>
      </w:r>
      <w:r>
        <w:rPr>
          <w:rFonts w:hint="default" w:ascii="Times New Roman" w:hAnsi="Times New Roman" w:eastAsia="宋体" w:cs="Times New Roman"/>
          <w:color w:val="auto"/>
          <w:sz w:val="26"/>
          <w:szCs w:val="26"/>
          <w:lang w:val="en-US" w:eastAsia="zh-CN"/>
        </w:rPr>
        <w:t xml:space="preserve"> 川东盆地偏湿性</w:t>
      </w:r>
      <w:r>
        <w:rPr>
          <w:rFonts w:hint="default" w:ascii="Times New Roman" w:hAnsi="Times New Roman" w:eastAsia="宋体" w:cs="Times New Roman"/>
          <w:color w:val="auto"/>
          <w:sz w:val="26"/>
          <w:szCs w:val="26"/>
          <w:lang w:eastAsia="zh-CN"/>
        </w:rPr>
        <w:t>常绿阔叶林</w:t>
      </w:r>
      <w:r>
        <w:rPr>
          <w:rFonts w:hint="default" w:ascii="Times New Roman" w:hAnsi="Times New Roman" w:eastAsia="宋体" w:cs="Times New Roman"/>
          <w:color w:val="auto"/>
          <w:sz w:val="26"/>
          <w:szCs w:val="26"/>
          <w:lang w:val="en-US" w:eastAsia="zh-CN"/>
        </w:rPr>
        <w:t>亚</w:t>
      </w:r>
      <w:r>
        <w:rPr>
          <w:rFonts w:hint="default" w:ascii="Times New Roman" w:hAnsi="Times New Roman" w:eastAsia="宋体" w:cs="Times New Roman"/>
          <w:color w:val="auto"/>
          <w:sz w:val="26"/>
          <w:szCs w:val="26"/>
          <w:lang w:eastAsia="zh-CN"/>
        </w:rPr>
        <w:t>带，</w:t>
      </w:r>
      <w:r>
        <w:rPr>
          <w:rFonts w:hint="default" w:ascii="Times New Roman" w:hAnsi="Times New Roman" w:eastAsia="宋体" w:cs="Times New Roman"/>
          <w:color w:val="auto"/>
          <w:sz w:val="26"/>
          <w:szCs w:val="26"/>
        </w:rPr>
        <w:t>ⅠA</w:t>
      </w:r>
      <w:r>
        <w:rPr>
          <w:rFonts w:hint="default" w:ascii="Times New Roman" w:hAnsi="Times New Roman" w:eastAsia="宋体" w:cs="Times New Roman"/>
          <w:color w:val="auto"/>
          <w:sz w:val="26"/>
          <w:szCs w:val="26"/>
          <w:lang w:val="en-US" w:eastAsia="zh-CN"/>
        </w:rPr>
        <w:t>2 盆地南部中山植被</w:t>
      </w:r>
      <w:r>
        <w:rPr>
          <w:rFonts w:hint="default" w:ascii="Times New Roman" w:hAnsi="Times New Roman" w:eastAsia="宋体" w:cs="Times New Roman"/>
          <w:color w:val="auto"/>
          <w:sz w:val="26"/>
          <w:szCs w:val="26"/>
        </w:rPr>
        <w:t>地区</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ⅠA</w:t>
      </w:r>
      <w:r>
        <w:rPr>
          <w:rFonts w:hint="default" w:ascii="Times New Roman" w:hAnsi="Times New Roman" w:eastAsia="宋体" w:cs="Times New Roman"/>
          <w:color w:val="auto"/>
          <w:sz w:val="26"/>
          <w:szCs w:val="26"/>
          <w:lang w:val="en-US" w:eastAsia="zh-CN"/>
        </w:rPr>
        <w:t>2</w:t>
      </w:r>
      <w:r>
        <w:rPr>
          <w:rFonts w:hint="default" w:ascii="Times New Roman" w:hAnsi="Times New Roman" w:eastAsia="宋体" w:cs="Times New Roman"/>
          <w:color w:val="auto"/>
          <w:sz w:val="26"/>
          <w:szCs w:val="26"/>
          <w:vertAlign w:val="subscript"/>
        </w:rPr>
        <w:t>（</w:t>
      </w:r>
      <w:r>
        <w:rPr>
          <w:rFonts w:hint="default" w:ascii="Times New Roman" w:hAnsi="Times New Roman" w:eastAsia="宋体" w:cs="Times New Roman"/>
          <w:color w:val="auto"/>
          <w:sz w:val="26"/>
          <w:szCs w:val="26"/>
          <w:vertAlign w:val="subscript"/>
          <w:lang w:val="en-US" w:eastAsia="zh-CN"/>
        </w:rPr>
        <w:t>1</w:t>
      </w:r>
      <w:r>
        <w:rPr>
          <w:rFonts w:hint="default" w:ascii="Times New Roman" w:hAnsi="Times New Roman" w:eastAsia="宋体" w:cs="Times New Roman"/>
          <w:color w:val="auto"/>
          <w:sz w:val="26"/>
          <w:szCs w:val="26"/>
          <w:vertAlign w:val="subscript"/>
        </w:rPr>
        <w:t>）</w:t>
      </w:r>
      <w:r>
        <w:rPr>
          <w:rFonts w:hint="default" w:ascii="Times New Roman" w:hAnsi="Times New Roman" w:eastAsia="宋体" w:cs="Times New Roman"/>
          <w:color w:val="auto"/>
          <w:sz w:val="26"/>
          <w:szCs w:val="26"/>
          <w:lang w:val="en-US" w:eastAsia="zh-CN"/>
        </w:rPr>
        <w:t xml:space="preserve"> 娄山北侧东端植被小区</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highlight w:val="none"/>
          <w:lang w:bidi="ar"/>
        </w:rPr>
        <w:t>。</w:t>
      </w:r>
    </w:p>
    <w:p w14:paraId="5CF49C25">
      <w:pPr>
        <w:adjustRightInd w:val="0"/>
        <w:snapToGrid w:val="0"/>
        <w:spacing w:line="480" w:lineRule="exact"/>
        <w:ind w:firstLine="520" w:firstLineChars="200"/>
        <w:rPr>
          <w:rFonts w:hint="default" w:ascii="Times New Roman" w:hAnsi="Times New Roman" w:eastAsia="宋体" w:cs="Times New Roman"/>
          <w:color w:val="auto"/>
          <w:sz w:val="26"/>
          <w:highlight w:val="none"/>
          <w:lang w:bidi="ar"/>
        </w:rPr>
      </w:pPr>
      <w:r>
        <w:rPr>
          <w:rFonts w:hint="default" w:ascii="Times New Roman" w:hAnsi="Times New Roman" w:eastAsia="宋体" w:cs="Times New Roman"/>
          <w:color w:val="auto"/>
          <w:sz w:val="26"/>
          <w:szCs w:val="26"/>
          <w:u w:val="single"/>
          <w:lang w:val="en-US" w:eastAsia="zh-CN"/>
        </w:rPr>
        <w:t>娄山北侧东端植被小区</w:t>
      </w:r>
      <w:r>
        <w:rPr>
          <w:rFonts w:hint="default" w:ascii="Times New Roman" w:hAnsi="Times New Roman" w:eastAsia="宋体" w:cs="Times New Roman"/>
          <w:color w:val="auto"/>
          <w:sz w:val="26"/>
          <w:szCs w:val="26"/>
          <w:lang w:val="en-US" w:eastAsia="zh-CN"/>
        </w:rPr>
        <w:t>位于四川盆地南部边缘山地东段，娄山北侧东端，北高原北缘向四川盆地过渡的地带，包括古蔺、叙永、合江、纳溪、江津、綦江、南川等县的部分地方。为具有岩溶地貌中等切割的中山，相对高差一般在500-600米之间。以</w:t>
      </w:r>
      <w:r>
        <w:rPr>
          <w:rFonts w:hint="default" w:ascii="Times New Roman" w:hAnsi="Times New Roman" w:eastAsia="宋体" w:cs="Times New Roman"/>
          <w:color w:val="auto"/>
          <w:sz w:val="26"/>
          <w:szCs w:val="26"/>
          <w:shd w:val="clear" w:fill="FFFFFF"/>
          <w:lang w:val="en-US" w:eastAsia="zh-CN"/>
        </w:rPr>
        <w:t>南川县</w:t>
      </w:r>
      <w:r>
        <w:rPr>
          <w:rFonts w:hint="default" w:ascii="Times New Roman" w:hAnsi="Times New Roman" w:eastAsia="宋体" w:cs="Times New Roman"/>
          <w:color w:val="auto"/>
          <w:sz w:val="26"/>
          <w:szCs w:val="26"/>
          <w:lang w:val="en-US" w:eastAsia="zh-CN"/>
        </w:rPr>
        <w:t>气候资料可表明本小区气候的一般特征：</w:t>
      </w:r>
      <w:r>
        <w:rPr>
          <w:rFonts w:hint="default" w:ascii="Times New Roman" w:hAnsi="Times New Roman" w:eastAsia="宋体" w:cs="Times New Roman"/>
          <w:color w:val="auto"/>
          <w:sz w:val="26"/>
          <w:szCs w:val="26"/>
          <w:shd w:val="clear" w:fill="FFFFFF"/>
          <w:lang w:val="en-US" w:eastAsia="zh-CN"/>
        </w:rPr>
        <w:t>海拔高度</w:t>
      </w:r>
      <w:r>
        <w:rPr>
          <w:rFonts w:hint="default" w:ascii="Times New Roman" w:hAnsi="Times New Roman" w:eastAsia="宋体" w:cs="Times New Roman"/>
          <w:color w:val="auto"/>
          <w:sz w:val="26"/>
          <w:szCs w:val="26"/>
          <w:lang w:val="en-US" w:eastAsia="zh-CN"/>
        </w:rPr>
        <w:t>558.1米，年均温16.5℃，年降水量1151.4毫米，年平均相对湿度81%，年平均日照时数1275.3小时，年平均日照率为29%，无霜期307.5天。水热条件在本植被地区居第二位，次于娄山北侧西端小区，主要表现在热量较娄山北侧西端小区差，而降水又较黄茅埂东侧小区少。土壤以黄壤、山地黄壤为主，其次有山地黄棕壤</w:t>
      </w:r>
      <w:r>
        <w:rPr>
          <w:rFonts w:hint="default" w:ascii="Times New Roman" w:hAnsi="Times New Roman" w:eastAsia="宋体" w:cs="Times New Roman"/>
          <w:color w:val="auto"/>
          <w:sz w:val="26"/>
          <w:szCs w:val="26"/>
          <w:lang w:eastAsia="zh-CN"/>
        </w:rPr>
        <w:t>。</w:t>
      </w:r>
    </w:p>
    <w:p w14:paraId="27C840C9">
      <w:pPr>
        <w:adjustRightInd w:val="0"/>
        <w:snapToGrid w:val="0"/>
        <w:spacing w:line="480" w:lineRule="exact"/>
        <w:ind w:firstLine="520" w:firstLineChars="200"/>
        <w:rPr>
          <w:rFonts w:hint="default" w:ascii="Times New Roman" w:hAnsi="Times New Roman" w:eastAsia="宋体" w:cs="Times New Roman"/>
          <w:color w:val="auto"/>
          <w:sz w:val="26"/>
          <w:highlight w:val="none"/>
          <w:lang w:bidi="ar"/>
        </w:rPr>
      </w:pPr>
      <w:r>
        <w:rPr>
          <w:rFonts w:hint="default" w:ascii="Times New Roman" w:hAnsi="Times New Roman" w:eastAsia="宋体" w:cs="Times New Roman"/>
          <w:color w:val="auto"/>
          <w:sz w:val="26"/>
          <w:highlight w:val="none"/>
          <w:lang w:bidi="ar"/>
        </w:rPr>
        <w:t>自然植被主要分布在山地，以低山偏湿性常绿阔叶林最为普遍，面积较大的地方有金佛山、合江县福宝、古蔺县与叙永县间的笋子山。海拔800-1000米的低山，以</w:t>
      </w:r>
      <w:r>
        <w:rPr>
          <w:rFonts w:hint="default" w:ascii="Times New Roman" w:hAnsi="Times New Roman" w:eastAsia="宋体" w:cs="Times New Roman"/>
          <w:color w:val="auto"/>
          <w:sz w:val="26"/>
          <w:highlight w:val="none"/>
          <w:lang w:val="en-US" w:eastAsia="zh-CN" w:bidi="ar"/>
        </w:rPr>
        <w:t>栲</w:t>
      </w:r>
      <w:r>
        <w:rPr>
          <w:rFonts w:hint="default" w:ascii="Times New Roman" w:hAnsi="Times New Roman" w:eastAsia="宋体" w:cs="Times New Roman"/>
          <w:color w:val="auto"/>
          <w:sz w:val="26"/>
          <w:highlight w:val="none"/>
          <w:lang w:bidi="ar"/>
        </w:rPr>
        <w:t>树林、桢楠林较多</w:t>
      </w:r>
      <w:r>
        <w:rPr>
          <w:rFonts w:hint="default" w:ascii="Times New Roman" w:hAnsi="Times New Roman" w:eastAsia="宋体" w:cs="Times New Roman"/>
          <w:color w:val="auto"/>
          <w:sz w:val="26"/>
          <w:highlight w:val="none"/>
          <w:lang w:eastAsia="zh-CN" w:bidi="ar"/>
        </w:rPr>
        <w:t>；</w:t>
      </w:r>
      <w:r>
        <w:rPr>
          <w:rFonts w:hint="default" w:ascii="Times New Roman" w:hAnsi="Times New Roman" w:eastAsia="宋体" w:cs="Times New Roman"/>
          <w:color w:val="auto"/>
          <w:sz w:val="26"/>
          <w:highlight w:val="none"/>
          <w:lang w:bidi="ar"/>
        </w:rPr>
        <w:t>海拔1000-1500米一带，主要分布刺果</w:t>
      </w:r>
      <w:r>
        <w:rPr>
          <w:rFonts w:hint="default" w:ascii="Times New Roman" w:hAnsi="Times New Roman" w:eastAsia="宋体" w:cs="Times New Roman"/>
          <w:color w:val="auto"/>
          <w:sz w:val="26"/>
          <w:highlight w:val="none"/>
          <w:lang w:val="en-US" w:eastAsia="zh-CN" w:bidi="ar"/>
        </w:rPr>
        <w:t>米槠</w:t>
      </w:r>
      <w:r>
        <w:rPr>
          <w:rFonts w:hint="default" w:ascii="Times New Roman" w:hAnsi="Times New Roman" w:eastAsia="宋体" w:cs="Times New Roman"/>
          <w:color w:val="auto"/>
          <w:sz w:val="26"/>
          <w:highlight w:val="none"/>
          <w:lang w:bidi="ar"/>
        </w:rPr>
        <w:t>、四川大头茶、大苞木荷林。这类常绿阔叶林，组成种类多，层片结构复杂，特别是山茶科植物十分丰富，常成群落乔木层的优势种，</w:t>
      </w:r>
      <w:r>
        <w:rPr>
          <w:rFonts w:hint="default" w:ascii="Times New Roman" w:hAnsi="Times New Roman" w:eastAsia="宋体" w:cs="Times New Roman"/>
          <w:color w:val="auto"/>
          <w:sz w:val="26"/>
          <w:highlight w:val="none"/>
          <w:lang w:val="en-US" w:eastAsia="zh-CN" w:bidi="ar"/>
        </w:rPr>
        <w:t>柃木</w:t>
      </w:r>
      <w:r>
        <w:rPr>
          <w:rFonts w:hint="default" w:ascii="Times New Roman" w:hAnsi="Times New Roman" w:eastAsia="宋体" w:cs="Times New Roman"/>
          <w:color w:val="auto"/>
          <w:sz w:val="26"/>
          <w:highlight w:val="none"/>
          <w:lang w:bidi="ar"/>
        </w:rPr>
        <w:t>属和茶属植物则常成为灌木层的优势植物。灌木层常以金佛山方竹和茶树占极大的优势。低山常绿针叶林中</w:t>
      </w:r>
      <w:r>
        <w:rPr>
          <w:rFonts w:hint="default" w:ascii="Times New Roman" w:hAnsi="Times New Roman" w:eastAsia="宋体" w:cs="Times New Roman"/>
          <w:color w:val="auto"/>
          <w:sz w:val="26"/>
          <w:highlight w:val="none"/>
          <w:lang w:eastAsia="zh-CN" w:bidi="ar"/>
        </w:rPr>
        <w:t>，</w:t>
      </w:r>
      <w:r>
        <w:rPr>
          <w:rFonts w:hint="default" w:ascii="Times New Roman" w:hAnsi="Times New Roman" w:eastAsia="宋体" w:cs="Times New Roman"/>
          <w:color w:val="auto"/>
          <w:sz w:val="26"/>
          <w:highlight w:val="none"/>
          <w:lang w:bidi="ar"/>
        </w:rPr>
        <w:t>杉木林、马尾松林有较大面积。在海拔1600-2000米的石灰岩地区，有</w:t>
      </w:r>
      <w:r>
        <w:rPr>
          <w:rFonts w:hint="default" w:ascii="Times New Roman" w:hAnsi="Times New Roman" w:eastAsia="宋体" w:cs="Times New Roman"/>
          <w:color w:val="auto"/>
          <w:sz w:val="26"/>
          <w:highlight w:val="none"/>
          <w:lang w:val="en-US" w:eastAsia="zh-CN" w:bidi="ar"/>
        </w:rPr>
        <w:t>峨眉栲</w:t>
      </w:r>
      <w:r>
        <w:rPr>
          <w:rFonts w:hint="default" w:ascii="Times New Roman" w:hAnsi="Times New Roman" w:eastAsia="宋体" w:cs="Times New Roman"/>
          <w:color w:val="auto"/>
          <w:sz w:val="26"/>
          <w:highlight w:val="none"/>
          <w:lang w:bidi="ar"/>
        </w:rPr>
        <w:t>、曼</w:t>
      </w:r>
      <w:r>
        <w:rPr>
          <w:rFonts w:hint="default" w:ascii="Times New Roman" w:hAnsi="Times New Roman" w:eastAsia="宋体" w:cs="Times New Roman"/>
          <w:color w:val="auto"/>
          <w:sz w:val="26"/>
          <w:highlight w:val="none"/>
          <w:lang w:val="en-US" w:eastAsia="zh-CN" w:bidi="ar"/>
        </w:rPr>
        <w:t>青冈</w:t>
      </w:r>
      <w:r>
        <w:rPr>
          <w:rFonts w:hint="default" w:ascii="Times New Roman" w:hAnsi="Times New Roman" w:eastAsia="宋体" w:cs="Times New Roman"/>
          <w:color w:val="auto"/>
          <w:sz w:val="26"/>
          <w:highlight w:val="none"/>
          <w:lang w:bidi="ar"/>
        </w:rPr>
        <w:t>、化香树、西门鹅耳枥、小叶朴等组成的常绿与落叶阔叶混交林。栽培植被一般分布在海拔较低的地方。作物以水稻、玉米为主，其次有红苕、豆类、小麦、油菜、马铃薯、绿肥、烟草、花生、青麻等作物</w:t>
      </w:r>
      <w:r>
        <w:rPr>
          <w:rFonts w:hint="default" w:ascii="Times New Roman" w:hAnsi="Times New Roman" w:eastAsia="宋体" w:cs="Times New Roman"/>
          <w:color w:val="auto"/>
          <w:sz w:val="26"/>
          <w:highlight w:val="none"/>
          <w:lang w:eastAsia="zh-CN" w:bidi="ar"/>
        </w:rPr>
        <w:t>；</w:t>
      </w:r>
      <w:r>
        <w:rPr>
          <w:rFonts w:hint="default" w:ascii="Times New Roman" w:hAnsi="Times New Roman" w:eastAsia="宋体" w:cs="Times New Roman"/>
          <w:color w:val="auto"/>
          <w:sz w:val="26"/>
          <w:highlight w:val="none"/>
          <w:lang w:bidi="ar"/>
        </w:rPr>
        <w:t>经济林木主要有油桐、油茶、茶、</w:t>
      </w:r>
      <w:r>
        <w:rPr>
          <w:rFonts w:hint="default" w:ascii="Times New Roman" w:hAnsi="Times New Roman" w:eastAsia="宋体" w:cs="Times New Roman"/>
          <w:color w:val="auto"/>
          <w:sz w:val="26"/>
          <w:highlight w:val="none"/>
          <w:shd w:val="clear" w:fill="FFFFFF"/>
          <w:lang w:bidi="ar"/>
        </w:rPr>
        <w:t>红桔</w:t>
      </w:r>
      <w:r>
        <w:rPr>
          <w:rFonts w:hint="default" w:ascii="Times New Roman" w:hAnsi="Times New Roman" w:eastAsia="宋体" w:cs="Times New Roman"/>
          <w:color w:val="auto"/>
          <w:sz w:val="26"/>
          <w:highlight w:val="none"/>
          <w:lang w:bidi="ar"/>
        </w:rPr>
        <w:t>、甜橙。</w:t>
      </w:r>
    </w:p>
    <w:p w14:paraId="63B0A42B">
      <w:pPr>
        <w:spacing w:line="480" w:lineRule="exact"/>
        <w:ind w:firstLine="520" w:firstLineChars="200"/>
        <w:rPr>
          <w:rFonts w:hint="default" w:ascii="Times New Roman" w:hAnsi="Times New Roman" w:eastAsia="宋体" w:cs="Times New Roman"/>
          <w:color w:val="FF0000"/>
          <w:sz w:val="26"/>
          <w:szCs w:val="26"/>
          <w:lang w:val="en-US" w:eastAsia="zh-CN"/>
        </w:rPr>
      </w:pPr>
      <w:r>
        <w:rPr>
          <w:rFonts w:hint="default" w:ascii="Times New Roman" w:hAnsi="Times New Roman" w:eastAsia="宋体" w:cs="Times New Roman"/>
          <w:color w:val="auto"/>
          <w:sz w:val="26"/>
          <w:highlight w:val="none"/>
          <w:lang w:bidi="ar"/>
        </w:rPr>
        <w:t>从项目评价区植被现状调查结果来看，</w:t>
      </w:r>
      <w:r>
        <w:rPr>
          <w:rFonts w:hint="default" w:ascii="Times New Roman" w:hAnsi="Times New Roman" w:eastAsia="宋体" w:cs="Times New Roman"/>
          <w:color w:val="auto"/>
          <w:sz w:val="26"/>
          <w:highlight w:val="none"/>
          <w:lang w:val="en-US" w:eastAsia="zh-CN" w:bidi="ar"/>
        </w:rPr>
        <w:t>项目区处于海拔800以下的低山常绿针叶林，以大面积马尾松为主，栽培植物以水稻、玉米、红苕等作物，</w:t>
      </w:r>
      <w:r>
        <w:rPr>
          <w:rFonts w:hint="default" w:ascii="Times New Roman" w:hAnsi="Times New Roman" w:eastAsia="宋体" w:cs="Times New Roman"/>
          <w:color w:val="auto"/>
          <w:sz w:val="26"/>
          <w:highlight w:val="none"/>
          <w:lang w:bidi="ar"/>
        </w:rPr>
        <w:t>植被情况大致与植被小区的植被描述一致。</w:t>
      </w:r>
    </w:p>
    <w:p w14:paraId="1C641918">
      <w:pPr>
        <w:spacing w:line="480" w:lineRule="exact"/>
        <w:ind w:firstLine="522" w:firstLineChars="200"/>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lang w:val="en-US" w:eastAsia="zh-CN"/>
        </w:rPr>
        <w:t>②</w:t>
      </w:r>
      <w:r>
        <w:rPr>
          <w:rFonts w:hint="default" w:ascii="Times New Roman" w:hAnsi="Times New Roman" w:eastAsia="宋体" w:cs="Times New Roman"/>
          <w:b/>
          <w:bCs/>
          <w:color w:val="auto"/>
          <w:sz w:val="26"/>
          <w:szCs w:val="26"/>
        </w:rPr>
        <w:t>植被类型分类系统表</w:t>
      </w:r>
    </w:p>
    <w:p w14:paraId="0A8B8B56">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调查区域植被类型图参照《1:1000000中国植被图》中植被分类体系</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将评价范围内现场调查</w:t>
      </w:r>
      <w:r>
        <w:rPr>
          <w:rFonts w:hint="default" w:ascii="Times New Roman" w:hAnsi="Times New Roman" w:eastAsia="宋体" w:cs="Times New Roman"/>
          <w:color w:val="auto"/>
          <w:sz w:val="26"/>
          <w:szCs w:val="26"/>
          <w:lang w:val="en-US" w:eastAsia="zh-CN"/>
        </w:rPr>
        <w:t>的</w:t>
      </w:r>
      <w:r>
        <w:rPr>
          <w:rFonts w:hint="default" w:ascii="Times New Roman" w:hAnsi="Times New Roman" w:eastAsia="宋体" w:cs="Times New Roman"/>
          <w:color w:val="auto"/>
          <w:sz w:val="26"/>
          <w:szCs w:val="26"/>
        </w:rPr>
        <w:t>植被类型分为针叶林</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灌丛和灌草丛等</w:t>
      </w:r>
      <w:r>
        <w:rPr>
          <w:rFonts w:hint="default" w:ascii="Times New Roman" w:hAnsi="Times New Roman" w:eastAsia="宋体" w:cs="Times New Roman"/>
          <w:color w:val="auto"/>
          <w:sz w:val="26"/>
          <w:szCs w:val="26"/>
          <w:lang w:val="en-US" w:eastAsia="zh-CN"/>
        </w:rPr>
        <w:t>2</w:t>
      </w:r>
      <w:r>
        <w:rPr>
          <w:rFonts w:hint="default" w:ascii="Times New Roman" w:hAnsi="Times New Roman" w:eastAsia="宋体" w:cs="Times New Roman"/>
          <w:color w:val="auto"/>
          <w:sz w:val="26"/>
          <w:szCs w:val="26"/>
        </w:rPr>
        <w:t>个植被型组，</w:t>
      </w:r>
      <w:r>
        <w:rPr>
          <w:rFonts w:hint="default" w:ascii="Times New Roman" w:hAnsi="Times New Roman" w:eastAsia="宋体" w:cs="Times New Roman"/>
          <w:color w:val="auto"/>
          <w:sz w:val="24"/>
          <w:szCs w:val="24"/>
        </w:rPr>
        <w:t>结合区域高分遥感数据、DEM数据、地面调查数据等对评价范围的植被类型进行目视解译</w:t>
      </w:r>
      <w:r>
        <w:rPr>
          <w:rFonts w:hint="default" w:ascii="Times New Roman" w:hAnsi="Times New Roman" w:eastAsia="宋体" w:cs="Times New Roman"/>
          <w:color w:val="auto"/>
          <w:sz w:val="26"/>
          <w:szCs w:val="26"/>
        </w:rPr>
        <w:t>，并将植被型</w:t>
      </w:r>
      <w:r>
        <w:rPr>
          <w:rFonts w:hint="default" w:ascii="Times New Roman" w:hAnsi="Times New Roman" w:eastAsia="宋体" w:cs="Times New Roman"/>
          <w:color w:val="auto"/>
          <w:sz w:val="26"/>
          <w:szCs w:val="26"/>
          <w:shd w:val="clear" w:fill="FFFFFF"/>
        </w:rPr>
        <w:t>组细</w:t>
      </w:r>
      <w:r>
        <w:rPr>
          <w:rFonts w:hint="default" w:ascii="Times New Roman" w:hAnsi="Times New Roman" w:eastAsia="宋体" w:cs="Times New Roman"/>
          <w:color w:val="auto"/>
          <w:sz w:val="26"/>
          <w:szCs w:val="26"/>
        </w:rPr>
        <w:t>分为</w:t>
      </w:r>
      <w:r>
        <w:rPr>
          <w:rFonts w:hint="default" w:ascii="Times New Roman" w:hAnsi="Times New Roman" w:eastAsia="宋体" w:cs="Times New Roman"/>
          <w:color w:val="auto"/>
          <w:sz w:val="26"/>
          <w:szCs w:val="26"/>
          <w:lang w:val="en-US" w:eastAsia="zh-CN"/>
        </w:rPr>
        <w:t>3</w:t>
      </w:r>
      <w:r>
        <w:rPr>
          <w:rFonts w:hint="default" w:ascii="Times New Roman" w:hAnsi="Times New Roman" w:eastAsia="宋体" w:cs="Times New Roman"/>
          <w:color w:val="auto"/>
          <w:sz w:val="26"/>
          <w:szCs w:val="26"/>
        </w:rPr>
        <w:t>个植被型、</w:t>
      </w:r>
      <w:r>
        <w:rPr>
          <w:rFonts w:hint="default" w:ascii="Times New Roman" w:hAnsi="Times New Roman" w:eastAsia="宋体" w:cs="Times New Roman"/>
          <w:color w:val="auto"/>
          <w:sz w:val="26"/>
          <w:szCs w:val="26"/>
          <w:lang w:val="en-US" w:eastAsia="zh-CN"/>
        </w:rPr>
        <w:t>4</w:t>
      </w:r>
      <w:r>
        <w:rPr>
          <w:rFonts w:hint="default" w:ascii="Times New Roman" w:hAnsi="Times New Roman" w:eastAsia="宋体" w:cs="Times New Roman"/>
          <w:color w:val="auto"/>
          <w:sz w:val="26"/>
          <w:szCs w:val="26"/>
        </w:rPr>
        <w:t>个植被群系，并编制评价范围植被类型图。调查及评价范围内植被类型统计见下表。</w:t>
      </w:r>
    </w:p>
    <w:p w14:paraId="4F18C86F">
      <w:pPr>
        <w:snapToGrid w:val="0"/>
        <w:ind w:firstLine="522" w:firstLineChars="200"/>
        <w:jc w:val="center"/>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表4.</w:t>
      </w:r>
      <w:r>
        <w:rPr>
          <w:rFonts w:hint="default" w:ascii="Times New Roman" w:hAnsi="Times New Roman" w:eastAsia="宋体" w:cs="Times New Roman"/>
          <w:b/>
          <w:bCs/>
          <w:color w:val="auto"/>
          <w:sz w:val="26"/>
          <w:szCs w:val="26"/>
          <w:lang w:val="en-US" w:eastAsia="zh-CN"/>
        </w:rPr>
        <w:t>3</w:t>
      </w:r>
      <w:r>
        <w:rPr>
          <w:rFonts w:hint="default" w:ascii="Times New Roman" w:hAnsi="Times New Roman" w:eastAsia="宋体" w:cs="Times New Roman"/>
          <w:b/>
          <w:bCs/>
          <w:color w:val="auto"/>
          <w:sz w:val="26"/>
          <w:szCs w:val="26"/>
        </w:rPr>
        <w:t>-</w:t>
      </w:r>
      <w:r>
        <w:rPr>
          <w:rFonts w:hint="default" w:ascii="Times New Roman" w:hAnsi="Times New Roman" w:eastAsia="宋体" w:cs="Times New Roman"/>
          <w:b/>
          <w:bCs/>
          <w:color w:val="auto"/>
          <w:sz w:val="26"/>
          <w:szCs w:val="26"/>
          <w:lang w:val="en-US" w:eastAsia="zh-CN"/>
        </w:rPr>
        <w:t>1</w:t>
      </w:r>
      <w:r>
        <w:rPr>
          <w:rFonts w:hint="eastAsia" w:ascii="Times New Roman" w:hAnsi="Times New Roman" w:cs="Times New Roman"/>
          <w:b/>
          <w:bCs/>
          <w:color w:val="auto"/>
          <w:sz w:val="26"/>
          <w:szCs w:val="26"/>
          <w:lang w:val="en-US" w:eastAsia="zh-CN"/>
        </w:rPr>
        <w:t>3</w:t>
      </w:r>
      <w:r>
        <w:rPr>
          <w:rFonts w:hint="default" w:ascii="Times New Roman" w:hAnsi="Times New Roman" w:eastAsia="宋体" w:cs="Times New Roman"/>
          <w:b/>
          <w:bCs/>
          <w:color w:val="auto"/>
          <w:sz w:val="26"/>
          <w:szCs w:val="26"/>
        </w:rPr>
        <w:t xml:space="preserve"> 项目植物群落调查结果统计表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149"/>
        <w:gridCol w:w="1442"/>
        <w:gridCol w:w="1271"/>
        <w:gridCol w:w="2115"/>
        <w:gridCol w:w="1170"/>
        <w:gridCol w:w="1064"/>
      </w:tblGrid>
      <w:tr w14:paraId="2FF2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restart"/>
            <w:noWrap w:val="0"/>
            <w:vAlign w:val="center"/>
          </w:tcPr>
          <w:p w14:paraId="1ED06F0F">
            <w:pPr>
              <w:widowControl/>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植被</w:t>
            </w:r>
          </w:p>
          <w:p w14:paraId="769732A4">
            <w:pPr>
              <w:widowControl/>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型组</w:t>
            </w:r>
          </w:p>
        </w:tc>
        <w:tc>
          <w:tcPr>
            <w:tcW w:w="642" w:type="pct"/>
            <w:vMerge w:val="restart"/>
            <w:noWrap w:val="0"/>
            <w:vAlign w:val="center"/>
          </w:tcPr>
          <w:p w14:paraId="6AF0EBBB">
            <w:pPr>
              <w:widowControl/>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rPr>
              <w:t>植被型</w:t>
            </w:r>
          </w:p>
        </w:tc>
        <w:tc>
          <w:tcPr>
            <w:tcW w:w="805" w:type="pct"/>
            <w:vMerge w:val="restart"/>
            <w:noWrap w:val="0"/>
            <w:vAlign w:val="center"/>
          </w:tcPr>
          <w:p w14:paraId="361CC328">
            <w:pPr>
              <w:widowControl/>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rPr>
              <w:t>植被亚型</w:t>
            </w:r>
          </w:p>
        </w:tc>
        <w:tc>
          <w:tcPr>
            <w:tcW w:w="710" w:type="pct"/>
            <w:vMerge w:val="restart"/>
            <w:noWrap w:val="0"/>
            <w:vAlign w:val="center"/>
          </w:tcPr>
          <w:p w14:paraId="49071460">
            <w:pPr>
              <w:widowControl/>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rPr>
              <w:t>群系</w:t>
            </w:r>
          </w:p>
        </w:tc>
        <w:tc>
          <w:tcPr>
            <w:tcW w:w="1182" w:type="pct"/>
            <w:vMerge w:val="restart"/>
            <w:noWrap w:val="0"/>
            <w:vAlign w:val="center"/>
          </w:tcPr>
          <w:p w14:paraId="6262CB5C">
            <w:pPr>
              <w:widowControl/>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rPr>
              <w:t>分布区域</w:t>
            </w:r>
          </w:p>
        </w:tc>
        <w:tc>
          <w:tcPr>
            <w:tcW w:w="1248" w:type="pct"/>
            <w:gridSpan w:val="2"/>
            <w:noWrap w:val="0"/>
            <w:vAlign w:val="center"/>
          </w:tcPr>
          <w:p w14:paraId="36E5AFB8">
            <w:pPr>
              <w:widowControl/>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rPr>
              <w:t>工程占用情况</w:t>
            </w:r>
          </w:p>
        </w:tc>
      </w:tr>
      <w:tr w14:paraId="71D9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noWrap w:val="0"/>
            <w:vAlign w:val="center"/>
          </w:tcPr>
          <w:p w14:paraId="03A03491">
            <w:pPr>
              <w:widowControl/>
              <w:jc w:val="center"/>
              <w:textAlignment w:val="center"/>
              <w:rPr>
                <w:rFonts w:hint="default" w:ascii="Times New Roman" w:hAnsi="Times New Roman" w:eastAsia="宋体" w:cs="Times New Roman"/>
                <w:b/>
                <w:bCs/>
                <w:color w:val="auto"/>
                <w:sz w:val="21"/>
                <w:szCs w:val="21"/>
                <w:lang w:bidi="ar"/>
              </w:rPr>
            </w:pPr>
          </w:p>
        </w:tc>
        <w:tc>
          <w:tcPr>
            <w:tcW w:w="642" w:type="pct"/>
            <w:vMerge w:val="continue"/>
            <w:noWrap w:val="0"/>
            <w:vAlign w:val="center"/>
          </w:tcPr>
          <w:p w14:paraId="695F4269">
            <w:pPr>
              <w:widowControl/>
              <w:jc w:val="center"/>
              <w:textAlignment w:val="center"/>
              <w:rPr>
                <w:rFonts w:hint="default" w:ascii="Times New Roman" w:hAnsi="Times New Roman" w:eastAsia="宋体" w:cs="Times New Roman"/>
                <w:b/>
                <w:bCs/>
                <w:color w:val="auto"/>
                <w:sz w:val="21"/>
                <w:szCs w:val="21"/>
                <w:lang w:bidi="ar"/>
              </w:rPr>
            </w:pPr>
          </w:p>
        </w:tc>
        <w:tc>
          <w:tcPr>
            <w:tcW w:w="805" w:type="pct"/>
            <w:vMerge w:val="continue"/>
            <w:noWrap w:val="0"/>
            <w:vAlign w:val="center"/>
          </w:tcPr>
          <w:p w14:paraId="6BC789F0">
            <w:pPr>
              <w:widowControl/>
              <w:jc w:val="center"/>
              <w:textAlignment w:val="center"/>
              <w:rPr>
                <w:rFonts w:hint="default" w:ascii="Times New Roman" w:hAnsi="Times New Roman" w:eastAsia="宋体" w:cs="Times New Roman"/>
                <w:b/>
                <w:bCs/>
                <w:color w:val="auto"/>
                <w:sz w:val="21"/>
                <w:szCs w:val="21"/>
                <w:lang w:bidi="ar"/>
              </w:rPr>
            </w:pPr>
          </w:p>
        </w:tc>
        <w:tc>
          <w:tcPr>
            <w:tcW w:w="710" w:type="pct"/>
            <w:vMerge w:val="continue"/>
            <w:noWrap w:val="0"/>
            <w:vAlign w:val="center"/>
          </w:tcPr>
          <w:p w14:paraId="4321CBCF">
            <w:pPr>
              <w:widowControl/>
              <w:jc w:val="center"/>
              <w:textAlignment w:val="center"/>
              <w:rPr>
                <w:rFonts w:hint="default" w:ascii="Times New Roman" w:hAnsi="Times New Roman" w:eastAsia="宋体" w:cs="Times New Roman"/>
                <w:b/>
                <w:bCs/>
                <w:color w:val="auto"/>
                <w:sz w:val="21"/>
                <w:szCs w:val="21"/>
                <w:lang w:bidi="ar"/>
              </w:rPr>
            </w:pPr>
          </w:p>
        </w:tc>
        <w:tc>
          <w:tcPr>
            <w:tcW w:w="1182" w:type="pct"/>
            <w:vMerge w:val="continue"/>
            <w:noWrap w:val="0"/>
            <w:vAlign w:val="center"/>
          </w:tcPr>
          <w:p w14:paraId="25AE1004">
            <w:pPr>
              <w:widowControl/>
              <w:jc w:val="center"/>
              <w:textAlignment w:val="center"/>
              <w:rPr>
                <w:rFonts w:hint="default" w:ascii="Times New Roman" w:hAnsi="Times New Roman" w:eastAsia="宋体" w:cs="Times New Roman"/>
                <w:b/>
                <w:bCs/>
                <w:color w:val="auto"/>
                <w:sz w:val="21"/>
                <w:szCs w:val="21"/>
                <w:lang w:bidi="ar"/>
              </w:rPr>
            </w:pPr>
          </w:p>
        </w:tc>
        <w:tc>
          <w:tcPr>
            <w:tcW w:w="653" w:type="pct"/>
            <w:noWrap w:val="0"/>
            <w:vAlign w:val="center"/>
          </w:tcPr>
          <w:p w14:paraId="5EC57675">
            <w:pPr>
              <w:widowControl/>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rPr>
              <w:t>占用面积（hm²）</w:t>
            </w:r>
          </w:p>
        </w:tc>
        <w:tc>
          <w:tcPr>
            <w:tcW w:w="594" w:type="pct"/>
            <w:noWrap w:val="0"/>
            <w:vAlign w:val="center"/>
          </w:tcPr>
          <w:p w14:paraId="5231EC27">
            <w:pPr>
              <w:widowControl/>
              <w:jc w:val="center"/>
              <w:textAlignment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rPr>
              <w:t>占用比例（%）</w:t>
            </w:r>
          </w:p>
        </w:tc>
      </w:tr>
      <w:tr w14:paraId="26CB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noWrap w:val="0"/>
            <w:vAlign w:val="center"/>
          </w:tcPr>
          <w:p w14:paraId="3FE7B876">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Ⅰ.针叶林</w:t>
            </w:r>
          </w:p>
        </w:tc>
        <w:tc>
          <w:tcPr>
            <w:tcW w:w="642" w:type="pct"/>
            <w:noWrap w:val="0"/>
            <w:vAlign w:val="center"/>
          </w:tcPr>
          <w:p w14:paraId="45313B53">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一、暖性针叶林</w:t>
            </w:r>
          </w:p>
        </w:tc>
        <w:tc>
          <w:tcPr>
            <w:tcW w:w="805" w:type="pct"/>
            <w:noWrap w:val="0"/>
            <w:vAlign w:val="center"/>
          </w:tcPr>
          <w:p w14:paraId="4C16E452">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（一）暖性常绿针叶林</w:t>
            </w:r>
          </w:p>
        </w:tc>
        <w:tc>
          <w:tcPr>
            <w:tcW w:w="710" w:type="pct"/>
            <w:noWrap w:val="0"/>
            <w:vAlign w:val="center"/>
          </w:tcPr>
          <w:p w14:paraId="3E72DECE">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bidi="ar"/>
              </w:rPr>
              <w:t>1.</w:t>
            </w:r>
            <w:r>
              <w:rPr>
                <w:rFonts w:hint="default" w:ascii="Times New Roman" w:hAnsi="Times New Roman" w:eastAsia="宋体" w:cs="Times New Roman"/>
                <w:color w:val="auto"/>
                <w:sz w:val="21"/>
                <w:szCs w:val="21"/>
                <w:lang w:val="en-US" w:eastAsia="zh-CN" w:bidi="ar"/>
              </w:rPr>
              <w:t>马尾松</w:t>
            </w:r>
          </w:p>
          <w:p w14:paraId="16B3E500">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bidi="ar"/>
              </w:rPr>
              <w:t>林群系</w:t>
            </w:r>
          </w:p>
        </w:tc>
        <w:tc>
          <w:tcPr>
            <w:tcW w:w="1182" w:type="pct"/>
            <w:noWrap w:val="0"/>
            <w:vAlign w:val="center"/>
          </w:tcPr>
          <w:p w14:paraId="7B0B7311">
            <w:pPr>
              <w:widowControl/>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bidi="ar"/>
              </w:rPr>
              <w:t>主要呈块状分布在迁改段起点至650m沿线的森林生态系统中，零散分布于迁改段终点附近区域，常见于道路旁的低山丘陵区</w:t>
            </w:r>
          </w:p>
        </w:tc>
        <w:tc>
          <w:tcPr>
            <w:tcW w:w="653" w:type="pct"/>
            <w:noWrap w:val="0"/>
            <w:vAlign w:val="center"/>
          </w:tcPr>
          <w:p w14:paraId="28F30A35">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0.37</w:t>
            </w:r>
          </w:p>
        </w:tc>
        <w:tc>
          <w:tcPr>
            <w:tcW w:w="1064" w:type="dxa"/>
            <w:noWrap w:val="0"/>
            <w:vAlign w:val="center"/>
          </w:tcPr>
          <w:p w14:paraId="53F9DD17">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0.67</w:t>
            </w:r>
          </w:p>
        </w:tc>
      </w:tr>
      <w:tr w14:paraId="7F02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restart"/>
            <w:noWrap w:val="0"/>
            <w:vAlign w:val="center"/>
          </w:tcPr>
          <w:p w14:paraId="663DF348">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bidi="ar"/>
              </w:rPr>
              <w:t>Ⅱ</w:t>
            </w:r>
            <w:r>
              <w:rPr>
                <w:rFonts w:hint="default" w:ascii="Times New Roman" w:hAnsi="Times New Roman" w:eastAsia="宋体" w:cs="Times New Roman"/>
                <w:color w:val="auto"/>
                <w:sz w:val="21"/>
                <w:szCs w:val="21"/>
              </w:rPr>
              <w:t>.灌丛和灌草丛</w:t>
            </w:r>
          </w:p>
        </w:tc>
        <w:tc>
          <w:tcPr>
            <w:tcW w:w="642" w:type="pct"/>
            <w:noWrap w:val="0"/>
            <w:vAlign w:val="center"/>
          </w:tcPr>
          <w:p w14:paraId="0FCB48C6">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rPr>
              <w:t>、落叶阔叶灌丛</w:t>
            </w:r>
          </w:p>
        </w:tc>
        <w:tc>
          <w:tcPr>
            <w:tcW w:w="805" w:type="pct"/>
            <w:noWrap w:val="0"/>
            <w:vAlign w:val="center"/>
          </w:tcPr>
          <w:p w14:paraId="5449702B">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rPr>
              <w:t>）暖性落叶阔叶灌丛</w:t>
            </w:r>
          </w:p>
        </w:tc>
        <w:tc>
          <w:tcPr>
            <w:tcW w:w="710" w:type="pct"/>
            <w:noWrap w:val="0"/>
            <w:vAlign w:val="center"/>
          </w:tcPr>
          <w:p w14:paraId="5D083513">
            <w:pPr>
              <w:widowControl/>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2.盐麸木</w:t>
            </w:r>
          </w:p>
          <w:p w14:paraId="15A1A3C6">
            <w:pPr>
              <w:widowControl/>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灌丛群系</w:t>
            </w:r>
          </w:p>
        </w:tc>
        <w:tc>
          <w:tcPr>
            <w:tcW w:w="1182" w:type="pct"/>
            <w:noWrap w:val="0"/>
            <w:vAlign w:val="center"/>
          </w:tcPr>
          <w:p w14:paraId="3DCBA66B">
            <w:pPr>
              <w:widowControl/>
              <w:numPr>
                <w:ilvl w:val="0"/>
                <w:numId w:val="0"/>
              </w:numPr>
              <w:jc w:val="both"/>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零星分布于评价区内的林缘、荒地路边、浅丘下坡等</w:t>
            </w:r>
          </w:p>
        </w:tc>
        <w:tc>
          <w:tcPr>
            <w:tcW w:w="653" w:type="pct"/>
            <w:noWrap w:val="0"/>
            <w:vAlign w:val="center"/>
          </w:tcPr>
          <w:p w14:paraId="6B0F684B">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0.01</w:t>
            </w:r>
          </w:p>
        </w:tc>
        <w:tc>
          <w:tcPr>
            <w:tcW w:w="1064" w:type="dxa"/>
            <w:noWrap w:val="0"/>
            <w:vAlign w:val="center"/>
          </w:tcPr>
          <w:p w14:paraId="54BD786B">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0.10</w:t>
            </w:r>
          </w:p>
        </w:tc>
      </w:tr>
      <w:tr w14:paraId="369A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noWrap w:val="0"/>
            <w:vAlign w:val="center"/>
          </w:tcPr>
          <w:p w14:paraId="7963DD79">
            <w:pPr>
              <w:widowControl/>
              <w:jc w:val="center"/>
              <w:textAlignment w:val="center"/>
              <w:rPr>
                <w:rFonts w:hint="default" w:ascii="Times New Roman" w:hAnsi="Times New Roman" w:eastAsia="宋体" w:cs="Times New Roman"/>
                <w:color w:val="auto"/>
                <w:sz w:val="21"/>
                <w:szCs w:val="21"/>
              </w:rPr>
            </w:pPr>
          </w:p>
        </w:tc>
        <w:tc>
          <w:tcPr>
            <w:tcW w:w="642" w:type="pct"/>
            <w:vMerge w:val="restart"/>
            <w:noWrap w:val="0"/>
            <w:vAlign w:val="center"/>
          </w:tcPr>
          <w:p w14:paraId="02BE1577">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三</w:t>
            </w:r>
            <w:r>
              <w:rPr>
                <w:rFonts w:hint="default" w:ascii="Times New Roman" w:hAnsi="Times New Roman" w:eastAsia="宋体" w:cs="Times New Roman"/>
                <w:color w:val="auto"/>
                <w:sz w:val="21"/>
                <w:szCs w:val="21"/>
              </w:rPr>
              <w:t>、灌草丛</w:t>
            </w:r>
          </w:p>
        </w:tc>
        <w:tc>
          <w:tcPr>
            <w:tcW w:w="805" w:type="pct"/>
            <w:vMerge w:val="restart"/>
            <w:noWrap w:val="0"/>
            <w:vAlign w:val="center"/>
          </w:tcPr>
          <w:p w14:paraId="1CD8130F">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三</w:t>
            </w:r>
            <w:r>
              <w:rPr>
                <w:rFonts w:hint="default" w:ascii="Times New Roman" w:hAnsi="Times New Roman" w:eastAsia="宋体" w:cs="Times New Roman"/>
                <w:color w:val="auto"/>
                <w:sz w:val="21"/>
                <w:szCs w:val="21"/>
              </w:rPr>
              <w:t>）中生性灌草丛</w:t>
            </w:r>
          </w:p>
        </w:tc>
        <w:tc>
          <w:tcPr>
            <w:tcW w:w="710" w:type="pct"/>
            <w:noWrap w:val="0"/>
            <w:vAlign w:val="center"/>
          </w:tcPr>
          <w:p w14:paraId="43969CA7">
            <w:pPr>
              <w:widowControl/>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color w:val="auto"/>
                <w:sz w:val="21"/>
                <w:szCs w:val="21"/>
                <w:lang w:bidi="ar"/>
              </w:rPr>
              <w:t>.</w:t>
            </w:r>
            <w:r>
              <w:rPr>
                <w:rFonts w:hint="default" w:ascii="Times New Roman" w:hAnsi="Times New Roman" w:eastAsia="宋体" w:cs="Times New Roman"/>
                <w:color w:val="auto"/>
                <w:sz w:val="21"/>
                <w:szCs w:val="21"/>
                <w:lang w:val="en-US" w:eastAsia="zh-CN" w:bidi="ar"/>
              </w:rPr>
              <w:t>狗脊</w:t>
            </w:r>
          </w:p>
          <w:p w14:paraId="4C68D107">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草丛群系</w:t>
            </w:r>
          </w:p>
        </w:tc>
        <w:tc>
          <w:tcPr>
            <w:tcW w:w="1182" w:type="pct"/>
            <w:noWrap w:val="0"/>
            <w:vAlign w:val="center"/>
          </w:tcPr>
          <w:p w14:paraId="70E87AB9">
            <w:pPr>
              <w:widowControl/>
              <w:numPr>
                <w:ilvl w:val="0"/>
                <w:numId w:val="0"/>
              </w:numPr>
              <w:jc w:val="both"/>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主要分布于评价范围内针叶林的林下、林缘等区域</w:t>
            </w:r>
          </w:p>
        </w:tc>
        <w:tc>
          <w:tcPr>
            <w:tcW w:w="653" w:type="pct"/>
            <w:noWrap w:val="0"/>
            <w:vAlign w:val="center"/>
          </w:tcPr>
          <w:p w14:paraId="71805BCF">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0.002</w:t>
            </w:r>
          </w:p>
        </w:tc>
        <w:tc>
          <w:tcPr>
            <w:tcW w:w="1064" w:type="dxa"/>
            <w:noWrap w:val="0"/>
            <w:vAlign w:val="center"/>
          </w:tcPr>
          <w:p w14:paraId="7E1AAD83">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0.27</w:t>
            </w:r>
          </w:p>
        </w:tc>
      </w:tr>
      <w:tr w14:paraId="19C0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noWrap w:val="0"/>
            <w:vAlign w:val="center"/>
          </w:tcPr>
          <w:p w14:paraId="7242B429">
            <w:pPr>
              <w:widowControl/>
              <w:jc w:val="center"/>
              <w:textAlignment w:val="center"/>
              <w:rPr>
                <w:rFonts w:hint="default" w:ascii="Times New Roman" w:hAnsi="Times New Roman" w:eastAsia="宋体" w:cs="Times New Roman"/>
                <w:color w:val="auto"/>
                <w:sz w:val="21"/>
                <w:szCs w:val="21"/>
              </w:rPr>
            </w:pPr>
          </w:p>
        </w:tc>
        <w:tc>
          <w:tcPr>
            <w:tcW w:w="642" w:type="pct"/>
            <w:vMerge w:val="continue"/>
            <w:noWrap w:val="0"/>
            <w:vAlign w:val="center"/>
          </w:tcPr>
          <w:p w14:paraId="41D93939">
            <w:pPr>
              <w:widowControl/>
              <w:jc w:val="center"/>
              <w:textAlignment w:val="center"/>
              <w:rPr>
                <w:rFonts w:hint="default" w:ascii="Times New Roman" w:hAnsi="Times New Roman" w:eastAsia="宋体" w:cs="Times New Roman"/>
                <w:color w:val="auto"/>
                <w:sz w:val="21"/>
                <w:szCs w:val="21"/>
                <w:lang w:val="en-US" w:eastAsia="zh-CN"/>
              </w:rPr>
            </w:pPr>
          </w:p>
        </w:tc>
        <w:tc>
          <w:tcPr>
            <w:tcW w:w="805" w:type="pct"/>
            <w:vMerge w:val="continue"/>
            <w:noWrap w:val="0"/>
            <w:vAlign w:val="center"/>
          </w:tcPr>
          <w:p w14:paraId="3BFF8FCE">
            <w:pPr>
              <w:widowControl/>
              <w:jc w:val="center"/>
              <w:textAlignment w:val="center"/>
              <w:rPr>
                <w:rFonts w:hint="default" w:ascii="Times New Roman" w:hAnsi="Times New Roman" w:eastAsia="宋体" w:cs="Times New Roman"/>
                <w:color w:val="auto"/>
                <w:sz w:val="21"/>
                <w:szCs w:val="21"/>
              </w:rPr>
            </w:pPr>
          </w:p>
        </w:tc>
        <w:tc>
          <w:tcPr>
            <w:tcW w:w="710" w:type="pct"/>
            <w:noWrap w:val="0"/>
            <w:vAlign w:val="center"/>
          </w:tcPr>
          <w:p w14:paraId="4496C347">
            <w:pPr>
              <w:widowControl/>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4.芒草丛</w:t>
            </w:r>
          </w:p>
          <w:p w14:paraId="05D858ED">
            <w:pPr>
              <w:widowControl/>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群系</w:t>
            </w:r>
          </w:p>
        </w:tc>
        <w:tc>
          <w:tcPr>
            <w:tcW w:w="1182" w:type="pct"/>
            <w:noWrap w:val="0"/>
            <w:vAlign w:val="center"/>
          </w:tcPr>
          <w:p w14:paraId="722DEBC4">
            <w:pPr>
              <w:widowControl/>
              <w:numPr>
                <w:ilvl w:val="0"/>
                <w:numId w:val="0"/>
              </w:numPr>
              <w:jc w:val="both"/>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主要分布于路边、荒地、草地等</w:t>
            </w:r>
          </w:p>
        </w:tc>
        <w:tc>
          <w:tcPr>
            <w:tcW w:w="653" w:type="pct"/>
            <w:noWrap w:val="0"/>
            <w:vAlign w:val="center"/>
          </w:tcPr>
          <w:p w14:paraId="40A122E0">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0.005</w:t>
            </w:r>
          </w:p>
        </w:tc>
        <w:tc>
          <w:tcPr>
            <w:tcW w:w="1064" w:type="dxa"/>
            <w:noWrap w:val="0"/>
            <w:vAlign w:val="center"/>
          </w:tcPr>
          <w:p w14:paraId="3D91357E">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0.68</w:t>
            </w:r>
          </w:p>
        </w:tc>
      </w:tr>
      <w:tr w14:paraId="55E9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noWrap w:val="0"/>
            <w:vAlign w:val="center"/>
          </w:tcPr>
          <w:p w14:paraId="16573DD9">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shd w:val="clear" w:fill="FFFFFF"/>
                <w:lang w:bidi="ar"/>
              </w:rPr>
              <w:t>.</w:t>
            </w:r>
            <w:r>
              <w:rPr>
                <w:rFonts w:hint="default" w:ascii="Times New Roman" w:hAnsi="Times New Roman" w:eastAsia="宋体" w:cs="Times New Roman"/>
                <w:color w:val="auto"/>
                <w:sz w:val="21"/>
                <w:szCs w:val="21"/>
                <w:lang w:bidi="ar"/>
              </w:rPr>
              <w:t>农业植被</w:t>
            </w:r>
          </w:p>
        </w:tc>
        <w:tc>
          <w:tcPr>
            <w:tcW w:w="1448" w:type="pct"/>
            <w:gridSpan w:val="2"/>
            <w:noWrap w:val="0"/>
            <w:vAlign w:val="center"/>
          </w:tcPr>
          <w:p w14:paraId="3BE2714D">
            <w:pPr>
              <w:widowControl/>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bidi="ar"/>
              </w:rPr>
              <w:t>粮食作物</w:t>
            </w:r>
          </w:p>
        </w:tc>
        <w:tc>
          <w:tcPr>
            <w:tcW w:w="710" w:type="pct"/>
            <w:noWrap w:val="0"/>
            <w:vAlign w:val="center"/>
          </w:tcPr>
          <w:p w14:paraId="75309A09">
            <w:pPr>
              <w:widowControl/>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水稻、</w:t>
            </w:r>
            <w:r>
              <w:rPr>
                <w:rFonts w:hint="default" w:ascii="Times New Roman" w:hAnsi="Times New Roman" w:eastAsia="宋体" w:cs="Times New Roman"/>
                <w:color w:val="auto"/>
                <w:sz w:val="21"/>
                <w:szCs w:val="21"/>
                <w:lang w:val="en-US" w:eastAsia="zh-CN" w:bidi="ar"/>
              </w:rPr>
              <w:t>玉米、番薯</w:t>
            </w:r>
            <w:r>
              <w:rPr>
                <w:rFonts w:hint="default" w:ascii="Times New Roman" w:hAnsi="Times New Roman" w:eastAsia="宋体" w:cs="Times New Roman"/>
                <w:color w:val="auto"/>
                <w:sz w:val="21"/>
                <w:szCs w:val="21"/>
                <w:lang w:bidi="ar"/>
              </w:rPr>
              <w:t>等</w:t>
            </w:r>
          </w:p>
        </w:tc>
        <w:tc>
          <w:tcPr>
            <w:tcW w:w="1182" w:type="pct"/>
            <w:noWrap w:val="0"/>
            <w:vAlign w:val="center"/>
          </w:tcPr>
          <w:p w14:paraId="06C8778F">
            <w:pPr>
              <w:widowControl/>
              <w:numPr>
                <w:ilvl w:val="0"/>
                <w:numId w:val="0"/>
              </w:numPr>
              <w:jc w:val="both"/>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评价区的房前屋后、浅丘下部、道路旁等地段</w:t>
            </w:r>
          </w:p>
        </w:tc>
        <w:tc>
          <w:tcPr>
            <w:tcW w:w="653" w:type="pct"/>
            <w:noWrap w:val="0"/>
            <w:vAlign w:val="center"/>
          </w:tcPr>
          <w:p w14:paraId="727C6252">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0.44</w:t>
            </w:r>
          </w:p>
        </w:tc>
        <w:tc>
          <w:tcPr>
            <w:tcW w:w="1064" w:type="dxa"/>
            <w:noWrap w:val="0"/>
            <w:vAlign w:val="center"/>
          </w:tcPr>
          <w:p w14:paraId="23BE6EC0">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1.33</w:t>
            </w:r>
          </w:p>
        </w:tc>
      </w:tr>
      <w:tr w14:paraId="26F1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9" w:type="pct"/>
            <w:gridSpan w:val="4"/>
            <w:noWrap w:val="0"/>
            <w:vAlign w:val="center"/>
          </w:tcPr>
          <w:p w14:paraId="33D814AE">
            <w:pPr>
              <w:widowControl/>
              <w:jc w:val="center"/>
              <w:textAlignment w:val="bottom"/>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val="en-US" w:eastAsia="zh-CN" w:bidi="ar"/>
              </w:rPr>
              <w:t>Ⅵ</w:t>
            </w:r>
            <w:r>
              <w:rPr>
                <w:rFonts w:hint="default" w:ascii="Times New Roman" w:hAnsi="Times New Roman" w:eastAsia="宋体" w:cs="Times New Roman"/>
                <w:color w:val="auto"/>
                <w:sz w:val="21"/>
                <w:szCs w:val="21"/>
                <w:lang w:bidi="ar"/>
              </w:rPr>
              <w:t>.其他无植被地段</w:t>
            </w:r>
          </w:p>
        </w:tc>
        <w:tc>
          <w:tcPr>
            <w:tcW w:w="1182" w:type="pct"/>
            <w:noWrap w:val="0"/>
            <w:vAlign w:val="center"/>
          </w:tcPr>
          <w:p w14:paraId="5623C40C">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w:t>
            </w:r>
          </w:p>
        </w:tc>
        <w:tc>
          <w:tcPr>
            <w:tcW w:w="653" w:type="pct"/>
            <w:noWrap w:val="0"/>
            <w:vAlign w:val="center"/>
          </w:tcPr>
          <w:p w14:paraId="79DB5BC9">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0.03</w:t>
            </w:r>
          </w:p>
        </w:tc>
        <w:tc>
          <w:tcPr>
            <w:tcW w:w="1064" w:type="dxa"/>
            <w:noWrap w:val="0"/>
            <w:vAlign w:val="center"/>
          </w:tcPr>
          <w:p w14:paraId="448F6463">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0.70</w:t>
            </w:r>
          </w:p>
        </w:tc>
      </w:tr>
      <w:tr w14:paraId="3E49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1" w:type="pct"/>
            <w:gridSpan w:val="5"/>
            <w:noWrap w:val="0"/>
            <w:vAlign w:val="center"/>
          </w:tcPr>
          <w:p w14:paraId="429FA3AA">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b/>
                <w:bCs/>
                <w:color w:val="auto"/>
                <w:sz w:val="21"/>
                <w:szCs w:val="21"/>
                <w:lang w:bidi="ar"/>
              </w:rPr>
              <w:t>合计</w:t>
            </w:r>
          </w:p>
        </w:tc>
        <w:tc>
          <w:tcPr>
            <w:tcW w:w="653" w:type="pct"/>
            <w:noWrap w:val="0"/>
            <w:vAlign w:val="center"/>
          </w:tcPr>
          <w:p w14:paraId="3671E104">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0.857</w:t>
            </w:r>
          </w:p>
        </w:tc>
        <w:tc>
          <w:tcPr>
            <w:tcW w:w="594" w:type="pct"/>
            <w:noWrap w:val="0"/>
            <w:vAlign w:val="center"/>
          </w:tcPr>
          <w:p w14:paraId="1EA5A70E">
            <w:pPr>
              <w:widowControl/>
              <w:numPr>
                <w:ilvl w:val="0"/>
                <w:numId w:val="0"/>
              </w:numPr>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w:t>
            </w:r>
          </w:p>
        </w:tc>
      </w:tr>
    </w:tbl>
    <w:p w14:paraId="61179C74">
      <w:pPr>
        <w:widowControl w:val="0"/>
        <w:adjustRightInd w:val="0"/>
        <w:jc w:val="both"/>
        <w:textAlignment w:val="baseline"/>
        <w:rPr>
          <w:rFonts w:hint="default" w:ascii="Times New Roman" w:hAnsi="Times New Roman" w:eastAsia="宋体" w:cs="Times New Roman"/>
          <w:snapToGrid w:val="0"/>
          <w:color w:val="auto"/>
          <w:kern w:val="2"/>
          <w:sz w:val="21"/>
          <w:szCs w:val="21"/>
          <w:lang w:val="en-US" w:eastAsia="zh-CN"/>
        </w:rPr>
      </w:pPr>
    </w:p>
    <w:p w14:paraId="314197E0">
      <w:pPr>
        <w:pStyle w:val="109"/>
        <w:spacing w:line="480" w:lineRule="exact"/>
        <w:ind w:firstLine="520"/>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lang w:val="en-US" w:eastAsia="zh-CN"/>
        </w:rPr>
        <w:t>③</w:t>
      </w:r>
      <w:r>
        <w:rPr>
          <w:rFonts w:hint="default" w:ascii="Times New Roman" w:hAnsi="Times New Roman" w:eastAsia="宋体" w:cs="Times New Roman"/>
          <w:b/>
          <w:bCs w:val="0"/>
          <w:color w:val="auto"/>
        </w:rPr>
        <w:t>植被类型分述</w:t>
      </w:r>
    </w:p>
    <w:p w14:paraId="35FFE366">
      <w:pPr>
        <w:numPr>
          <w:ilvl w:val="0"/>
          <w:numId w:val="0"/>
        </w:numPr>
        <w:adjustRightInd w:val="0"/>
        <w:spacing w:line="480" w:lineRule="exact"/>
        <w:ind w:firstLine="520" w:firstLineChars="200"/>
        <w:textAlignment w:val="baseline"/>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kern w:val="2"/>
          <w:sz w:val="26"/>
          <w:szCs w:val="26"/>
          <w:lang w:val="en-US" w:eastAsia="zh-CN" w:bidi="ar-SA"/>
        </w:rPr>
        <w:t>A.</w:t>
      </w:r>
      <w:r>
        <w:rPr>
          <w:rFonts w:hint="default" w:ascii="Times New Roman" w:hAnsi="Times New Roman" w:eastAsia="宋体" w:cs="Times New Roman"/>
          <w:snapToGrid w:val="0"/>
          <w:color w:val="auto"/>
          <w:sz w:val="26"/>
          <w:szCs w:val="26"/>
        </w:rPr>
        <w:t>针叶林</w:t>
      </w:r>
      <w:r>
        <w:rPr>
          <w:rFonts w:hint="default" w:ascii="Times New Roman" w:hAnsi="Times New Roman" w:eastAsia="宋体" w:cs="Times New Roman"/>
          <w:snapToGrid w:val="0"/>
          <w:color w:val="auto"/>
          <w:sz w:val="26"/>
          <w:szCs w:val="26"/>
          <w:lang w:val="en-US" w:eastAsia="zh-CN"/>
        </w:rPr>
        <w:t>—马尾松林</w:t>
      </w:r>
      <w:r>
        <w:rPr>
          <w:rFonts w:hint="default" w:ascii="Times New Roman" w:hAnsi="Times New Roman" w:eastAsia="宋体" w:cs="Times New Roman"/>
          <w:snapToGrid w:val="0"/>
          <w:color w:val="auto"/>
          <w:sz w:val="26"/>
          <w:szCs w:val="26"/>
        </w:rPr>
        <w:t>群系（Form</w:t>
      </w:r>
      <w:r>
        <w:rPr>
          <w:rFonts w:hint="default" w:ascii="Times New Roman" w:hAnsi="Times New Roman" w:eastAsia="宋体" w:cs="Times New Roman"/>
          <w:i/>
          <w:iCs/>
          <w:snapToGrid w:val="0"/>
          <w:color w:val="auto"/>
          <w:sz w:val="26"/>
          <w:szCs w:val="26"/>
        </w:rPr>
        <w:t>.Pinus massoniana</w:t>
      </w:r>
      <w:r>
        <w:rPr>
          <w:rFonts w:hint="default" w:ascii="Times New Roman" w:hAnsi="Times New Roman" w:eastAsia="宋体" w:cs="Times New Roman"/>
          <w:snapToGrid w:val="0"/>
          <w:color w:val="auto"/>
          <w:sz w:val="26"/>
          <w:szCs w:val="26"/>
        </w:rPr>
        <w:t>）</w:t>
      </w:r>
    </w:p>
    <w:p w14:paraId="4CB7C421">
      <w:pPr>
        <w:adjustRightInd w:val="0"/>
        <w:spacing w:line="480" w:lineRule="exact"/>
        <w:ind w:firstLine="520" w:firstLineChars="200"/>
        <w:textAlignment w:val="baseline"/>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lang w:val="en-US" w:eastAsia="zh-CN"/>
        </w:rPr>
        <w:t>马尾松林</w:t>
      </w:r>
      <w:r>
        <w:rPr>
          <w:rFonts w:hint="default" w:ascii="Times New Roman" w:hAnsi="Times New Roman" w:eastAsia="宋体" w:cs="Times New Roman"/>
          <w:snapToGrid w:val="0"/>
          <w:color w:val="auto"/>
          <w:sz w:val="26"/>
          <w:szCs w:val="26"/>
        </w:rPr>
        <w:t>广泛分布于中国亚热带地区，适应温暖湿润的气候</w:t>
      </w:r>
      <w:r>
        <w:rPr>
          <w:rFonts w:hint="default" w:ascii="Times New Roman" w:hAnsi="Times New Roman" w:eastAsia="宋体" w:cs="Times New Roman"/>
          <w:snapToGrid w:val="0"/>
          <w:color w:val="auto"/>
          <w:sz w:val="26"/>
          <w:szCs w:val="26"/>
          <w:lang w:eastAsia="zh-CN"/>
        </w:rPr>
        <w:t>，多生长在海拔1000米以下的低山丘陵区</w:t>
      </w:r>
      <w:r>
        <w:rPr>
          <w:rFonts w:hint="default" w:ascii="Times New Roman" w:hAnsi="Times New Roman" w:eastAsia="宋体" w:cs="Times New Roman"/>
          <w:snapToGrid w:val="0"/>
          <w:color w:val="auto"/>
          <w:sz w:val="26"/>
          <w:szCs w:val="26"/>
        </w:rPr>
        <w:t>。是项目所在地区的主要森林植被类型，在评价区中主要呈</w:t>
      </w:r>
      <w:r>
        <w:rPr>
          <w:rFonts w:hint="default" w:ascii="Times New Roman" w:hAnsi="Times New Roman" w:eastAsia="宋体" w:cs="Times New Roman"/>
          <w:snapToGrid w:val="0"/>
          <w:color w:val="auto"/>
          <w:sz w:val="26"/>
          <w:szCs w:val="26"/>
          <w:lang w:val="en-US" w:eastAsia="zh-CN"/>
        </w:rPr>
        <w:t>块</w:t>
      </w:r>
      <w:r>
        <w:rPr>
          <w:rFonts w:hint="default" w:ascii="Times New Roman" w:hAnsi="Times New Roman" w:eastAsia="宋体" w:cs="Times New Roman"/>
          <w:snapToGrid w:val="0"/>
          <w:color w:val="auto"/>
          <w:sz w:val="26"/>
          <w:szCs w:val="26"/>
        </w:rPr>
        <w:t>状分布在</w:t>
      </w:r>
      <w:r>
        <w:rPr>
          <w:rFonts w:hint="default" w:ascii="Times New Roman" w:hAnsi="Times New Roman" w:eastAsia="宋体" w:cs="Times New Roman"/>
          <w:snapToGrid w:val="0"/>
          <w:color w:val="auto"/>
          <w:sz w:val="26"/>
          <w:szCs w:val="26"/>
          <w:lang w:val="en-US" w:eastAsia="zh-CN"/>
        </w:rPr>
        <w:t>迁改段起点至中段沿线的森林生态系统中</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val="en-US" w:eastAsia="zh-CN"/>
        </w:rPr>
        <w:t>零散分布于迁改段终点附近区域，常见于</w:t>
      </w:r>
      <w:r>
        <w:rPr>
          <w:rFonts w:hint="default" w:ascii="Times New Roman" w:hAnsi="Times New Roman" w:eastAsia="宋体" w:cs="Times New Roman"/>
          <w:snapToGrid w:val="0"/>
          <w:color w:val="auto"/>
          <w:sz w:val="26"/>
          <w:szCs w:val="26"/>
        </w:rPr>
        <w:t>道路旁</w:t>
      </w:r>
      <w:r>
        <w:rPr>
          <w:rFonts w:hint="default" w:ascii="Times New Roman" w:hAnsi="Times New Roman" w:eastAsia="宋体" w:cs="Times New Roman"/>
          <w:snapToGrid w:val="0"/>
          <w:color w:val="auto"/>
          <w:sz w:val="26"/>
          <w:szCs w:val="26"/>
          <w:lang w:val="en-US" w:eastAsia="zh-CN"/>
        </w:rPr>
        <w:t>的低山丘陵区</w:t>
      </w:r>
      <w:r>
        <w:rPr>
          <w:rFonts w:hint="default" w:ascii="Times New Roman" w:hAnsi="Times New Roman" w:eastAsia="宋体" w:cs="Times New Roman"/>
          <w:snapToGrid w:val="0"/>
          <w:color w:val="auto"/>
          <w:sz w:val="26"/>
          <w:szCs w:val="26"/>
        </w:rPr>
        <w:t>。</w:t>
      </w:r>
    </w:p>
    <w:p w14:paraId="6A1FC456">
      <w:pPr>
        <w:keepNext w:val="0"/>
        <w:keepLines w:val="0"/>
        <w:pageBreakBefore w:val="0"/>
        <w:widowControl/>
        <w:kinsoku/>
        <w:wordWrap w:val="0"/>
        <w:overflowPunct/>
        <w:topLinePunct w:val="0"/>
        <w:autoSpaceDE/>
        <w:autoSpaceDN/>
        <w:bidi w:val="0"/>
        <w:adjustRightInd w:val="0"/>
        <w:snapToGrid/>
        <w:spacing w:line="480" w:lineRule="exact"/>
        <w:ind w:firstLine="520" w:firstLineChars="200"/>
        <w:textAlignment w:val="baseline"/>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rPr>
        <w:t>群落乔木层</w:t>
      </w:r>
      <w:r>
        <w:rPr>
          <w:rFonts w:hint="default" w:ascii="Times New Roman" w:hAnsi="Times New Roman" w:eastAsia="宋体" w:cs="Times New Roman"/>
          <w:snapToGrid w:val="0"/>
          <w:color w:val="auto"/>
          <w:sz w:val="26"/>
          <w:szCs w:val="26"/>
          <w:lang w:val="en-US" w:eastAsia="zh-CN"/>
        </w:rPr>
        <w:t>除马尾松外，群落中有杉木</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i/>
          <w:iCs/>
          <w:snapToGrid w:val="0"/>
          <w:color w:val="auto"/>
          <w:sz w:val="26"/>
          <w:szCs w:val="26"/>
          <w:lang w:val="en-US" w:eastAsia="zh-CN"/>
        </w:rPr>
        <w:t xml:space="preserve">Populus </w:t>
      </w:r>
      <w:r>
        <w:rPr>
          <w:rFonts w:hint="default" w:ascii="Times New Roman" w:hAnsi="Times New Roman" w:eastAsia="宋体" w:cs="Times New Roman"/>
          <w:snapToGrid w:val="0"/>
          <w:color w:val="auto"/>
          <w:sz w:val="26"/>
          <w:szCs w:val="26"/>
        </w:rPr>
        <w:t xml:space="preserve"> </w:t>
      </w:r>
      <w:r>
        <w:rPr>
          <w:rFonts w:hint="default" w:ascii="Times New Roman" w:hAnsi="Times New Roman" w:eastAsia="宋体" w:cs="Times New Roman"/>
          <w:i/>
          <w:iCs/>
          <w:snapToGrid w:val="0"/>
          <w:color w:val="auto"/>
          <w:sz w:val="26"/>
          <w:szCs w:val="26"/>
          <w:lang w:val="en-US" w:eastAsia="zh-CN"/>
        </w:rPr>
        <w:t>canadensis</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lang w:val="en-US" w:eastAsia="zh-CN"/>
        </w:rPr>
        <w:t>盐麸木（</w:t>
      </w:r>
      <w:r>
        <w:rPr>
          <w:rFonts w:hint="default" w:ascii="Times New Roman" w:hAnsi="Times New Roman" w:eastAsia="宋体" w:cs="Times New Roman"/>
          <w:i/>
          <w:iCs/>
          <w:snapToGrid w:val="0"/>
          <w:color w:val="auto"/>
          <w:sz w:val="26"/>
          <w:szCs w:val="26"/>
          <w:lang w:val="en-US" w:eastAsia="zh-CN"/>
        </w:rPr>
        <w:t>Rhus chinensis</w:t>
      </w:r>
      <w:r>
        <w:rPr>
          <w:rFonts w:hint="default" w:ascii="Times New Roman" w:hAnsi="Times New Roman" w:eastAsia="宋体" w:cs="Times New Roman"/>
          <w:snapToGrid w:val="0"/>
          <w:color w:val="auto"/>
          <w:sz w:val="26"/>
          <w:szCs w:val="26"/>
          <w:lang w:val="en-US" w:eastAsia="zh-CN"/>
        </w:rPr>
        <w:t>）、油桐（</w:t>
      </w:r>
      <w:r>
        <w:rPr>
          <w:rFonts w:hint="default" w:ascii="Times New Roman" w:hAnsi="Times New Roman" w:eastAsia="宋体" w:cs="Times New Roman"/>
          <w:i/>
          <w:iCs/>
          <w:snapToGrid w:val="0"/>
          <w:color w:val="auto"/>
          <w:sz w:val="26"/>
          <w:szCs w:val="26"/>
          <w:lang w:val="en-US" w:eastAsia="zh-CN"/>
        </w:rPr>
        <w:t>Vernicia fordii</w:t>
      </w:r>
      <w:r>
        <w:rPr>
          <w:rFonts w:hint="default" w:ascii="Times New Roman" w:hAnsi="Times New Roman" w:eastAsia="宋体" w:cs="Times New Roman"/>
          <w:snapToGrid w:val="0"/>
          <w:color w:val="auto"/>
          <w:sz w:val="26"/>
          <w:szCs w:val="26"/>
          <w:lang w:val="en-US" w:eastAsia="zh-CN"/>
        </w:rPr>
        <w:t>）、野桐（</w:t>
      </w:r>
      <w:r>
        <w:rPr>
          <w:rFonts w:hint="default" w:ascii="Times New Roman" w:hAnsi="Times New Roman" w:eastAsia="宋体" w:cs="Times New Roman"/>
          <w:i/>
          <w:iCs/>
          <w:snapToGrid w:val="0"/>
          <w:color w:val="auto"/>
          <w:sz w:val="26"/>
          <w:szCs w:val="26"/>
          <w:lang w:val="en-US" w:eastAsia="zh-CN"/>
        </w:rPr>
        <w:t xml:space="preserve">Mallotus </w:t>
      </w:r>
      <w:r>
        <w:rPr>
          <w:rFonts w:hint="default" w:ascii="Times New Roman" w:hAnsi="Times New Roman" w:eastAsia="宋体" w:cs="Times New Roman"/>
          <w:i/>
          <w:iCs/>
          <w:snapToGrid w:val="0"/>
          <w:color w:val="auto"/>
          <w:sz w:val="26"/>
          <w:szCs w:val="26"/>
          <w:shd w:val="clear" w:fill="FFFFFF"/>
          <w:lang w:val="en-US" w:eastAsia="zh-CN"/>
        </w:rPr>
        <w:t>tenuifolius</w:t>
      </w:r>
      <w:r>
        <w:rPr>
          <w:rFonts w:hint="default" w:ascii="Times New Roman" w:hAnsi="Times New Roman" w:eastAsia="宋体" w:cs="Times New Roman"/>
          <w:snapToGrid w:val="0"/>
          <w:color w:val="auto"/>
          <w:sz w:val="26"/>
          <w:szCs w:val="26"/>
          <w:lang w:val="en-US" w:eastAsia="zh-CN"/>
        </w:rPr>
        <w:t>）、野茉莉</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i/>
          <w:iCs/>
          <w:snapToGrid w:val="0"/>
          <w:color w:val="auto"/>
          <w:sz w:val="26"/>
          <w:szCs w:val="26"/>
          <w:lang w:val="en-US" w:eastAsia="zh-CN"/>
        </w:rPr>
        <w:t>Styrax japonicus</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lang w:val="en-US" w:eastAsia="zh-CN"/>
        </w:rPr>
        <w:t>女贞（</w:t>
      </w:r>
      <w:r>
        <w:rPr>
          <w:rFonts w:hint="default" w:ascii="Times New Roman" w:hAnsi="Times New Roman" w:eastAsia="宋体" w:cs="Times New Roman"/>
          <w:i/>
          <w:iCs/>
          <w:snapToGrid w:val="0"/>
          <w:color w:val="auto"/>
          <w:sz w:val="26"/>
          <w:szCs w:val="26"/>
          <w:lang w:val="en-US" w:eastAsia="zh-CN"/>
        </w:rPr>
        <w:t>Ligustrum lucidum</w:t>
      </w:r>
      <w:r>
        <w:rPr>
          <w:rFonts w:hint="default" w:ascii="Times New Roman" w:hAnsi="Times New Roman" w:eastAsia="宋体" w:cs="Times New Roman"/>
          <w:snapToGrid w:val="0"/>
          <w:color w:val="auto"/>
          <w:sz w:val="26"/>
          <w:szCs w:val="26"/>
          <w:lang w:val="en-US" w:eastAsia="zh-CN"/>
        </w:rPr>
        <w:t>）等常见树种</w:t>
      </w:r>
      <w:r>
        <w:rPr>
          <w:rFonts w:hint="default" w:ascii="Times New Roman" w:hAnsi="Times New Roman" w:eastAsia="宋体" w:cs="Times New Roman"/>
          <w:snapToGrid w:val="0"/>
          <w:color w:val="auto"/>
          <w:sz w:val="26"/>
          <w:szCs w:val="26"/>
        </w:rPr>
        <w:t>，群落高度在</w:t>
      </w:r>
      <w:r>
        <w:rPr>
          <w:rFonts w:hint="default" w:ascii="Times New Roman" w:hAnsi="Times New Roman" w:eastAsia="宋体" w:cs="Times New Roman"/>
          <w:snapToGrid w:val="0"/>
          <w:color w:val="auto"/>
          <w:sz w:val="26"/>
          <w:szCs w:val="26"/>
          <w:lang w:val="en-US" w:eastAsia="zh-CN"/>
        </w:rPr>
        <w:t>7</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val="en-US" w:eastAsia="zh-CN"/>
        </w:rPr>
        <w:t>14</w:t>
      </w:r>
      <w:r>
        <w:rPr>
          <w:rFonts w:hint="default" w:ascii="Times New Roman" w:hAnsi="Times New Roman" w:eastAsia="宋体" w:cs="Times New Roman"/>
          <w:snapToGrid w:val="0"/>
          <w:color w:val="auto"/>
          <w:sz w:val="26"/>
          <w:szCs w:val="26"/>
        </w:rPr>
        <w:t>m左右，郁闭度</w:t>
      </w:r>
      <w:r>
        <w:rPr>
          <w:rFonts w:hint="default" w:ascii="Times New Roman" w:hAnsi="Times New Roman" w:eastAsia="宋体" w:cs="Times New Roman"/>
          <w:snapToGrid w:val="0"/>
          <w:color w:val="auto"/>
          <w:sz w:val="26"/>
          <w:szCs w:val="26"/>
          <w:shd w:val="clear" w:fill="FFFFFF"/>
          <w:lang w:val="en-US" w:eastAsia="zh-CN"/>
        </w:rPr>
        <w:t>70</w:t>
      </w:r>
      <w:r>
        <w:rPr>
          <w:rFonts w:hint="default" w:ascii="Times New Roman" w:hAnsi="Times New Roman" w:eastAsia="宋体" w:cs="Times New Roman"/>
          <w:snapToGrid w:val="0"/>
          <w:color w:val="auto"/>
          <w:sz w:val="26"/>
          <w:szCs w:val="26"/>
          <w:shd w:val="clear" w:fill="FFFFFF"/>
        </w:rPr>
        <w:t>~</w:t>
      </w:r>
      <w:r>
        <w:rPr>
          <w:rFonts w:hint="default" w:ascii="Times New Roman" w:hAnsi="Times New Roman" w:eastAsia="宋体" w:cs="Times New Roman"/>
          <w:snapToGrid w:val="0"/>
          <w:color w:val="auto"/>
          <w:sz w:val="26"/>
          <w:szCs w:val="26"/>
          <w:shd w:val="clear" w:fill="FFFFFF"/>
          <w:lang w:val="en-US" w:eastAsia="zh-CN"/>
        </w:rPr>
        <w:t>85%</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val="en-US" w:eastAsia="zh-CN"/>
        </w:rPr>
        <w:t>马尾松</w:t>
      </w:r>
      <w:r>
        <w:rPr>
          <w:rFonts w:hint="default" w:ascii="Times New Roman" w:hAnsi="Times New Roman" w:eastAsia="宋体" w:cs="Times New Roman"/>
          <w:snapToGrid w:val="0"/>
          <w:color w:val="auto"/>
          <w:sz w:val="26"/>
          <w:szCs w:val="26"/>
        </w:rPr>
        <w:t>胸径多在</w:t>
      </w:r>
      <w:r>
        <w:rPr>
          <w:rFonts w:hint="default" w:ascii="Times New Roman" w:hAnsi="Times New Roman" w:eastAsia="宋体" w:cs="Times New Roman"/>
          <w:snapToGrid w:val="0"/>
          <w:color w:val="auto"/>
          <w:sz w:val="26"/>
          <w:szCs w:val="26"/>
          <w:lang w:val="en-US" w:eastAsia="zh-CN"/>
        </w:rPr>
        <w:t>20~22</w:t>
      </w:r>
      <w:r>
        <w:rPr>
          <w:rFonts w:hint="default" w:ascii="Times New Roman" w:hAnsi="Times New Roman" w:eastAsia="宋体" w:cs="Times New Roman"/>
          <w:snapToGrid w:val="0"/>
          <w:color w:val="auto"/>
          <w:sz w:val="26"/>
          <w:szCs w:val="26"/>
        </w:rPr>
        <w:t>cm</w:t>
      </w:r>
      <w:r>
        <w:rPr>
          <w:rFonts w:hint="default" w:ascii="Times New Roman" w:hAnsi="Times New Roman" w:eastAsia="宋体" w:cs="Times New Roman"/>
          <w:snapToGrid w:val="0"/>
          <w:color w:val="auto"/>
          <w:sz w:val="26"/>
          <w:szCs w:val="26"/>
          <w:lang w:val="en-US" w:eastAsia="zh-CN"/>
        </w:rPr>
        <w:t>之间</w:t>
      </w:r>
      <w:r>
        <w:rPr>
          <w:rFonts w:hint="default" w:ascii="Times New Roman" w:hAnsi="Times New Roman" w:eastAsia="宋体" w:cs="Times New Roman"/>
          <w:snapToGrid w:val="0"/>
          <w:color w:val="auto"/>
          <w:sz w:val="26"/>
          <w:szCs w:val="26"/>
        </w:rPr>
        <w:t>。灌木</w:t>
      </w:r>
      <w:r>
        <w:rPr>
          <w:rFonts w:hint="default" w:ascii="Times New Roman" w:hAnsi="Times New Roman" w:eastAsia="宋体" w:cs="Times New Roman"/>
          <w:snapToGrid w:val="0"/>
          <w:color w:val="auto"/>
          <w:sz w:val="26"/>
          <w:szCs w:val="26"/>
          <w:lang w:val="en-US" w:eastAsia="zh-CN"/>
        </w:rPr>
        <w:t>层较为丰富，</w:t>
      </w:r>
      <w:r>
        <w:rPr>
          <w:rFonts w:hint="default" w:ascii="Times New Roman" w:hAnsi="Times New Roman" w:eastAsia="宋体" w:cs="Times New Roman"/>
          <w:snapToGrid w:val="0"/>
          <w:color w:val="auto"/>
          <w:sz w:val="26"/>
          <w:szCs w:val="26"/>
        </w:rPr>
        <w:t>常见的有</w:t>
      </w:r>
      <w:r>
        <w:rPr>
          <w:rFonts w:hint="default" w:ascii="Times New Roman" w:hAnsi="Times New Roman" w:eastAsia="宋体" w:cs="Times New Roman"/>
          <w:snapToGrid w:val="0"/>
          <w:color w:val="auto"/>
          <w:sz w:val="26"/>
          <w:szCs w:val="26"/>
          <w:lang w:val="en-US" w:eastAsia="zh-CN"/>
        </w:rPr>
        <w:t>油茶（</w:t>
      </w:r>
      <w:r>
        <w:rPr>
          <w:rFonts w:hint="default" w:ascii="Times New Roman" w:hAnsi="Times New Roman" w:eastAsia="宋体" w:cs="Times New Roman"/>
          <w:i/>
          <w:iCs/>
          <w:snapToGrid w:val="0"/>
          <w:color w:val="auto"/>
          <w:sz w:val="26"/>
          <w:szCs w:val="26"/>
          <w:lang w:val="en-US" w:eastAsia="zh-CN"/>
        </w:rPr>
        <w:t>Camellia oleifera</w:t>
      </w:r>
      <w:r>
        <w:rPr>
          <w:rFonts w:hint="default" w:ascii="Times New Roman" w:hAnsi="Times New Roman" w:eastAsia="宋体" w:cs="Times New Roman"/>
          <w:snapToGrid w:val="0"/>
          <w:color w:val="auto"/>
          <w:sz w:val="26"/>
          <w:szCs w:val="26"/>
          <w:lang w:val="en-US" w:eastAsia="zh-CN"/>
        </w:rPr>
        <w:t>）、白栎（</w:t>
      </w:r>
      <w:r>
        <w:rPr>
          <w:rFonts w:hint="default" w:ascii="Times New Roman" w:hAnsi="Times New Roman" w:eastAsia="宋体" w:cs="Times New Roman"/>
          <w:i/>
          <w:iCs/>
          <w:snapToGrid w:val="0"/>
          <w:color w:val="auto"/>
          <w:sz w:val="26"/>
          <w:szCs w:val="26"/>
          <w:lang w:val="en-US" w:eastAsia="zh-CN"/>
        </w:rPr>
        <w:t>Quercus fabri</w:t>
      </w:r>
      <w:r>
        <w:rPr>
          <w:rFonts w:hint="default" w:ascii="Times New Roman" w:hAnsi="Times New Roman" w:eastAsia="宋体" w:cs="Times New Roman"/>
          <w:snapToGrid w:val="0"/>
          <w:color w:val="auto"/>
          <w:sz w:val="26"/>
          <w:szCs w:val="26"/>
          <w:lang w:val="en-US" w:eastAsia="zh-CN"/>
        </w:rPr>
        <w:t>）、细枝柃（</w:t>
      </w:r>
      <w:r>
        <w:rPr>
          <w:rFonts w:hint="default" w:ascii="Times New Roman" w:hAnsi="Times New Roman" w:eastAsia="宋体" w:cs="Times New Roman"/>
          <w:i/>
          <w:iCs/>
          <w:snapToGrid w:val="0"/>
          <w:color w:val="auto"/>
          <w:sz w:val="26"/>
          <w:szCs w:val="26"/>
          <w:lang w:val="en-US" w:eastAsia="zh-CN"/>
        </w:rPr>
        <w:t xml:space="preserve">Eurya </w:t>
      </w:r>
      <w:r>
        <w:rPr>
          <w:rFonts w:hint="default" w:ascii="Times New Roman" w:hAnsi="Times New Roman" w:eastAsia="宋体" w:cs="Times New Roman"/>
          <w:i/>
          <w:iCs/>
          <w:snapToGrid w:val="0"/>
          <w:color w:val="auto"/>
          <w:sz w:val="26"/>
          <w:szCs w:val="26"/>
          <w:shd w:val="clear" w:fill="FFFFFF"/>
          <w:lang w:val="en-US" w:eastAsia="zh-CN"/>
        </w:rPr>
        <w:t>loquaiana</w:t>
      </w:r>
      <w:r>
        <w:rPr>
          <w:rFonts w:hint="default" w:ascii="Times New Roman" w:hAnsi="Times New Roman" w:eastAsia="宋体" w:cs="Times New Roman"/>
          <w:snapToGrid w:val="0"/>
          <w:color w:val="auto"/>
          <w:sz w:val="26"/>
          <w:szCs w:val="26"/>
          <w:lang w:val="en-US" w:eastAsia="zh-CN"/>
        </w:rPr>
        <w:t>）、菱叶冠毛榕（</w:t>
      </w:r>
      <w:r>
        <w:rPr>
          <w:rFonts w:hint="default" w:ascii="Times New Roman" w:hAnsi="Times New Roman" w:eastAsia="宋体" w:cs="Times New Roman"/>
          <w:i/>
          <w:iCs/>
          <w:snapToGrid w:val="0"/>
          <w:color w:val="auto"/>
          <w:sz w:val="26"/>
          <w:szCs w:val="26"/>
          <w:lang w:val="en-US" w:eastAsia="zh-CN"/>
        </w:rPr>
        <w:t xml:space="preserve">Ficus </w:t>
      </w:r>
      <w:r>
        <w:rPr>
          <w:rFonts w:hint="default" w:ascii="Times New Roman" w:hAnsi="Times New Roman" w:eastAsia="宋体" w:cs="Times New Roman"/>
          <w:i/>
          <w:iCs/>
          <w:snapToGrid w:val="0"/>
          <w:color w:val="auto"/>
          <w:sz w:val="26"/>
          <w:szCs w:val="26"/>
          <w:shd w:val="clear" w:fill="FFFFFF"/>
          <w:lang w:val="en-US" w:eastAsia="zh-CN"/>
        </w:rPr>
        <w:t>gasparriniana</w:t>
      </w:r>
      <w:r>
        <w:rPr>
          <w:rFonts w:hint="default" w:ascii="Times New Roman" w:hAnsi="Times New Roman" w:eastAsia="宋体" w:cs="Times New Roman"/>
          <w:snapToGrid w:val="0"/>
          <w:color w:val="auto"/>
          <w:sz w:val="26"/>
          <w:szCs w:val="26"/>
          <w:lang w:val="en-US" w:eastAsia="zh-CN"/>
        </w:rPr>
        <w:t>）、山莓（</w:t>
      </w:r>
      <w:r>
        <w:rPr>
          <w:rFonts w:hint="default" w:ascii="Times New Roman" w:hAnsi="Times New Roman" w:eastAsia="宋体" w:cs="Times New Roman"/>
          <w:i/>
          <w:iCs/>
          <w:snapToGrid w:val="0"/>
          <w:color w:val="auto"/>
          <w:sz w:val="26"/>
          <w:szCs w:val="26"/>
          <w:lang w:val="en-US" w:eastAsia="zh-CN"/>
        </w:rPr>
        <w:t>Rubus corchorifolius</w:t>
      </w:r>
      <w:r>
        <w:rPr>
          <w:rFonts w:hint="default" w:ascii="Times New Roman" w:hAnsi="Times New Roman" w:eastAsia="宋体" w:cs="Times New Roman"/>
          <w:snapToGrid w:val="0"/>
          <w:color w:val="auto"/>
          <w:sz w:val="26"/>
          <w:szCs w:val="26"/>
          <w:lang w:val="en-US" w:eastAsia="zh-CN"/>
        </w:rPr>
        <w:t>）、</w:t>
      </w:r>
      <w:r>
        <w:rPr>
          <w:rFonts w:hint="default" w:ascii="Times New Roman" w:hAnsi="Times New Roman" w:eastAsia="宋体" w:cs="Times New Roman"/>
          <w:i w:val="0"/>
          <w:iCs w:val="0"/>
          <w:snapToGrid w:val="0"/>
          <w:color w:val="auto"/>
          <w:sz w:val="26"/>
          <w:szCs w:val="26"/>
          <w:lang w:val="en-US" w:eastAsia="zh-CN"/>
        </w:rPr>
        <w:t>杉木</w:t>
      </w:r>
      <w:r>
        <w:rPr>
          <w:rFonts w:hint="default" w:ascii="Times New Roman" w:hAnsi="Times New Roman" w:eastAsia="宋体" w:cs="Times New Roman"/>
          <w:snapToGrid w:val="0"/>
          <w:color w:val="auto"/>
          <w:sz w:val="26"/>
          <w:szCs w:val="26"/>
          <w:lang w:val="en-US" w:eastAsia="zh-CN"/>
        </w:rPr>
        <w:t>（</w:t>
      </w:r>
      <w:r>
        <w:rPr>
          <w:rFonts w:hint="default" w:ascii="Times New Roman" w:hAnsi="Times New Roman" w:eastAsia="宋体" w:cs="Times New Roman"/>
          <w:i/>
          <w:iCs/>
          <w:snapToGrid w:val="0"/>
          <w:color w:val="auto"/>
          <w:sz w:val="26"/>
          <w:szCs w:val="26"/>
          <w:lang w:val="en-US" w:eastAsia="zh-CN"/>
        </w:rPr>
        <w:t>Cunninghamia lanceolata</w:t>
      </w:r>
      <w:r>
        <w:rPr>
          <w:rFonts w:hint="default" w:ascii="Times New Roman" w:hAnsi="Times New Roman" w:eastAsia="宋体" w:cs="Times New Roman"/>
          <w:snapToGrid w:val="0"/>
          <w:color w:val="auto"/>
          <w:sz w:val="26"/>
          <w:szCs w:val="26"/>
          <w:lang w:val="en-US" w:eastAsia="zh-CN"/>
        </w:rPr>
        <w:t>）</w:t>
      </w:r>
      <w:r>
        <w:rPr>
          <w:rFonts w:hint="default" w:ascii="Times New Roman" w:hAnsi="Times New Roman" w:eastAsia="宋体" w:cs="Times New Roman"/>
          <w:snapToGrid w:val="0"/>
          <w:color w:val="auto"/>
          <w:sz w:val="26"/>
          <w:szCs w:val="26"/>
        </w:rPr>
        <w:t>等，灌木层高</w:t>
      </w:r>
      <w:r>
        <w:rPr>
          <w:rFonts w:hint="default" w:ascii="Times New Roman" w:hAnsi="Times New Roman" w:eastAsia="宋体" w:cs="Times New Roman"/>
          <w:snapToGrid w:val="0"/>
          <w:color w:val="auto"/>
          <w:sz w:val="26"/>
          <w:szCs w:val="26"/>
          <w:lang w:val="en-US" w:eastAsia="zh-CN"/>
        </w:rPr>
        <w:t>0.5</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val="en-US" w:eastAsia="zh-CN"/>
        </w:rPr>
        <w:t>4.5</w:t>
      </w:r>
      <w:r>
        <w:rPr>
          <w:rFonts w:hint="default" w:ascii="Times New Roman" w:hAnsi="Times New Roman" w:eastAsia="宋体" w:cs="Times New Roman"/>
          <w:snapToGrid w:val="0"/>
          <w:color w:val="auto"/>
          <w:sz w:val="26"/>
          <w:szCs w:val="26"/>
        </w:rPr>
        <w:t>m，盖度</w:t>
      </w:r>
      <w:r>
        <w:rPr>
          <w:rFonts w:hint="default" w:ascii="Times New Roman" w:hAnsi="Times New Roman" w:eastAsia="宋体" w:cs="Times New Roman"/>
          <w:snapToGrid w:val="0"/>
          <w:color w:val="auto"/>
          <w:sz w:val="26"/>
          <w:szCs w:val="26"/>
          <w:shd w:val="clear" w:fill="FFFFFF"/>
          <w:lang w:val="en-US" w:eastAsia="zh-CN"/>
        </w:rPr>
        <w:t>30~40%</w:t>
      </w:r>
      <w:r>
        <w:rPr>
          <w:rFonts w:hint="default" w:ascii="Times New Roman" w:hAnsi="Times New Roman" w:eastAsia="宋体" w:cs="Times New Roman"/>
          <w:snapToGrid w:val="0"/>
          <w:color w:val="auto"/>
          <w:sz w:val="26"/>
          <w:szCs w:val="26"/>
        </w:rPr>
        <w:t>。草本植物</w:t>
      </w:r>
      <w:r>
        <w:rPr>
          <w:rFonts w:hint="default" w:ascii="Times New Roman" w:hAnsi="Times New Roman" w:eastAsia="宋体" w:cs="Times New Roman"/>
          <w:snapToGrid w:val="0"/>
          <w:color w:val="auto"/>
          <w:sz w:val="26"/>
          <w:szCs w:val="26"/>
          <w:lang w:val="en-US" w:eastAsia="zh-CN"/>
        </w:rPr>
        <w:t>以蕨类植被为主，</w:t>
      </w:r>
      <w:r>
        <w:rPr>
          <w:rFonts w:hint="default" w:ascii="Times New Roman" w:hAnsi="Times New Roman" w:eastAsia="宋体" w:cs="Times New Roman"/>
          <w:snapToGrid w:val="0"/>
          <w:color w:val="auto"/>
          <w:sz w:val="26"/>
          <w:szCs w:val="26"/>
        </w:rPr>
        <w:t>有狗脊</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i/>
          <w:iCs/>
          <w:snapToGrid w:val="0"/>
          <w:color w:val="auto"/>
          <w:sz w:val="26"/>
          <w:szCs w:val="26"/>
          <w:lang w:val="en-US" w:eastAsia="zh-CN"/>
        </w:rPr>
        <w:t>Woodwardia japonica</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lang w:val="en-US" w:eastAsia="zh-CN"/>
        </w:rPr>
        <w:t>里白</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i/>
          <w:iCs/>
          <w:snapToGrid w:val="0"/>
          <w:color w:val="auto"/>
          <w:sz w:val="26"/>
          <w:szCs w:val="26"/>
          <w:shd w:val="clear" w:fill="FFFFFF"/>
          <w:lang w:val="en-US" w:eastAsia="zh-CN"/>
        </w:rPr>
        <w:t>Diplopterygium</w:t>
      </w:r>
      <w:r>
        <w:rPr>
          <w:rFonts w:hint="default" w:ascii="Times New Roman" w:hAnsi="Times New Roman" w:eastAsia="宋体" w:cs="Times New Roman"/>
          <w:i/>
          <w:iCs/>
          <w:snapToGrid w:val="0"/>
          <w:color w:val="auto"/>
          <w:sz w:val="26"/>
          <w:szCs w:val="26"/>
          <w:lang w:val="en-US" w:eastAsia="zh-CN"/>
        </w:rPr>
        <w:t xml:space="preserve"> glaucum</w:t>
      </w:r>
      <w:r>
        <w:rPr>
          <w:rFonts w:hint="default" w:ascii="Times New Roman" w:hAnsi="Times New Roman" w:eastAsia="宋体" w:cs="Times New Roman"/>
          <w:snapToGrid w:val="0"/>
          <w:color w:val="auto"/>
          <w:sz w:val="26"/>
          <w:szCs w:val="26"/>
        </w:rPr>
        <w:t>）、芒</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i/>
          <w:iCs/>
          <w:snapToGrid w:val="0"/>
          <w:color w:val="auto"/>
          <w:sz w:val="26"/>
          <w:szCs w:val="26"/>
          <w:lang w:val="en-US" w:eastAsia="zh-CN"/>
        </w:rPr>
        <w:t>Miscanthus sinensis</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lang w:val="en-US" w:eastAsia="zh-CN"/>
        </w:rPr>
        <w:t>芒萁</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i/>
          <w:iCs/>
          <w:snapToGrid w:val="0"/>
          <w:color w:val="auto"/>
          <w:sz w:val="26"/>
          <w:szCs w:val="26"/>
          <w:lang w:val="en-US" w:eastAsia="zh-CN"/>
        </w:rPr>
        <w:t>Dicranopteris pedata</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lang w:val="en-US" w:eastAsia="zh-CN"/>
        </w:rPr>
        <w:t>地果（</w:t>
      </w:r>
      <w:r>
        <w:rPr>
          <w:rFonts w:hint="default" w:ascii="Times New Roman" w:hAnsi="Times New Roman" w:eastAsia="宋体" w:cs="Times New Roman"/>
          <w:i/>
          <w:iCs/>
          <w:snapToGrid w:val="0"/>
          <w:color w:val="auto"/>
          <w:sz w:val="26"/>
          <w:szCs w:val="26"/>
          <w:lang w:val="en-US" w:eastAsia="zh-CN"/>
        </w:rPr>
        <w:t xml:space="preserve">Ficus </w:t>
      </w:r>
      <w:r>
        <w:rPr>
          <w:rFonts w:hint="default" w:ascii="Times New Roman" w:hAnsi="Times New Roman" w:eastAsia="宋体" w:cs="Times New Roman"/>
          <w:i/>
          <w:iCs/>
          <w:snapToGrid w:val="0"/>
          <w:color w:val="auto"/>
          <w:sz w:val="26"/>
          <w:szCs w:val="26"/>
          <w:shd w:val="clear" w:fill="FFFFFF"/>
          <w:lang w:val="en-US" w:eastAsia="zh-CN"/>
        </w:rPr>
        <w:t>tikoua</w:t>
      </w:r>
      <w:r>
        <w:rPr>
          <w:rFonts w:hint="default" w:ascii="Times New Roman" w:hAnsi="Times New Roman" w:eastAsia="宋体" w:cs="Times New Roman"/>
          <w:snapToGrid w:val="0"/>
          <w:color w:val="auto"/>
          <w:sz w:val="26"/>
          <w:szCs w:val="26"/>
          <w:lang w:val="en-US" w:eastAsia="zh-CN"/>
        </w:rPr>
        <w:t>）、蕨（</w:t>
      </w:r>
      <w:r>
        <w:rPr>
          <w:rFonts w:hint="default" w:ascii="Times New Roman" w:hAnsi="Times New Roman" w:eastAsia="宋体" w:cs="Times New Roman"/>
          <w:i/>
          <w:iCs/>
          <w:snapToGrid w:val="0"/>
          <w:color w:val="auto"/>
          <w:sz w:val="26"/>
          <w:szCs w:val="26"/>
          <w:lang w:val="en-US" w:eastAsia="zh-CN"/>
        </w:rPr>
        <w:t>Pteridium aquilinum</w:t>
      </w:r>
      <w:r>
        <w:rPr>
          <w:rFonts w:hint="default" w:ascii="Times New Roman" w:hAnsi="Times New Roman" w:eastAsia="宋体" w:cs="Times New Roman"/>
          <w:snapToGrid w:val="0"/>
          <w:color w:val="auto"/>
          <w:sz w:val="26"/>
          <w:szCs w:val="26"/>
          <w:lang w:val="en-US" w:eastAsia="zh-CN"/>
        </w:rPr>
        <w:t>）</w:t>
      </w:r>
      <w:r>
        <w:rPr>
          <w:rFonts w:hint="default" w:ascii="Times New Roman" w:hAnsi="Times New Roman" w:eastAsia="宋体" w:cs="Times New Roman"/>
          <w:snapToGrid w:val="0"/>
          <w:color w:val="auto"/>
          <w:sz w:val="26"/>
          <w:szCs w:val="26"/>
        </w:rPr>
        <w:t>等，草本层植株高0.</w:t>
      </w:r>
      <w:r>
        <w:rPr>
          <w:rFonts w:hint="default" w:ascii="Times New Roman" w:hAnsi="Times New Roman" w:eastAsia="宋体" w:cs="Times New Roman"/>
          <w:snapToGrid w:val="0"/>
          <w:color w:val="auto"/>
          <w:sz w:val="26"/>
          <w:szCs w:val="26"/>
          <w:lang w:val="en-US" w:eastAsia="zh-CN"/>
        </w:rPr>
        <w:t>1</w:t>
      </w:r>
      <w:r>
        <w:rPr>
          <w:rFonts w:hint="default" w:ascii="Times New Roman" w:hAnsi="Times New Roman" w:eastAsia="宋体" w:cs="Times New Roman"/>
          <w:snapToGrid w:val="0"/>
          <w:color w:val="auto"/>
          <w:sz w:val="26"/>
          <w:szCs w:val="26"/>
        </w:rPr>
        <w:t>-1</w:t>
      </w:r>
      <w:r>
        <w:rPr>
          <w:rFonts w:hint="default" w:ascii="Times New Roman" w:hAnsi="Times New Roman" w:eastAsia="宋体" w:cs="Times New Roman"/>
          <w:snapToGrid w:val="0"/>
          <w:color w:val="auto"/>
          <w:sz w:val="26"/>
          <w:szCs w:val="26"/>
          <w:lang w:val="en-US" w:eastAsia="zh-CN"/>
        </w:rPr>
        <w:t>.5</w:t>
      </w:r>
      <w:r>
        <w:rPr>
          <w:rFonts w:hint="default" w:ascii="Times New Roman" w:hAnsi="Times New Roman" w:eastAsia="宋体" w:cs="Times New Roman"/>
          <w:snapToGrid w:val="0"/>
          <w:color w:val="auto"/>
          <w:sz w:val="26"/>
          <w:szCs w:val="26"/>
        </w:rPr>
        <w:t>m，盖度</w:t>
      </w:r>
      <w:r>
        <w:rPr>
          <w:rFonts w:hint="default" w:ascii="Times New Roman" w:hAnsi="Times New Roman" w:eastAsia="宋体" w:cs="Times New Roman"/>
          <w:snapToGrid w:val="0"/>
          <w:color w:val="auto"/>
          <w:sz w:val="26"/>
          <w:szCs w:val="26"/>
          <w:lang w:val="en-US" w:eastAsia="zh-CN"/>
        </w:rPr>
        <w:t>25</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val="en-US" w:eastAsia="zh-CN"/>
        </w:rPr>
        <w:t>40%</w:t>
      </w:r>
      <w:r>
        <w:rPr>
          <w:rFonts w:hint="default" w:ascii="Times New Roman" w:hAnsi="Times New Roman" w:eastAsia="宋体" w:cs="Times New Roman"/>
          <w:snapToGrid w:val="0"/>
          <w:color w:val="auto"/>
          <w:sz w:val="26"/>
          <w:szCs w:val="26"/>
        </w:rPr>
        <w:t>左右。</w:t>
      </w:r>
    </w:p>
    <w:tbl>
      <w:tblPr>
        <w:tblStyle w:val="29"/>
        <w:tblW w:w="4850" w:type="pct"/>
        <w:jc w:val="center"/>
        <w:tblLayout w:type="fixed"/>
        <w:tblCellMar>
          <w:top w:w="0" w:type="dxa"/>
          <w:left w:w="108" w:type="dxa"/>
          <w:bottom w:w="0" w:type="dxa"/>
          <w:right w:w="108" w:type="dxa"/>
        </w:tblCellMar>
      </w:tblPr>
      <w:tblGrid>
        <w:gridCol w:w="4339"/>
        <w:gridCol w:w="4339"/>
      </w:tblGrid>
      <w:tr w14:paraId="323D4E59">
        <w:tblPrEx>
          <w:tblCellMar>
            <w:top w:w="0" w:type="dxa"/>
            <w:left w:w="108" w:type="dxa"/>
            <w:bottom w:w="0" w:type="dxa"/>
            <w:right w:w="108" w:type="dxa"/>
          </w:tblCellMar>
        </w:tblPrEx>
        <w:trPr>
          <w:trHeight w:val="20" w:hRule="atLeast"/>
          <w:jc w:val="center"/>
        </w:trPr>
        <w:tc>
          <w:tcPr>
            <w:tcW w:w="4339" w:type="dxa"/>
            <w:noWrap w:val="0"/>
            <w:vAlign w:val="center"/>
          </w:tcPr>
          <w:p w14:paraId="1ED5E981">
            <w:pPr>
              <w:autoSpaceDE w:val="0"/>
              <w:autoSpaceDN w:val="0"/>
              <w:adjustRightInd w:val="0"/>
              <w:snapToGrid w:val="0"/>
              <w:jc w:val="center"/>
              <w:textAlignment w:val="baseline"/>
              <w:rPr>
                <w:rFonts w:hint="default" w:ascii="Times New Roman" w:hAnsi="Times New Roman" w:eastAsia="宋体" w:cs="Times New Roman"/>
                <w:snapToGrid w:val="0"/>
                <w:color w:val="auto"/>
                <w:sz w:val="26"/>
                <w:szCs w:val="26"/>
                <w:lang w:eastAsia="zh-CN"/>
              </w:rPr>
            </w:pPr>
            <w:r>
              <w:rPr>
                <w:rFonts w:hint="eastAsia" w:ascii="Times New Roman" w:hAnsi="Times New Roman" w:cs="Times New Roman"/>
                <w:color w:val="auto"/>
                <w:vertAlign w:val="baseline"/>
                <w:lang w:val="en-US" w:eastAsia="zh-CN"/>
              </w:rPr>
              <w:t>***</w:t>
            </w:r>
          </w:p>
        </w:tc>
        <w:tc>
          <w:tcPr>
            <w:tcW w:w="4340" w:type="dxa"/>
            <w:noWrap w:val="0"/>
            <w:vAlign w:val="center"/>
          </w:tcPr>
          <w:p w14:paraId="7EEDC68D">
            <w:pPr>
              <w:autoSpaceDE w:val="0"/>
              <w:autoSpaceDN w:val="0"/>
              <w:adjustRightInd w:val="0"/>
              <w:snapToGrid w:val="0"/>
              <w:jc w:val="center"/>
              <w:textAlignment w:val="baseline"/>
              <w:rPr>
                <w:rFonts w:hint="default" w:ascii="Times New Roman" w:hAnsi="Times New Roman" w:eastAsia="宋体" w:cs="Times New Roman"/>
                <w:snapToGrid w:val="0"/>
                <w:color w:val="auto"/>
                <w:sz w:val="26"/>
                <w:szCs w:val="26"/>
                <w:lang w:eastAsia="zh-CN"/>
              </w:rPr>
            </w:pPr>
            <w:r>
              <w:rPr>
                <w:rFonts w:hint="eastAsia" w:ascii="Times New Roman" w:hAnsi="Times New Roman" w:cs="Times New Roman"/>
                <w:color w:val="auto"/>
                <w:vertAlign w:val="baseline"/>
                <w:lang w:val="en-US" w:eastAsia="zh-CN"/>
              </w:rPr>
              <w:t>***</w:t>
            </w:r>
          </w:p>
        </w:tc>
      </w:tr>
      <w:tr w14:paraId="4FF6116D">
        <w:trPr>
          <w:trHeight w:val="20" w:hRule="atLeast"/>
          <w:jc w:val="center"/>
        </w:trPr>
        <w:tc>
          <w:tcPr>
            <w:tcW w:w="8679" w:type="dxa"/>
            <w:gridSpan w:val="2"/>
            <w:noWrap w:val="0"/>
            <w:vAlign w:val="center"/>
          </w:tcPr>
          <w:p w14:paraId="72A977AB">
            <w:pPr>
              <w:autoSpaceDE w:val="0"/>
              <w:autoSpaceDN w:val="0"/>
              <w:adjustRightInd w:val="0"/>
              <w:snapToGrid w:val="0"/>
              <w:jc w:val="center"/>
              <w:textAlignment w:val="baseline"/>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1"/>
                <w:szCs w:val="21"/>
              </w:rPr>
              <w:t>管线沿线</w:t>
            </w:r>
            <w:r>
              <w:rPr>
                <w:rFonts w:hint="default" w:ascii="Times New Roman" w:hAnsi="Times New Roman" w:eastAsia="宋体" w:cs="Times New Roman"/>
                <w:snapToGrid w:val="0"/>
                <w:color w:val="auto"/>
                <w:sz w:val="21"/>
                <w:szCs w:val="21"/>
                <w:lang w:val="en-US" w:eastAsia="zh-CN"/>
              </w:rPr>
              <w:t>马尾松林</w:t>
            </w:r>
            <w:r>
              <w:rPr>
                <w:rFonts w:hint="default" w:ascii="Times New Roman" w:hAnsi="Times New Roman" w:eastAsia="宋体" w:cs="Times New Roman"/>
                <w:snapToGrid w:val="0"/>
                <w:color w:val="auto"/>
                <w:sz w:val="21"/>
                <w:szCs w:val="21"/>
              </w:rPr>
              <w:t>分布情况现场图</w:t>
            </w:r>
          </w:p>
        </w:tc>
      </w:tr>
    </w:tbl>
    <w:p w14:paraId="7A76D1F3">
      <w:pPr>
        <w:widowControl w:val="0"/>
        <w:adjustRightInd w:val="0"/>
        <w:jc w:val="both"/>
        <w:textAlignment w:val="baseline"/>
        <w:rPr>
          <w:rFonts w:hint="default" w:ascii="Times New Roman" w:hAnsi="Times New Roman" w:eastAsia="宋体" w:cs="Times New Roman"/>
          <w:snapToGrid w:val="0"/>
          <w:color w:val="auto"/>
          <w:kern w:val="2"/>
          <w:sz w:val="21"/>
          <w:szCs w:val="21"/>
          <w:lang w:val="en-US" w:eastAsia="zh-CN"/>
        </w:rPr>
      </w:pPr>
    </w:p>
    <w:p w14:paraId="4F712AB5">
      <w:pPr>
        <w:adjustRightInd w:val="0"/>
        <w:spacing w:line="480" w:lineRule="exact"/>
        <w:ind w:firstLine="520" w:firstLineChars="200"/>
        <w:textAlignment w:val="baseline"/>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lang w:val="en-US" w:eastAsia="zh-CN"/>
        </w:rPr>
        <w:t>B.</w:t>
      </w:r>
      <w:r>
        <w:rPr>
          <w:rFonts w:hint="default" w:ascii="Times New Roman" w:hAnsi="Times New Roman" w:eastAsia="宋体" w:cs="Times New Roman"/>
          <w:snapToGrid w:val="0"/>
          <w:color w:val="auto"/>
          <w:sz w:val="26"/>
          <w:szCs w:val="26"/>
        </w:rPr>
        <w:t>灌丛和灌草丛</w:t>
      </w:r>
    </w:p>
    <w:p w14:paraId="0AEBEDAD">
      <w:pPr>
        <w:adjustRightInd w:val="0"/>
        <w:spacing w:line="480" w:lineRule="exact"/>
        <w:ind w:firstLine="520" w:firstLineChars="200"/>
        <w:textAlignment w:val="baseline"/>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lang w:val="en-US" w:eastAsia="zh-CN"/>
        </w:rPr>
        <w:t>a.盐麸木</w:t>
      </w:r>
      <w:r>
        <w:rPr>
          <w:rFonts w:hint="default" w:ascii="Times New Roman" w:hAnsi="Times New Roman" w:eastAsia="宋体" w:cs="Times New Roman"/>
          <w:snapToGrid w:val="0"/>
          <w:color w:val="auto"/>
          <w:sz w:val="26"/>
          <w:szCs w:val="26"/>
        </w:rPr>
        <w:t>灌丛群系（Form</w:t>
      </w:r>
      <w:r>
        <w:rPr>
          <w:rFonts w:hint="default" w:ascii="Times New Roman" w:hAnsi="Times New Roman" w:eastAsia="宋体" w:cs="Times New Roman"/>
          <w:i/>
          <w:iCs/>
          <w:snapToGrid w:val="0"/>
          <w:color w:val="auto"/>
          <w:sz w:val="26"/>
          <w:szCs w:val="26"/>
        </w:rPr>
        <w:t>.</w:t>
      </w:r>
      <w:r>
        <w:rPr>
          <w:rFonts w:hint="default" w:ascii="Times New Roman" w:hAnsi="Times New Roman" w:eastAsia="宋体" w:cs="Times New Roman"/>
          <w:i/>
          <w:iCs/>
          <w:snapToGrid w:val="0"/>
          <w:color w:val="auto"/>
          <w:sz w:val="26"/>
          <w:szCs w:val="26"/>
          <w:lang w:val="en-US" w:eastAsia="zh-CN"/>
        </w:rPr>
        <w:t>Rhus chinensis</w:t>
      </w:r>
      <w:r>
        <w:rPr>
          <w:rFonts w:hint="default" w:ascii="Times New Roman" w:hAnsi="Times New Roman" w:eastAsia="宋体" w:cs="Times New Roman"/>
          <w:snapToGrid w:val="0"/>
          <w:color w:val="auto"/>
          <w:sz w:val="26"/>
          <w:szCs w:val="26"/>
        </w:rPr>
        <w:t>）</w:t>
      </w:r>
    </w:p>
    <w:p w14:paraId="5217BBA4">
      <w:pPr>
        <w:keepNext w:val="0"/>
        <w:keepLines w:val="0"/>
        <w:pageBreakBefore w:val="0"/>
        <w:widowControl/>
        <w:kinsoku/>
        <w:wordWrap w:val="0"/>
        <w:overflowPunct/>
        <w:topLinePunct w:val="0"/>
        <w:autoSpaceDE/>
        <w:autoSpaceDN/>
        <w:bidi w:val="0"/>
        <w:adjustRightInd w:val="0"/>
        <w:snapToGrid/>
        <w:spacing w:line="480" w:lineRule="exact"/>
        <w:ind w:firstLine="520" w:firstLineChars="200"/>
        <w:textAlignment w:val="baseline"/>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lang w:val="en-US" w:eastAsia="zh-CN"/>
        </w:rPr>
        <w:t>盐麸木为强阳性植物，幼苗期耐半阴，喜温暖湿润，年均温 15-20℃，年降水量 800 毫米以上，耐寒性较弱，对土壤要求宽松，pH 值 4.5-7.5 均可生长，尤其适应酸性红壤、黄壤及石灰岩山地，耐贫瘠和干旱，常见于向阳山坡、沟谷、溪边的疏林或灌丛中。调查区域内盐麸木灌丛</w:t>
      </w:r>
      <w:r>
        <w:rPr>
          <w:rFonts w:hint="default" w:ascii="Times New Roman" w:hAnsi="Times New Roman" w:eastAsia="宋体" w:cs="Times New Roman"/>
          <w:snapToGrid w:val="0"/>
          <w:color w:val="auto"/>
          <w:sz w:val="26"/>
          <w:szCs w:val="26"/>
        </w:rPr>
        <w:t>群落零星分布于评价区内的林缘、</w:t>
      </w:r>
      <w:r>
        <w:rPr>
          <w:rFonts w:hint="default" w:ascii="Times New Roman" w:hAnsi="Times New Roman" w:eastAsia="宋体" w:cs="Times New Roman"/>
          <w:snapToGrid w:val="0"/>
          <w:color w:val="auto"/>
          <w:sz w:val="26"/>
          <w:szCs w:val="26"/>
          <w:lang w:val="en-US" w:eastAsia="zh-CN"/>
        </w:rPr>
        <w:t>荒地</w:t>
      </w:r>
      <w:r>
        <w:rPr>
          <w:rFonts w:hint="default" w:ascii="Times New Roman" w:hAnsi="Times New Roman" w:eastAsia="宋体" w:cs="Times New Roman"/>
          <w:snapToGrid w:val="0"/>
          <w:color w:val="auto"/>
          <w:sz w:val="26"/>
          <w:szCs w:val="26"/>
        </w:rPr>
        <w:t>路边、浅丘下坡等。该灌丛群落结构较简单，零星生长着</w:t>
      </w:r>
      <w:r>
        <w:rPr>
          <w:rFonts w:hint="default" w:ascii="Times New Roman" w:hAnsi="Times New Roman" w:eastAsia="宋体" w:cs="Times New Roman"/>
          <w:snapToGrid w:val="0"/>
          <w:color w:val="auto"/>
          <w:sz w:val="26"/>
          <w:szCs w:val="26"/>
          <w:lang w:val="en-US" w:eastAsia="zh-CN"/>
        </w:rPr>
        <w:t>水麻（</w:t>
      </w:r>
      <w:r>
        <w:rPr>
          <w:rFonts w:hint="default" w:ascii="Times New Roman" w:hAnsi="Times New Roman" w:eastAsia="宋体" w:cs="Times New Roman"/>
          <w:i/>
          <w:iCs/>
          <w:snapToGrid w:val="0"/>
          <w:color w:val="auto"/>
          <w:sz w:val="26"/>
          <w:szCs w:val="26"/>
          <w:shd w:val="clear" w:fill="FFFFFF"/>
          <w:lang w:val="en-US" w:eastAsia="zh-CN"/>
        </w:rPr>
        <w:t>Debregeasia</w:t>
      </w:r>
      <w:r>
        <w:rPr>
          <w:rFonts w:hint="default" w:ascii="Times New Roman" w:hAnsi="Times New Roman" w:eastAsia="宋体" w:cs="Times New Roman"/>
          <w:i/>
          <w:iCs/>
          <w:snapToGrid w:val="0"/>
          <w:color w:val="auto"/>
          <w:sz w:val="26"/>
          <w:szCs w:val="26"/>
          <w:lang w:val="en-US" w:eastAsia="zh-CN"/>
        </w:rPr>
        <w:t xml:space="preserve"> orientalis</w:t>
      </w:r>
      <w:r>
        <w:rPr>
          <w:rFonts w:hint="default" w:ascii="Times New Roman" w:hAnsi="Times New Roman" w:eastAsia="宋体" w:cs="Times New Roman"/>
          <w:snapToGrid w:val="0"/>
          <w:color w:val="auto"/>
          <w:sz w:val="26"/>
          <w:szCs w:val="26"/>
          <w:lang w:val="en-US" w:eastAsia="zh-CN"/>
        </w:rPr>
        <w:t>）、构（</w:t>
      </w:r>
      <w:r>
        <w:rPr>
          <w:rFonts w:hint="default" w:ascii="Times New Roman" w:hAnsi="Times New Roman" w:eastAsia="宋体" w:cs="Times New Roman"/>
          <w:i/>
          <w:iCs/>
          <w:snapToGrid w:val="0"/>
          <w:color w:val="auto"/>
          <w:sz w:val="26"/>
          <w:szCs w:val="26"/>
          <w:lang w:val="en-US" w:eastAsia="zh-CN"/>
        </w:rPr>
        <w:t>Broussonetia papyrifera</w:t>
      </w:r>
      <w:r>
        <w:rPr>
          <w:rFonts w:hint="default" w:ascii="Times New Roman" w:hAnsi="Times New Roman" w:eastAsia="宋体" w:cs="Times New Roman"/>
          <w:snapToGrid w:val="0"/>
          <w:color w:val="auto"/>
          <w:sz w:val="26"/>
          <w:szCs w:val="26"/>
          <w:lang w:val="en-US" w:eastAsia="zh-CN"/>
        </w:rPr>
        <w:t>）、牡荆（</w:t>
      </w:r>
      <w:r>
        <w:rPr>
          <w:rFonts w:hint="default" w:ascii="Times New Roman" w:hAnsi="Times New Roman" w:eastAsia="宋体" w:cs="Times New Roman"/>
          <w:i/>
          <w:iCs/>
          <w:snapToGrid w:val="0"/>
          <w:color w:val="auto"/>
          <w:sz w:val="26"/>
          <w:szCs w:val="26"/>
          <w:shd w:val="clear" w:fill="FFFFFF"/>
          <w:lang w:val="en-US" w:eastAsia="zh-CN"/>
        </w:rPr>
        <w:t>Vitex</w:t>
      </w:r>
      <w:r>
        <w:rPr>
          <w:rFonts w:hint="default" w:ascii="Times New Roman" w:hAnsi="Times New Roman" w:eastAsia="宋体" w:cs="Times New Roman"/>
          <w:i/>
          <w:iCs/>
          <w:snapToGrid w:val="0"/>
          <w:color w:val="auto"/>
          <w:sz w:val="26"/>
          <w:szCs w:val="26"/>
          <w:lang w:val="en-US" w:eastAsia="zh-CN"/>
        </w:rPr>
        <w:t xml:space="preserve"> negundo</w:t>
      </w:r>
      <w:r>
        <w:rPr>
          <w:rFonts w:hint="default" w:ascii="Times New Roman" w:hAnsi="Times New Roman" w:eastAsia="宋体" w:cs="Times New Roman"/>
          <w:snapToGrid w:val="0"/>
          <w:color w:val="auto"/>
          <w:sz w:val="26"/>
          <w:szCs w:val="26"/>
          <w:lang w:val="en-US" w:eastAsia="zh-CN"/>
        </w:rPr>
        <w:t>）、小木通（</w:t>
      </w:r>
      <w:r>
        <w:rPr>
          <w:rFonts w:hint="default" w:ascii="Times New Roman" w:hAnsi="Times New Roman" w:eastAsia="宋体" w:cs="Times New Roman"/>
          <w:i/>
          <w:iCs/>
          <w:snapToGrid w:val="0"/>
          <w:color w:val="auto"/>
          <w:sz w:val="26"/>
          <w:szCs w:val="26"/>
          <w:lang w:val="en-US" w:eastAsia="zh-CN"/>
        </w:rPr>
        <w:t xml:space="preserve">Clematis armandi </w:t>
      </w:r>
      <w:r>
        <w:rPr>
          <w:rFonts w:hint="default" w:ascii="Times New Roman" w:hAnsi="Times New Roman" w:eastAsia="宋体" w:cs="Times New Roman"/>
          <w:snapToGrid w:val="0"/>
          <w:color w:val="auto"/>
          <w:sz w:val="26"/>
          <w:szCs w:val="26"/>
          <w:lang w:val="en-US" w:eastAsia="zh-CN"/>
        </w:rPr>
        <w:t>）、插田藨（</w:t>
      </w:r>
      <w:r>
        <w:rPr>
          <w:rFonts w:hint="default" w:ascii="Times New Roman" w:hAnsi="Times New Roman" w:eastAsia="宋体" w:cs="Times New Roman"/>
          <w:i/>
          <w:iCs/>
          <w:snapToGrid w:val="0"/>
          <w:color w:val="auto"/>
          <w:sz w:val="26"/>
          <w:szCs w:val="26"/>
          <w:lang w:val="en-US" w:eastAsia="zh-CN"/>
        </w:rPr>
        <w:t xml:space="preserve">Rubus </w:t>
      </w:r>
      <w:r>
        <w:rPr>
          <w:rFonts w:hint="default" w:ascii="Times New Roman" w:hAnsi="Times New Roman" w:eastAsia="宋体" w:cs="Times New Roman"/>
          <w:snapToGrid w:val="0"/>
          <w:color w:val="auto"/>
          <w:sz w:val="26"/>
          <w:szCs w:val="26"/>
          <w:lang w:val="en-US" w:eastAsia="zh-CN"/>
        </w:rPr>
        <w:t>coreanus）、乌桕（</w:t>
      </w:r>
      <w:r>
        <w:rPr>
          <w:rFonts w:hint="default" w:ascii="Times New Roman" w:hAnsi="Times New Roman" w:eastAsia="宋体" w:cs="Times New Roman"/>
          <w:i/>
          <w:iCs/>
          <w:snapToGrid w:val="0"/>
          <w:color w:val="auto"/>
          <w:sz w:val="26"/>
          <w:szCs w:val="26"/>
          <w:shd w:val="clear" w:fill="FFFFFF"/>
          <w:lang w:val="en-US" w:eastAsia="zh-CN"/>
        </w:rPr>
        <w:t>Triadica</w:t>
      </w:r>
      <w:r>
        <w:rPr>
          <w:rFonts w:hint="default" w:ascii="Times New Roman" w:hAnsi="Times New Roman" w:eastAsia="宋体" w:cs="Times New Roman"/>
          <w:i/>
          <w:iCs/>
          <w:snapToGrid w:val="0"/>
          <w:color w:val="auto"/>
          <w:sz w:val="26"/>
          <w:szCs w:val="26"/>
          <w:lang w:val="en-US" w:eastAsia="zh-CN"/>
        </w:rPr>
        <w:t xml:space="preserve"> </w:t>
      </w:r>
      <w:r>
        <w:rPr>
          <w:rFonts w:hint="default" w:ascii="Times New Roman" w:hAnsi="Times New Roman" w:eastAsia="宋体" w:cs="Times New Roman"/>
          <w:i/>
          <w:iCs/>
          <w:snapToGrid w:val="0"/>
          <w:color w:val="auto"/>
          <w:sz w:val="26"/>
          <w:szCs w:val="26"/>
          <w:shd w:val="clear" w:fill="FFFFFF"/>
          <w:lang w:val="en-US" w:eastAsia="zh-CN"/>
        </w:rPr>
        <w:t>sebifera</w:t>
      </w:r>
      <w:r>
        <w:rPr>
          <w:rFonts w:hint="default" w:ascii="Times New Roman" w:hAnsi="Times New Roman" w:eastAsia="宋体" w:cs="Times New Roman"/>
          <w:snapToGrid w:val="0"/>
          <w:color w:val="auto"/>
          <w:sz w:val="26"/>
          <w:szCs w:val="26"/>
          <w:lang w:val="en-US" w:eastAsia="zh-CN"/>
        </w:rPr>
        <w:t>）</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val="en-US" w:eastAsia="zh-CN"/>
        </w:rPr>
        <w:t>野桐</w:t>
      </w:r>
      <w:r>
        <w:rPr>
          <w:rFonts w:hint="default" w:ascii="Times New Roman" w:hAnsi="Times New Roman" w:eastAsia="宋体" w:cs="Times New Roman"/>
          <w:snapToGrid w:val="0"/>
          <w:color w:val="auto"/>
          <w:sz w:val="26"/>
          <w:szCs w:val="26"/>
        </w:rPr>
        <w:t>等，主要伴生草本有</w:t>
      </w:r>
      <w:r>
        <w:rPr>
          <w:rFonts w:hint="default" w:ascii="Times New Roman" w:hAnsi="Times New Roman" w:eastAsia="宋体" w:cs="Times New Roman"/>
          <w:snapToGrid w:val="0"/>
          <w:color w:val="auto"/>
          <w:sz w:val="26"/>
          <w:szCs w:val="26"/>
          <w:lang w:val="en-US" w:eastAsia="zh-CN"/>
        </w:rPr>
        <w:t>白茅（</w:t>
      </w:r>
      <w:r>
        <w:rPr>
          <w:rFonts w:hint="default" w:ascii="Times New Roman" w:hAnsi="Times New Roman" w:eastAsia="宋体" w:cs="Times New Roman"/>
          <w:i/>
          <w:iCs/>
          <w:snapToGrid w:val="0"/>
          <w:color w:val="auto"/>
          <w:sz w:val="26"/>
          <w:szCs w:val="26"/>
          <w:lang w:val="en-US" w:eastAsia="zh-CN"/>
        </w:rPr>
        <w:t>Imperata cylindrica</w:t>
      </w:r>
      <w:r>
        <w:rPr>
          <w:rFonts w:hint="default" w:ascii="Times New Roman" w:hAnsi="Times New Roman" w:eastAsia="宋体" w:cs="Times New Roman"/>
          <w:snapToGrid w:val="0"/>
          <w:color w:val="auto"/>
          <w:sz w:val="26"/>
          <w:szCs w:val="26"/>
          <w:lang w:val="en-US" w:eastAsia="zh-CN"/>
        </w:rPr>
        <w:t>）</w:t>
      </w:r>
      <w:r>
        <w:rPr>
          <w:rFonts w:hint="default" w:ascii="Times New Roman" w:hAnsi="Times New Roman" w:eastAsia="宋体" w:cs="Times New Roman"/>
          <w:snapToGrid w:val="0"/>
          <w:color w:val="auto"/>
          <w:sz w:val="26"/>
          <w:szCs w:val="26"/>
        </w:rPr>
        <w:t>、艾</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i/>
          <w:iCs/>
          <w:snapToGrid w:val="0"/>
          <w:color w:val="auto"/>
          <w:sz w:val="26"/>
          <w:szCs w:val="26"/>
          <w:lang w:val="en-US" w:eastAsia="zh-CN"/>
        </w:rPr>
        <w:t>Artemisia argyi</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rPr>
        <w:t>、葛</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i/>
          <w:iCs/>
          <w:snapToGrid w:val="0"/>
          <w:color w:val="auto"/>
          <w:sz w:val="26"/>
          <w:szCs w:val="26"/>
          <w:lang w:val="en-US" w:eastAsia="zh-CN"/>
        </w:rPr>
        <w:t>Pueraria montana</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rPr>
        <w:t>葎草</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i/>
          <w:iCs/>
          <w:snapToGrid w:val="0"/>
          <w:color w:val="auto"/>
          <w:sz w:val="26"/>
          <w:szCs w:val="26"/>
          <w:lang w:val="en-US" w:eastAsia="zh-CN"/>
        </w:rPr>
        <w:t>Humulus scandens</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lang w:val="en-US" w:eastAsia="zh-CN"/>
        </w:rPr>
        <w:t>毛蕨</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i/>
          <w:iCs/>
          <w:snapToGrid w:val="0"/>
          <w:color w:val="auto"/>
          <w:sz w:val="26"/>
          <w:szCs w:val="26"/>
          <w:shd w:val="clear" w:fill="FFFFFF"/>
          <w:lang w:val="en-US" w:eastAsia="zh-CN"/>
        </w:rPr>
        <w:t>Cyclosorus</w:t>
      </w:r>
      <w:r>
        <w:rPr>
          <w:rFonts w:hint="default" w:ascii="Times New Roman" w:hAnsi="Times New Roman" w:eastAsia="宋体" w:cs="Times New Roman"/>
          <w:i/>
          <w:iCs/>
          <w:snapToGrid w:val="0"/>
          <w:color w:val="auto"/>
          <w:sz w:val="26"/>
          <w:szCs w:val="26"/>
          <w:lang w:val="en-US" w:eastAsia="zh-CN"/>
        </w:rPr>
        <w:t xml:space="preserve"> interruptus</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rPr>
        <w:t>芒</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rPr>
        <w:t>蕨等</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rPr>
        <w:t>群落总盖度在</w:t>
      </w:r>
      <w:r>
        <w:rPr>
          <w:rFonts w:hint="default" w:ascii="Times New Roman" w:hAnsi="Times New Roman" w:eastAsia="宋体" w:cs="Times New Roman"/>
          <w:snapToGrid w:val="0"/>
          <w:color w:val="auto"/>
          <w:sz w:val="26"/>
          <w:szCs w:val="26"/>
          <w:shd w:val="clear" w:fill="FFFFFF"/>
          <w:lang w:val="en-US" w:eastAsia="zh-CN"/>
        </w:rPr>
        <w:t>60~75%</w:t>
      </w:r>
      <w:r>
        <w:rPr>
          <w:rFonts w:hint="default" w:ascii="Times New Roman" w:hAnsi="Times New Roman" w:eastAsia="宋体" w:cs="Times New Roman"/>
          <w:snapToGrid w:val="0"/>
          <w:color w:val="auto"/>
          <w:sz w:val="26"/>
          <w:szCs w:val="26"/>
        </w:rPr>
        <w:t>之间。</w:t>
      </w:r>
    </w:p>
    <w:tbl>
      <w:tblPr>
        <w:tblStyle w:val="29"/>
        <w:tblW w:w="4851" w:type="pct"/>
        <w:jc w:val="center"/>
        <w:tblLayout w:type="fixed"/>
        <w:tblCellMar>
          <w:top w:w="0" w:type="dxa"/>
          <w:left w:w="108" w:type="dxa"/>
          <w:bottom w:w="0" w:type="dxa"/>
          <w:right w:w="108" w:type="dxa"/>
        </w:tblCellMar>
      </w:tblPr>
      <w:tblGrid>
        <w:gridCol w:w="4340"/>
        <w:gridCol w:w="4340"/>
      </w:tblGrid>
      <w:tr w14:paraId="4EB052B9">
        <w:tblPrEx>
          <w:tblCellMar>
            <w:top w:w="0" w:type="dxa"/>
            <w:left w:w="108" w:type="dxa"/>
            <w:bottom w:w="0" w:type="dxa"/>
            <w:right w:w="108" w:type="dxa"/>
          </w:tblCellMar>
        </w:tblPrEx>
        <w:trPr>
          <w:trHeight w:val="20" w:hRule="atLeast"/>
          <w:jc w:val="center"/>
        </w:trPr>
        <w:tc>
          <w:tcPr>
            <w:tcW w:w="4340" w:type="dxa"/>
            <w:noWrap w:val="0"/>
            <w:vAlign w:val="center"/>
          </w:tcPr>
          <w:p w14:paraId="4BCF839F">
            <w:pPr>
              <w:autoSpaceDE w:val="0"/>
              <w:autoSpaceDN w:val="0"/>
              <w:adjustRightInd w:val="0"/>
              <w:snapToGrid w:val="0"/>
              <w:jc w:val="center"/>
              <w:textAlignment w:val="baseline"/>
              <w:rPr>
                <w:rFonts w:hint="default" w:ascii="Times New Roman" w:hAnsi="Times New Roman" w:eastAsia="宋体" w:cs="Times New Roman"/>
                <w:snapToGrid w:val="0"/>
                <w:color w:val="auto"/>
                <w:sz w:val="21"/>
                <w:szCs w:val="21"/>
                <w:lang w:eastAsia="zh-CN"/>
              </w:rPr>
            </w:pPr>
            <w:r>
              <w:rPr>
                <w:rFonts w:hint="eastAsia" w:ascii="Times New Roman" w:hAnsi="Times New Roman" w:cs="Times New Roman"/>
                <w:color w:val="auto"/>
                <w:vertAlign w:val="baseline"/>
                <w:lang w:val="en-US" w:eastAsia="zh-CN"/>
              </w:rPr>
              <w:t>***</w:t>
            </w:r>
          </w:p>
        </w:tc>
        <w:tc>
          <w:tcPr>
            <w:tcW w:w="4340" w:type="dxa"/>
            <w:noWrap w:val="0"/>
            <w:vAlign w:val="center"/>
          </w:tcPr>
          <w:p w14:paraId="21EC3495">
            <w:pPr>
              <w:autoSpaceDE w:val="0"/>
              <w:autoSpaceDN w:val="0"/>
              <w:adjustRightInd w:val="0"/>
              <w:snapToGrid w:val="0"/>
              <w:jc w:val="center"/>
              <w:textAlignment w:val="baseline"/>
              <w:rPr>
                <w:rFonts w:hint="default" w:ascii="Times New Roman" w:hAnsi="Times New Roman" w:eastAsia="宋体" w:cs="Times New Roman"/>
                <w:snapToGrid w:val="0"/>
                <w:color w:val="auto"/>
                <w:sz w:val="21"/>
                <w:szCs w:val="21"/>
                <w:lang w:eastAsia="zh-CN"/>
              </w:rPr>
            </w:pPr>
            <w:r>
              <w:rPr>
                <w:rFonts w:hint="eastAsia" w:ascii="Times New Roman" w:hAnsi="Times New Roman" w:cs="Times New Roman"/>
                <w:color w:val="auto"/>
                <w:vertAlign w:val="baseline"/>
                <w:lang w:val="en-US" w:eastAsia="zh-CN"/>
              </w:rPr>
              <w:t>***</w:t>
            </w:r>
          </w:p>
        </w:tc>
      </w:tr>
      <w:tr w14:paraId="151D61AA">
        <w:tblPrEx>
          <w:tblCellMar>
            <w:top w:w="0" w:type="dxa"/>
            <w:left w:w="108" w:type="dxa"/>
            <w:bottom w:w="0" w:type="dxa"/>
            <w:right w:w="108" w:type="dxa"/>
          </w:tblCellMar>
        </w:tblPrEx>
        <w:trPr>
          <w:trHeight w:val="20" w:hRule="atLeast"/>
          <w:jc w:val="center"/>
        </w:trPr>
        <w:tc>
          <w:tcPr>
            <w:tcW w:w="8680" w:type="dxa"/>
            <w:gridSpan w:val="2"/>
            <w:noWrap w:val="0"/>
            <w:vAlign w:val="center"/>
          </w:tcPr>
          <w:p w14:paraId="644952A2">
            <w:pPr>
              <w:autoSpaceDE w:val="0"/>
              <w:autoSpaceDN w:val="0"/>
              <w:adjustRightInd w:val="0"/>
              <w:snapToGrid w:val="0"/>
              <w:jc w:val="center"/>
              <w:textAlignment w:val="baseline"/>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rPr>
              <w:t>管线沿线</w:t>
            </w:r>
            <w:r>
              <w:rPr>
                <w:rFonts w:hint="default" w:ascii="Times New Roman" w:hAnsi="Times New Roman" w:eastAsia="宋体" w:cs="Times New Roman"/>
                <w:snapToGrid w:val="0"/>
                <w:color w:val="auto"/>
                <w:sz w:val="21"/>
                <w:szCs w:val="21"/>
                <w:lang w:val="en-US" w:eastAsia="zh-CN"/>
              </w:rPr>
              <w:t>盐麸木</w:t>
            </w:r>
            <w:r>
              <w:rPr>
                <w:rFonts w:hint="default" w:ascii="Times New Roman" w:hAnsi="Times New Roman" w:eastAsia="宋体" w:cs="Times New Roman"/>
                <w:snapToGrid w:val="0"/>
                <w:color w:val="auto"/>
                <w:sz w:val="21"/>
                <w:szCs w:val="21"/>
              </w:rPr>
              <w:t>分布情况现场图</w:t>
            </w:r>
          </w:p>
        </w:tc>
      </w:tr>
    </w:tbl>
    <w:p w14:paraId="1037B738">
      <w:pPr>
        <w:widowControl w:val="0"/>
        <w:adjustRightInd w:val="0"/>
        <w:jc w:val="both"/>
        <w:textAlignment w:val="baseline"/>
        <w:rPr>
          <w:rFonts w:hint="default" w:ascii="Times New Roman" w:hAnsi="Times New Roman" w:eastAsia="宋体" w:cs="Times New Roman"/>
          <w:snapToGrid w:val="0"/>
          <w:color w:val="auto"/>
          <w:kern w:val="2"/>
          <w:sz w:val="21"/>
          <w:szCs w:val="21"/>
          <w:lang w:val="en-US" w:eastAsia="zh-CN"/>
        </w:rPr>
      </w:pPr>
    </w:p>
    <w:p w14:paraId="77F7EEFA">
      <w:pPr>
        <w:pStyle w:val="56"/>
        <w:rPr>
          <w:rFonts w:hint="default" w:ascii="Times New Roman" w:hAnsi="Times New Roman" w:eastAsia="宋体" w:cs="Times New Roman"/>
          <w:snapToGrid w:val="0"/>
          <w:color w:val="auto"/>
          <w:sz w:val="26"/>
          <w:szCs w:val="26"/>
          <w:lang w:val="en-US" w:eastAsia="zh-CN" w:bidi="ar-SA"/>
        </w:rPr>
      </w:pPr>
      <w:r>
        <w:rPr>
          <w:rFonts w:hint="default" w:ascii="Times New Roman" w:hAnsi="Times New Roman" w:eastAsia="宋体" w:cs="Times New Roman"/>
          <w:snapToGrid w:val="0"/>
          <w:color w:val="auto"/>
          <w:sz w:val="26"/>
          <w:szCs w:val="26"/>
          <w:lang w:val="en-US" w:eastAsia="zh-CN" w:bidi="ar-SA"/>
        </w:rPr>
        <w:t>b.狗脊草丛群系</w:t>
      </w:r>
      <w:r>
        <w:rPr>
          <w:rFonts w:hint="default" w:ascii="Times New Roman" w:hAnsi="Times New Roman" w:eastAsia="宋体" w:cs="Times New Roman"/>
          <w:snapToGrid w:val="0"/>
          <w:color w:val="auto"/>
          <w:sz w:val="26"/>
          <w:szCs w:val="26"/>
        </w:rPr>
        <w:t>（Form</w:t>
      </w:r>
      <w:r>
        <w:rPr>
          <w:rFonts w:hint="default" w:ascii="Times New Roman" w:hAnsi="Times New Roman" w:eastAsia="宋体" w:cs="Times New Roman"/>
          <w:i/>
          <w:iCs/>
          <w:snapToGrid w:val="0"/>
          <w:color w:val="auto"/>
          <w:sz w:val="26"/>
          <w:szCs w:val="26"/>
        </w:rPr>
        <w:t>.Woodwardia japonica</w:t>
      </w:r>
      <w:r>
        <w:rPr>
          <w:rFonts w:hint="default" w:ascii="Times New Roman" w:hAnsi="Times New Roman" w:eastAsia="宋体" w:cs="Times New Roman"/>
          <w:snapToGrid w:val="0"/>
          <w:color w:val="auto"/>
          <w:sz w:val="26"/>
          <w:szCs w:val="26"/>
        </w:rPr>
        <w:t>）</w:t>
      </w:r>
    </w:p>
    <w:p w14:paraId="55EB27D3">
      <w:pPr>
        <w:keepNext w:val="0"/>
        <w:keepLines w:val="0"/>
        <w:pageBreakBefore w:val="0"/>
        <w:widowControl/>
        <w:kinsoku/>
        <w:wordWrap w:val="0"/>
        <w:overflowPunct/>
        <w:topLinePunct w:val="0"/>
        <w:autoSpaceDE/>
        <w:autoSpaceDN/>
        <w:bidi w:val="0"/>
        <w:adjustRightInd w:val="0"/>
        <w:snapToGrid/>
        <w:spacing w:line="480" w:lineRule="exact"/>
        <w:ind w:firstLine="520" w:firstLineChars="200"/>
        <w:textAlignment w:val="baseline"/>
        <w:rPr>
          <w:rFonts w:hint="default" w:ascii="Times New Roman" w:hAnsi="Times New Roman" w:eastAsia="宋体" w:cs="Times New Roman"/>
          <w:snapToGrid w:val="0"/>
          <w:color w:val="auto"/>
          <w:sz w:val="26"/>
          <w:szCs w:val="26"/>
          <w:lang w:val="en-US" w:eastAsia="zh-CN" w:bidi="ar-SA"/>
        </w:rPr>
      </w:pPr>
      <w:r>
        <w:rPr>
          <w:rFonts w:hint="default" w:ascii="Times New Roman" w:hAnsi="Times New Roman" w:eastAsia="宋体" w:cs="Times New Roman"/>
          <w:snapToGrid w:val="0"/>
          <w:color w:val="auto"/>
          <w:sz w:val="26"/>
          <w:szCs w:val="26"/>
          <w:lang w:val="en-US" w:eastAsia="zh-CN" w:bidi="ar-SA"/>
        </w:rPr>
        <w:t>狗脊为耐阴植物，需在郁闭度60%-80%的林下环境生长，强光直射会导致叶片枯黄，喜温暖湿润，适宜生长温度15-25℃，耐寒性较差，偏好酸性土壤（pH4.5-6.0），常见于红壤、黄壤丘陵区，海拔200-1600米的山谷、溪畔及林下以800-1200米最为集中。本评价</w:t>
      </w:r>
      <w:r>
        <w:rPr>
          <w:rFonts w:hint="default" w:ascii="Times New Roman" w:hAnsi="Times New Roman" w:eastAsia="宋体" w:cs="Times New Roman"/>
          <w:snapToGrid w:val="0"/>
          <w:color w:val="auto"/>
          <w:sz w:val="26"/>
          <w:szCs w:val="26"/>
          <w:shd w:val="clear" w:fill="FFFFFF"/>
          <w:lang w:val="en-US" w:eastAsia="zh-CN" w:bidi="ar-SA"/>
        </w:rPr>
        <w:t>区内</w:t>
      </w:r>
      <w:r>
        <w:rPr>
          <w:rFonts w:hint="default" w:ascii="Times New Roman" w:hAnsi="Times New Roman" w:eastAsia="宋体" w:cs="Times New Roman"/>
          <w:snapToGrid w:val="0"/>
          <w:color w:val="auto"/>
          <w:sz w:val="26"/>
          <w:szCs w:val="26"/>
          <w:lang w:val="en-US" w:eastAsia="zh-CN" w:bidi="ar-SA"/>
        </w:rPr>
        <w:t>主要分布于评价范围内针叶林的林下、林缘等区域，群落总盖度在</w:t>
      </w:r>
      <w:r>
        <w:rPr>
          <w:rFonts w:hint="default" w:ascii="Times New Roman" w:hAnsi="Times New Roman" w:eastAsia="宋体" w:cs="Times New Roman"/>
          <w:snapToGrid w:val="0"/>
          <w:color w:val="auto"/>
          <w:sz w:val="26"/>
          <w:szCs w:val="26"/>
          <w:shd w:val="clear" w:fill="FFFFFF"/>
          <w:lang w:val="en-US" w:eastAsia="zh-CN" w:bidi="ar-SA"/>
        </w:rPr>
        <w:t>60~95%</w:t>
      </w:r>
      <w:r>
        <w:rPr>
          <w:rFonts w:hint="default" w:ascii="Times New Roman" w:hAnsi="Times New Roman" w:eastAsia="宋体" w:cs="Times New Roman"/>
          <w:snapToGrid w:val="0"/>
          <w:color w:val="auto"/>
          <w:sz w:val="26"/>
          <w:szCs w:val="26"/>
          <w:lang w:val="en-US" w:eastAsia="zh-CN" w:bidi="ar-SA"/>
        </w:rPr>
        <w:t>之间。该群落结构较简单，主要由狗脊组成，主要伴生种有江南卷柏（</w:t>
      </w:r>
      <w:r>
        <w:rPr>
          <w:rFonts w:hint="default" w:ascii="Times New Roman" w:hAnsi="Times New Roman" w:eastAsia="宋体" w:cs="Times New Roman"/>
          <w:i/>
          <w:iCs/>
          <w:snapToGrid w:val="0"/>
          <w:color w:val="auto"/>
          <w:sz w:val="26"/>
          <w:szCs w:val="26"/>
          <w:lang w:val="en-US" w:eastAsia="zh-CN"/>
        </w:rPr>
        <w:t xml:space="preserve">Selaginella </w:t>
      </w:r>
      <w:r>
        <w:rPr>
          <w:rFonts w:hint="default" w:ascii="Times New Roman" w:hAnsi="Times New Roman" w:eastAsia="宋体" w:cs="Times New Roman"/>
          <w:i/>
          <w:iCs/>
          <w:snapToGrid w:val="0"/>
          <w:color w:val="auto"/>
          <w:sz w:val="26"/>
          <w:szCs w:val="26"/>
          <w:shd w:val="clear" w:fill="FFFFFF"/>
          <w:lang w:val="en-US" w:eastAsia="zh-CN"/>
        </w:rPr>
        <w:t>moellendorffii</w:t>
      </w:r>
      <w:r>
        <w:rPr>
          <w:rFonts w:hint="default" w:ascii="Times New Roman" w:hAnsi="Times New Roman" w:eastAsia="宋体" w:cs="Times New Roman"/>
          <w:snapToGrid w:val="0"/>
          <w:color w:val="auto"/>
          <w:sz w:val="26"/>
          <w:szCs w:val="26"/>
          <w:lang w:val="en-US" w:eastAsia="zh-CN" w:bidi="ar-SA"/>
        </w:rPr>
        <w:t>）、棕叶狗尾草（</w:t>
      </w:r>
      <w:r>
        <w:rPr>
          <w:rFonts w:hint="default" w:ascii="Times New Roman" w:hAnsi="Times New Roman" w:eastAsia="宋体" w:cs="Times New Roman"/>
          <w:i/>
          <w:iCs/>
          <w:snapToGrid w:val="0"/>
          <w:color w:val="auto"/>
          <w:sz w:val="26"/>
          <w:szCs w:val="26"/>
          <w:lang w:val="en-US" w:eastAsia="zh-CN"/>
        </w:rPr>
        <w:t xml:space="preserve">Setaria </w:t>
      </w:r>
      <w:r>
        <w:rPr>
          <w:rFonts w:hint="default" w:ascii="Times New Roman" w:hAnsi="Times New Roman" w:eastAsia="宋体" w:cs="Times New Roman"/>
          <w:i/>
          <w:iCs/>
          <w:snapToGrid w:val="0"/>
          <w:color w:val="auto"/>
          <w:sz w:val="26"/>
          <w:szCs w:val="26"/>
          <w:shd w:val="clear" w:fill="FFFFFF"/>
          <w:lang w:val="en-US" w:eastAsia="zh-CN"/>
        </w:rPr>
        <w:t>palmifolia</w:t>
      </w:r>
      <w:r>
        <w:rPr>
          <w:rFonts w:hint="default" w:ascii="Times New Roman" w:hAnsi="Times New Roman" w:eastAsia="宋体" w:cs="Times New Roman"/>
          <w:snapToGrid w:val="0"/>
          <w:color w:val="auto"/>
          <w:sz w:val="26"/>
          <w:szCs w:val="26"/>
          <w:lang w:val="en-US" w:eastAsia="zh-CN" w:bidi="ar-SA"/>
        </w:rPr>
        <w:t>）、显子草（</w:t>
      </w:r>
      <w:r>
        <w:rPr>
          <w:rFonts w:hint="default" w:ascii="Times New Roman" w:hAnsi="Times New Roman" w:eastAsia="宋体" w:cs="Times New Roman"/>
          <w:i/>
          <w:iCs/>
          <w:snapToGrid w:val="0"/>
          <w:color w:val="auto"/>
          <w:sz w:val="26"/>
          <w:szCs w:val="26"/>
          <w:shd w:val="clear" w:fill="FFFFFF"/>
          <w:lang w:val="en-US" w:eastAsia="zh-CN"/>
        </w:rPr>
        <w:t>Phaenosperma</w:t>
      </w:r>
      <w:r>
        <w:rPr>
          <w:rFonts w:hint="default" w:ascii="Times New Roman" w:hAnsi="Times New Roman" w:eastAsia="宋体" w:cs="Times New Roman"/>
          <w:i/>
          <w:iCs/>
          <w:snapToGrid w:val="0"/>
          <w:color w:val="auto"/>
          <w:sz w:val="26"/>
          <w:szCs w:val="26"/>
          <w:lang w:val="en-US" w:eastAsia="zh-CN"/>
        </w:rPr>
        <w:t xml:space="preserve"> globosum</w:t>
      </w:r>
      <w:r>
        <w:rPr>
          <w:rFonts w:hint="default" w:ascii="Times New Roman" w:hAnsi="Times New Roman" w:eastAsia="宋体" w:cs="Times New Roman"/>
          <w:snapToGrid w:val="0"/>
          <w:color w:val="auto"/>
          <w:sz w:val="26"/>
          <w:szCs w:val="26"/>
          <w:lang w:val="en-US" w:eastAsia="zh-CN" w:bidi="ar-SA"/>
        </w:rPr>
        <w:t>）、荩草（</w:t>
      </w:r>
      <w:r>
        <w:rPr>
          <w:rFonts w:hint="default" w:ascii="Times New Roman" w:hAnsi="Times New Roman" w:eastAsia="宋体" w:cs="Times New Roman"/>
          <w:i/>
          <w:iCs/>
          <w:snapToGrid w:val="0"/>
          <w:color w:val="auto"/>
          <w:sz w:val="26"/>
          <w:szCs w:val="26"/>
          <w:shd w:val="clear" w:fill="FFFFFF"/>
          <w:lang w:val="en-US" w:eastAsia="zh-CN"/>
        </w:rPr>
        <w:t>Arthraxon</w:t>
      </w:r>
      <w:r>
        <w:rPr>
          <w:rFonts w:hint="default" w:ascii="Times New Roman" w:hAnsi="Times New Roman" w:eastAsia="宋体" w:cs="Times New Roman"/>
          <w:i/>
          <w:iCs/>
          <w:snapToGrid w:val="0"/>
          <w:color w:val="auto"/>
          <w:sz w:val="26"/>
          <w:szCs w:val="26"/>
          <w:lang w:val="en-US" w:eastAsia="zh-CN"/>
        </w:rPr>
        <w:t xml:space="preserve"> hispidus</w:t>
      </w:r>
      <w:r>
        <w:rPr>
          <w:rFonts w:hint="default" w:ascii="Times New Roman" w:hAnsi="Times New Roman" w:eastAsia="宋体" w:cs="Times New Roman"/>
          <w:snapToGrid w:val="0"/>
          <w:color w:val="auto"/>
          <w:sz w:val="26"/>
          <w:szCs w:val="26"/>
          <w:lang w:val="en-US" w:eastAsia="zh-CN" w:bidi="ar-SA"/>
        </w:rPr>
        <w:t>）、青绿薹草、毛蕨、地果等。</w:t>
      </w:r>
    </w:p>
    <w:tbl>
      <w:tblPr>
        <w:tblStyle w:val="29"/>
        <w:tblW w:w="4851" w:type="pct"/>
        <w:jc w:val="center"/>
        <w:tblLayout w:type="fixed"/>
        <w:tblCellMar>
          <w:top w:w="0" w:type="dxa"/>
          <w:left w:w="108" w:type="dxa"/>
          <w:bottom w:w="0" w:type="dxa"/>
          <w:right w:w="108" w:type="dxa"/>
        </w:tblCellMar>
      </w:tblPr>
      <w:tblGrid>
        <w:gridCol w:w="4340"/>
        <w:gridCol w:w="4340"/>
      </w:tblGrid>
      <w:tr w14:paraId="397EF360">
        <w:tblPrEx>
          <w:tblCellMar>
            <w:top w:w="0" w:type="dxa"/>
            <w:left w:w="108" w:type="dxa"/>
            <w:bottom w:w="0" w:type="dxa"/>
            <w:right w:w="108" w:type="dxa"/>
          </w:tblCellMar>
        </w:tblPrEx>
        <w:trPr>
          <w:trHeight w:val="20" w:hRule="atLeast"/>
          <w:jc w:val="center"/>
        </w:trPr>
        <w:tc>
          <w:tcPr>
            <w:tcW w:w="4340" w:type="dxa"/>
            <w:noWrap w:val="0"/>
            <w:vAlign w:val="center"/>
          </w:tcPr>
          <w:p w14:paraId="0B05464D">
            <w:pPr>
              <w:autoSpaceDE w:val="0"/>
              <w:autoSpaceDN w:val="0"/>
              <w:adjustRightInd w:val="0"/>
              <w:snapToGrid w:val="0"/>
              <w:jc w:val="center"/>
              <w:textAlignment w:val="baseline"/>
              <w:rPr>
                <w:rFonts w:hint="default" w:ascii="Times New Roman" w:hAnsi="Times New Roman" w:eastAsia="宋体" w:cs="Times New Roman"/>
                <w:snapToGrid w:val="0"/>
                <w:color w:val="auto"/>
                <w:sz w:val="21"/>
                <w:szCs w:val="21"/>
                <w:lang w:eastAsia="zh-CN"/>
              </w:rPr>
            </w:pPr>
            <w:r>
              <w:rPr>
                <w:rFonts w:hint="eastAsia" w:ascii="Times New Roman" w:hAnsi="Times New Roman" w:cs="Times New Roman"/>
                <w:color w:val="auto"/>
                <w:vertAlign w:val="baseline"/>
                <w:lang w:val="en-US" w:eastAsia="zh-CN"/>
              </w:rPr>
              <w:t>***</w:t>
            </w:r>
          </w:p>
        </w:tc>
        <w:tc>
          <w:tcPr>
            <w:tcW w:w="4340" w:type="dxa"/>
            <w:noWrap w:val="0"/>
            <w:vAlign w:val="center"/>
          </w:tcPr>
          <w:p w14:paraId="3824DA0D">
            <w:pPr>
              <w:autoSpaceDE w:val="0"/>
              <w:autoSpaceDN w:val="0"/>
              <w:adjustRightInd w:val="0"/>
              <w:snapToGrid w:val="0"/>
              <w:jc w:val="center"/>
              <w:textAlignment w:val="baseline"/>
              <w:rPr>
                <w:rFonts w:hint="default" w:ascii="Times New Roman" w:hAnsi="Times New Roman" w:eastAsia="宋体" w:cs="Times New Roman"/>
                <w:snapToGrid w:val="0"/>
                <w:color w:val="auto"/>
                <w:sz w:val="21"/>
                <w:szCs w:val="21"/>
                <w:lang w:eastAsia="zh-CN"/>
              </w:rPr>
            </w:pPr>
            <w:r>
              <w:rPr>
                <w:rFonts w:hint="eastAsia" w:ascii="Times New Roman" w:hAnsi="Times New Roman" w:cs="Times New Roman"/>
                <w:color w:val="auto"/>
                <w:vertAlign w:val="baseline"/>
                <w:lang w:val="en-US" w:eastAsia="zh-CN"/>
              </w:rPr>
              <w:t>***</w:t>
            </w:r>
          </w:p>
        </w:tc>
      </w:tr>
      <w:tr w14:paraId="4E7056C5">
        <w:tblPrEx>
          <w:tblCellMar>
            <w:top w:w="0" w:type="dxa"/>
            <w:left w:w="108" w:type="dxa"/>
            <w:bottom w:w="0" w:type="dxa"/>
            <w:right w:w="108" w:type="dxa"/>
          </w:tblCellMar>
        </w:tblPrEx>
        <w:trPr>
          <w:trHeight w:val="20" w:hRule="atLeast"/>
          <w:jc w:val="center"/>
        </w:trPr>
        <w:tc>
          <w:tcPr>
            <w:tcW w:w="8680" w:type="dxa"/>
            <w:gridSpan w:val="2"/>
            <w:noWrap w:val="0"/>
            <w:vAlign w:val="center"/>
          </w:tcPr>
          <w:p w14:paraId="5C5EAEEF">
            <w:pPr>
              <w:autoSpaceDE w:val="0"/>
              <w:autoSpaceDN w:val="0"/>
              <w:adjustRightInd w:val="0"/>
              <w:snapToGrid w:val="0"/>
              <w:jc w:val="center"/>
              <w:textAlignment w:val="baseline"/>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管线沿线</w:t>
            </w:r>
            <w:r>
              <w:rPr>
                <w:rFonts w:hint="default" w:ascii="Times New Roman" w:hAnsi="Times New Roman" w:eastAsia="宋体" w:cs="Times New Roman"/>
                <w:snapToGrid w:val="0"/>
                <w:color w:val="auto"/>
                <w:sz w:val="21"/>
                <w:szCs w:val="21"/>
                <w:lang w:val="en-US" w:eastAsia="zh-CN"/>
              </w:rPr>
              <w:t>狗脊</w:t>
            </w:r>
            <w:r>
              <w:rPr>
                <w:rFonts w:hint="default" w:ascii="Times New Roman" w:hAnsi="Times New Roman" w:eastAsia="宋体" w:cs="Times New Roman"/>
                <w:snapToGrid w:val="0"/>
                <w:color w:val="auto"/>
                <w:sz w:val="21"/>
                <w:szCs w:val="21"/>
              </w:rPr>
              <w:t>草丛分布情况现场图</w:t>
            </w:r>
          </w:p>
        </w:tc>
      </w:tr>
    </w:tbl>
    <w:p w14:paraId="3F036BE7">
      <w:pPr>
        <w:widowControl w:val="0"/>
        <w:adjustRightInd w:val="0"/>
        <w:jc w:val="both"/>
        <w:textAlignment w:val="baseline"/>
        <w:rPr>
          <w:rFonts w:hint="default" w:ascii="Times New Roman" w:hAnsi="Times New Roman" w:eastAsia="宋体" w:cs="Times New Roman"/>
          <w:snapToGrid w:val="0"/>
          <w:color w:val="auto"/>
          <w:kern w:val="2"/>
          <w:sz w:val="21"/>
          <w:szCs w:val="21"/>
          <w:lang w:val="en-US" w:eastAsia="zh-CN"/>
        </w:rPr>
      </w:pPr>
    </w:p>
    <w:p w14:paraId="7A8E1DA7">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w:t>
      </w:r>
      <w:r>
        <w:rPr>
          <w:rFonts w:hint="default" w:ascii="Times New Roman" w:hAnsi="Times New Roman" w:eastAsia="宋体" w:cs="Times New Roman"/>
          <w:snapToGrid w:val="0"/>
          <w:color w:val="auto"/>
          <w:sz w:val="26"/>
          <w:szCs w:val="26"/>
          <w:lang w:val="en-US" w:eastAsia="zh-CN" w:bidi="ar-SA"/>
        </w:rPr>
        <w:t>芒草丛群系</w:t>
      </w:r>
      <w:r>
        <w:rPr>
          <w:rFonts w:hint="default" w:ascii="Times New Roman" w:hAnsi="Times New Roman" w:eastAsia="宋体" w:cs="Times New Roman"/>
          <w:snapToGrid w:val="0"/>
          <w:color w:val="auto"/>
          <w:sz w:val="26"/>
          <w:szCs w:val="26"/>
        </w:rPr>
        <w:t>（Form</w:t>
      </w:r>
      <w:r>
        <w:rPr>
          <w:rFonts w:hint="default" w:ascii="Times New Roman" w:hAnsi="Times New Roman" w:eastAsia="宋体" w:cs="Times New Roman"/>
          <w:i/>
          <w:iCs/>
          <w:snapToGrid w:val="0"/>
          <w:color w:val="auto"/>
          <w:sz w:val="26"/>
          <w:szCs w:val="26"/>
        </w:rPr>
        <w:t>.Miscanthus sinensis</w:t>
      </w:r>
      <w:r>
        <w:rPr>
          <w:rFonts w:hint="default" w:ascii="Times New Roman" w:hAnsi="Times New Roman" w:eastAsia="宋体" w:cs="Times New Roman"/>
          <w:snapToGrid w:val="0"/>
          <w:color w:val="auto"/>
          <w:sz w:val="26"/>
          <w:szCs w:val="26"/>
        </w:rPr>
        <w:t>）</w:t>
      </w:r>
    </w:p>
    <w:p w14:paraId="36BA102C">
      <w:pPr>
        <w:keepNext w:val="0"/>
        <w:keepLines w:val="0"/>
        <w:pageBreakBefore w:val="0"/>
        <w:widowControl/>
        <w:kinsoku/>
        <w:wordWrap w:val="0"/>
        <w:overflowPunct/>
        <w:topLinePunct w:val="0"/>
        <w:autoSpaceDE/>
        <w:autoSpaceDN/>
        <w:bidi w:val="0"/>
        <w:adjustRightInd w:val="0"/>
        <w:snapToGrid/>
        <w:spacing w:line="480" w:lineRule="exact"/>
        <w:ind w:firstLine="52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snapToGrid w:val="0"/>
          <w:color w:val="auto"/>
          <w:sz w:val="26"/>
          <w:szCs w:val="26"/>
          <w:lang w:val="en-US" w:eastAsia="zh-CN" w:bidi="ar-SA"/>
        </w:rPr>
        <w:t>禾本科芒属多年生苇状草本，其特性耐旱、耐寒、耐贫瘠、耐盐碱，地理分布从华南丘陵到东北平原均有野生种群，常见于山地、荒坡、草甸及河岸。本评价</w:t>
      </w:r>
      <w:r>
        <w:rPr>
          <w:rFonts w:hint="default" w:ascii="Times New Roman" w:hAnsi="Times New Roman" w:eastAsia="宋体" w:cs="Times New Roman"/>
          <w:snapToGrid w:val="0"/>
          <w:color w:val="auto"/>
          <w:sz w:val="26"/>
          <w:szCs w:val="26"/>
          <w:shd w:val="clear" w:fill="FFFFFF"/>
          <w:lang w:val="en-US" w:eastAsia="zh-CN" w:bidi="ar-SA"/>
        </w:rPr>
        <w:t>区内</w:t>
      </w:r>
      <w:r>
        <w:rPr>
          <w:rFonts w:hint="default" w:ascii="Times New Roman" w:hAnsi="Times New Roman" w:eastAsia="宋体" w:cs="Times New Roman"/>
          <w:snapToGrid w:val="0"/>
          <w:color w:val="auto"/>
          <w:sz w:val="26"/>
          <w:szCs w:val="26"/>
          <w:lang w:val="en-US" w:eastAsia="zh-CN" w:bidi="ar-SA"/>
        </w:rPr>
        <w:t>主要分布于评价范围内草地、荒地、路边等区域，群落总盖度在75~90%之间。该群落结构较简单，主要由芒组成，主要伴生种有冷水花（</w:t>
      </w:r>
      <w:r>
        <w:rPr>
          <w:rFonts w:hint="default" w:ascii="Times New Roman" w:hAnsi="Times New Roman" w:eastAsia="宋体" w:cs="Times New Roman"/>
          <w:i/>
          <w:iCs/>
          <w:snapToGrid w:val="0"/>
          <w:color w:val="auto"/>
          <w:sz w:val="26"/>
          <w:szCs w:val="26"/>
          <w:shd w:val="clear" w:fill="FFFFFF"/>
          <w:lang w:val="en-US" w:eastAsia="zh-CN" w:bidi="ar-SA"/>
        </w:rPr>
        <w:t>Pilea</w:t>
      </w:r>
      <w:r>
        <w:rPr>
          <w:rFonts w:hint="default" w:ascii="Times New Roman" w:hAnsi="Times New Roman" w:eastAsia="宋体" w:cs="Times New Roman"/>
          <w:i/>
          <w:iCs/>
          <w:snapToGrid w:val="0"/>
          <w:color w:val="auto"/>
          <w:sz w:val="26"/>
          <w:szCs w:val="26"/>
          <w:lang w:val="en-US" w:eastAsia="zh-CN" w:bidi="ar-SA"/>
        </w:rPr>
        <w:t xml:space="preserve"> </w:t>
      </w:r>
      <w:r>
        <w:rPr>
          <w:rFonts w:hint="default" w:ascii="Times New Roman" w:hAnsi="Times New Roman" w:eastAsia="宋体" w:cs="Times New Roman"/>
          <w:i/>
          <w:iCs/>
          <w:snapToGrid w:val="0"/>
          <w:color w:val="auto"/>
          <w:sz w:val="26"/>
          <w:szCs w:val="26"/>
          <w:shd w:val="clear" w:fill="FFFFFF"/>
          <w:lang w:val="en-US" w:eastAsia="zh-CN" w:bidi="ar-SA"/>
        </w:rPr>
        <w:t>notata</w:t>
      </w:r>
      <w:r>
        <w:rPr>
          <w:rFonts w:hint="default" w:ascii="Times New Roman" w:hAnsi="Times New Roman" w:eastAsia="宋体" w:cs="Times New Roman"/>
          <w:snapToGrid w:val="0"/>
          <w:color w:val="auto"/>
          <w:sz w:val="26"/>
          <w:szCs w:val="26"/>
          <w:lang w:val="en-US" w:eastAsia="zh-CN" w:bidi="ar-SA"/>
        </w:rPr>
        <w:t>）、钻叶紫菀（</w:t>
      </w:r>
      <w:r>
        <w:rPr>
          <w:rFonts w:hint="default" w:ascii="Times New Roman" w:hAnsi="Times New Roman" w:eastAsia="宋体" w:cs="Times New Roman"/>
          <w:i/>
          <w:iCs/>
          <w:snapToGrid w:val="0"/>
          <w:color w:val="auto"/>
          <w:sz w:val="26"/>
          <w:szCs w:val="26"/>
          <w:shd w:val="clear" w:fill="FFFFFF"/>
          <w:lang w:val="en-US" w:eastAsia="zh-CN" w:bidi="ar-SA"/>
        </w:rPr>
        <w:t>Symphyotrichum</w:t>
      </w:r>
      <w:r>
        <w:rPr>
          <w:rFonts w:hint="default" w:ascii="Times New Roman" w:hAnsi="Times New Roman" w:eastAsia="宋体" w:cs="Times New Roman"/>
          <w:i/>
          <w:iCs/>
          <w:snapToGrid w:val="0"/>
          <w:color w:val="auto"/>
          <w:sz w:val="26"/>
          <w:szCs w:val="26"/>
          <w:lang w:val="en-US" w:eastAsia="zh-CN" w:bidi="ar-SA"/>
        </w:rPr>
        <w:t xml:space="preserve"> </w:t>
      </w:r>
      <w:r>
        <w:rPr>
          <w:rFonts w:hint="default" w:ascii="Times New Roman" w:hAnsi="Times New Roman" w:eastAsia="宋体" w:cs="Times New Roman"/>
          <w:i/>
          <w:iCs/>
          <w:snapToGrid w:val="0"/>
          <w:color w:val="auto"/>
          <w:sz w:val="26"/>
          <w:szCs w:val="26"/>
          <w:shd w:val="clear" w:fill="FFFFFF"/>
          <w:lang w:val="en-US" w:eastAsia="zh-CN" w:bidi="ar-SA"/>
        </w:rPr>
        <w:t>subulatum</w:t>
      </w:r>
      <w:r>
        <w:rPr>
          <w:rFonts w:hint="default" w:ascii="Times New Roman" w:hAnsi="Times New Roman" w:eastAsia="宋体" w:cs="Times New Roman"/>
          <w:snapToGrid w:val="0"/>
          <w:color w:val="auto"/>
          <w:sz w:val="26"/>
          <w:szCs w:val="26"/>
          <w:lang w:val="en-US" w:eastAsia="zh-CN" w:bidi="ar-SA"/>
        </w:rPr>
        <w:t>）、野茼蒿（</w:t>
      </w:r>
      <w:r>
        <w:rPr>
          <w:rFonts w:hint="default" w:ascii="Times New Roman" w:hAnsi="Times New Roman" w:eastAsia="宋体" w:cs="Times New Roman"/>
          <w:i/>
          <w:iCs/>
          <w:snapToGrid w:val="0"/>
          <w:color w:val="auto"/>
          <w:sz w:val="26"/>
          <w:szCs w:val="26"/>
          <w:shd w:val="clear" w:fill="FFFFFF"/>
          <w:lang w:val="en-US" w:eastAsia="zh-CN" w:bidi="ar-SA"/>
        </w:rPr>
        <w:t>Crassocephalum</w:t>
      </w:r>
      <w:r>
        <w:rPr>
          <w:rFonts w:hint="default" w:ascii="Times New Roman" w:hAnsi="Times New Roman" w:eastAsia="宋体" w:cs="Times New Roman"/>
          <w:i/>
          <w:iCs/>
          <w:snapToGrid w:val="0"/>
          <w:color w:val="auto"/>
          <w:sz w:val="26"/>
          <w:szCs w:val="26"/>
          <w:lang w:val="en-US" w:eastAsia="zh-CN" w:bidi="ar-SA"/>
        </w:rPr>
        <w:t xml:space="preserve"> </w:t>
      </w:r>
      <w:r>
        <w:rPr>
          <w:rFonts w:hint="default" w:ascii="Times New Roman" w:hAnsi="Times New Roman" w:eastAsia="宋体" w:cs="Times New Roman"/>
          <w:i/>
          <w:iCs/>
          <w:snapToGrid w:val="0"/>
          <w:color w:val="auto"/>
          <w:sz w:val="26"/>
          <w:szCs w:val="26"/>
          <w:shd w:val="clear" w:fill="FFFFFF"/>
          <w:lang w:val="en-US" w:eastAsia="zh-CN" w:bidi="ar-SA"/>
        </w:rPr>
        <w:t>crepidioides</w:t>
      </w:r>
      <w:r>
        <w:rPr>
          <w:rFonts w:hint="default" w:ascii="Times New Roman" w:hAnsi="Times New Roman" w:eastAsia="宋体" w:cs="Times New Roman"/>
          <w:snapToGrid w:val="0"/>
          <w:color w:val="auto"/>
          <w:sz w:val="26"/>
          <w:szCs w:val="26"/>
          <w:lang w:val="en-US" w:eastAsia="zh-CN" w:bidi="ar-SA"/>
        </w:rPr>
        <w:t>）、三裂蛇葡萄（</w:t>
      </w:r>
      <w:r>
        <w:rPr>
          <w:rFonts w:hint="default" w:ascii="Times New Roman" w:hAnsi="Times New Roman" w:eastAsia="宋体" w:cs="Times New Roman"/>
          <w:i/>
          <w:iCs/>
          <w:snapToGrid w:val="0"/>
          <w:color w:val="auto"/>
          <w:sz w:val="26"/>
          <w:szCs w:val="26"/>
          <w:lang w:val="en-US" w:eastAsia="zh-CN" w:bidi="ar-SA"/>
        </w:rPr>
        <w:t xml:space="preserve">Ampelopsis </w:t>
      </w:r>
      <w:r>
        <w:rPr>
          <w:rFonts w:hint="default" w:ascii="Times New Roman" w:hAnsi="Times New Roman" w:eastAsia="宋体" w:cs="Times New Roman"/>
          <w:i/>
          <w:iCs/>
          <w:snapToGrid w:val="0"/>
          <w:color w:val="auto"/>
          <w:sz w:val="26"/>
          <w:szCs w:val="26"/>
          <w:shd w:val="clear" w:fill="FFFFFF"/>
          <w:lang w:val="en-US" w:eastAsia="zh-CN" w:bidi="ar-SA"/>
        </w:rPr>
        <w:t>delavayana</w:t>
      </w:r>
      <w:r>
        <w:rPr>
          <w:rFonts w:hint="default" w:ascii="Times New Roman" w:hAnsi="Times New Roman" w:eastAsia="宋体" w:cs="Times New Roman"/>
          <w:snapToGrid w:val="0"/>
          <w:color w:val="auto"/>
          <w:sz w:val="26"/>
          <w:szCs w:val="26"/>
          <w:lang w:val="en-US" w:eastAsia="zh-CN" w:bidi="ar-SA"/>
        </w:rPr>
        <w:t>）、节节草（</w:t>
      </w:r>
      <w:r>
        <w:rPr>
          <w:rFonts w:hint="default" w:ascii="Times New Roman" w:hAnsi="Times New Roman" w:eastAsia="宋体" w:cs="Times New Roman"/>
          <w:i/>
          <w:iCs/>
          <w:snapToGrid w:val="0"/>
          <w:color w:val="auto"/>
          <w:sz w:val="26"/>
          <w:szCs w:val="26"/>
          <w:lang w:val="en-US" w:eastAsia="zh-CN" w:bidi="ar-SA"/>
        </w:rPr>
        <w:t xml:space="preserve">Equisetum </w:t>
      </w:r>
      <w:r>
        <w:rPr>
          <w:rFonts w:hint="default" w:ascii="Times New Roman" w:hAnsi="Times New Roman" w:eastAsia="宋体" w:cs="Times New Roman"/>
          <w:i/>
          <w:iCs/>
          <w:snapToGrid w:val="0"/>
          <w:color w:val="auto"/>
          <w:sz w:val="26"/>
          <w:szCs w:val="26"/>
          <w:shd w:val="clear" w:fill="FFFFFF"/>
          <w:lang w:val="en-US" w:eastAsia="zh-CN" w:bidi="ar-SA"/>
        </w:rPr>
        <w:t>ramosissimum</w:t>
      </w:r>
      <w:r>
        <w:rPr>
          <w:rFonts w:hint="default" w:ascii="Times New Roman" w:hAnsi="Times New Roman" w:eastAsia="宋体" w:cs="Times New Roman"/>
          <w:snapToGrid w:val="0"/>
          <w:color w:val="auto"/>
          <w:sz w:val="26"/>
          <w:szCs w:val="26"/>
          <w:lang w:val="en-US" w:eastAsia="zh-CN" w:bidi="ar-SA"/>
        </w:rPr>
        <w:t>）、葎草、狗尾草、芒萁等。</w:t>
      </w:r>
    </w:p>
    <w:tbl>
      <w:tblPr>
        <w:tblStyle w:val="29"/>
        <w:tblW w:w="4851" w:type="pct"/>
        <w:jc w:val="center"/>
        <w:tblLayout w:type="fixed"/>
        <w:tblCellMar>
          <w:top w:w="0" w:type="dxa"/>
          <w:left w:w="108" w:type="dxa"/>
          <w:bottom w:w="0" w:type="dxa"/>
          <w:right w:w="108" w:type="dxa"/>
        </w:tblCellMar>
      </w:tblPr>
      <w:tblGrid>
        <w:gridCol w:w="4340"/>
        <w:gridCol w:w="4340"/>
      </w:tblGrid>
      <w:tr w14:paraId="7DD01A27">
        <w:tblPrEx>
          <w:tblCellMar>
            <w:top w:w="0" w:type="dxa"/>
            <w:left w:w="108" w:type="dxa"/>
            <w:bottom w:w="0" w:type="dxa"/>
            <w:right w:w="108" w:type="dxa"/>
          </w:tblCellMar>
        </w:tblPrEx>
        <w:trPr>
          <w:trHeight w:val="20" w:hRule="atLeast"/>
          <w:jc w:val="center"/>
        </w:trPr>
        <w:tc>
          <w:tcPr>
            <w:tcW w:w="4340" w:type="dxa"/>
            <w:noWrap w:val="0"/>
            <w:vAlign w:val="center"/>
          </w:tcPr>
          <w:p w14:paraId="5942FF55">
            <w:pPr>
              <w:autoSpaceDE w:val="0"/>
              <w:autoSpaceDN w:val="0"/>
              <w:adjustRightInd w:val="0"/>
              <w:snapToGrid w:val="0"/>
              <w:jc w:val="center"/>
              <w:textAlignment w:val="baseline"/>
              <w:rPr>
                <w:rFonts w:hint="default" w:ascii="Times New Roman" w:hAnsi="Times New Roman" w:eastAsia="宋体" w:cs="Times New Roman"/>
                <w:snapToGrid w:val="0"/>
                <w:color w:val="auto"/>
                <w:sz w:val="21"/>
                <w:szCs w:val="21"/>
                <w:lang w:eastAsia="zh-CN"/>
              </w:rPr>
            </w:pPr>
            <w:r>
              <w:rPr>
                <w:rFonts w:hint="eastAsia" w:ascii="Times New Roman" w:hAnsi="Times New Roman" w:cs="Times New Roman"/>
                <w:color w:val="auto"/>
                <w:vertAlign w:val="baseline"/>
                <w:lang w:val="en-US" w:eastAsia="zh-CN"/>
              </w:rPr>
              <w:t>***</w:t>
            </w:r>
          </w:p>
        </w:tc>
        <w:tc>
          <w:tcPr>
            <w:tcW w:w="4340" w:type="dxa"/>
            <w:noWrap w:val="0"/>
            <w:vAlign w:val="center"/>
          </w:tcPr>
          <w:p w14:paraId="5ABD5FDE">
            <w:pPr>
              <w:autoSpaceDE w:val="0"/>
              <w:autoSpaceDN w:val="0"/>
              <w:adjustRightInd w:val="0"/>
              <w:snapToGrid w:val="0"/>
              <w:jc w:val="center"/>
              <w:textAlignment w:val="baseline"/>
              <w:rPr>
                <w:rFonts w:hint="default" w:ascii="Times New Roman" w:hAnsi="Times New Roman" w:eastAsia="宋体" w:cs="Times New Roman"/>
                <w:snapToGrid w:val="0"/>
                <w:color w:val="auto"/>
                <w:sz w:val="21"/>
                <w:szCs w:val="21"/>
                <w:lang w:eastAsia="zh-CN"/>
              </w:rPr>
            </w:pPr>
            <w:r>
              <w:rPr>
                <w:rFonts w:hint="eastAsia" w:ascii="Times New Roman" w:hAnsi="Times New Roman" w:cs="Times New Roman"/>
                <w:color w:val="auto"/>
                <w:vertAlign w:val="baseline"/>
                <w:lang w:val="en-US" w:eastAsia="zh-CN"/>
              </w:rPr>
              <w:t>***</w:t>
            </w:r>
          </w:p>
        </w:tc>
      </w:tr>
      <w:tr w14:paraId="7C6AC138">
        <w:tblPrEx>
          <w:tblCellMar>
            <w:top w:w="0" w:type="dxa"/>
            <w:left w:w="108" w:type="dxa"/>
            <w:bottom w:w="0" w:type="dxa"/>
            <w:right w:w="108" w:type="dxa"/>
          </w:tblCellMar>
        </w:tblPrEx>
        <w:trPr>
          <w:trHeight w:val="20" w:hRule="atLeast"/>
          <w:jc w:val="center"/>
        </w:trPr>
        <w:tc>
          <w:tcPr>
            <w:tcW w:w="8680" w:type="dxa"/>
            <w:gridSpan w:val="2"/>
            <w:noWrap w:val="0"/>
            <w:vAlign w:val="center"/>
          </w:tcPr>
          <w:p w14:paraId="181A9BFA">
            <w:pPr>
              <w:autoSpaceDE w:val="0"/>
              <w:autoSpaceDN w:val="0"/>
              <w:adjustRightInd w:val="0"/>
              <w:snapToGrid w:val="0"/>
              <w:jc w:val="center"/>
              <w:textAlignment w:val="baseline"/>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管线沿线</w:t>
            </w:r>
            <w:r>
              <w:rPr>
                <w:rFonts w:hint="default" w:ascii="Times New Roman" w:hAnsi="Times New Roman" w:eastAsia="宋体" w:cs="Times New Roman"/>
                <w:snapToGrid w:val="0"/>
                <w:color w:val="auto"/>
                <w:sz w:val="21"/>
                <w:szCs w:val="21"/>
                <w:lang w:val="en-US" w:eastAsia="zh-CN"/>
              </w:rPr>
              <w:t>芒</w:t>
            </w:r>
            <w:r>
              <w:rPr>
                <w:rFonts w:hint="default" w:ascii="Times New Roman" w:hAnsi="Times New Roman" w:eastAsia="宋体" w:cs="Times New Roman"/>
                <w:snapToGrid w:val="0"/>
                <w:color w:val="auto"/>
                <w:sz w:val="21"/>
                <w:szCs w:val="21"/>
              </w:rPr>
              <w:t>草丛分布情况现场图</w:t>
            </w:r>
          </w:p>
        </w:tc>
      </w:tr>
      <w:bookmarkEnd w:id="297"/>
    </w:tbl>
    <w:p w14:paraId="20418543">
      <w:pPr>
        <w:adjustRightInd w:val="0"/>
        <w:snapToGrid w:val="0"/>
        <w:spacing w:line="460" w:lineRule="exact"/>
        <w:ind w:firstLine="520" w:firstLineChars="200"/>
        <w:rPr>
          <w:rFonts w:hint="default" w:ascii="Times New Roman" w:hAnsi="Times New Roman" w:eastAsia="宋体" w:cs="Times New Roman"/>
          <w:snapToGrid w:val="0"/>
          <w:color w:val="auto"/>
          <w:kern w:val="0"/>
          <w:sz w:val="26"/>
          <w:szCs w:val="26"/>
          <w:highlight w:val="none"/>
          <w:lang w:val="en-US" w:eastAsia="zh-CN"/>
        </w:rPr>
      </w:pPr>
      <w:r>
        <w:rPr>
          <w:rFonts w:hint="default" w:ascii="Times New Roman" w:hAnsi="Times New Roman" w:eastAsia="宋体" w:cs="Times New Roman"/>
          <w:snapToGrid w:val="0"/>
          <w:color w:val="auto"/>
          <w:kern w:val="0"/>
          <w:sz w:val="26"/>
          <w:szCs w:val="26"/>
          <w:highlight w:val="none"/>
          <w:lang w:val="en-US" w:eastAsia="zh-CN"/>
        </w:rPr>
        <w:t>e.农业植被</w:t>
      </w:r>
    </w:p>
    <w:p w14:paraId="12201929">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snapToGrid w:val="0"/>
          <w:color w:val="auto"/>
          <w:kern w:val="0"/>
          <w:sz w:val="26"/>
          <w:szCs w:val="26"/>
          <w:highlight w:val="none"/>
        </w:rPr>
        <w:t>此外，评价范围内的土地垦殖度较高，栽培植被主要以水稻</w:t>
      </w:r>
      <w:r>
        <w:rPr>
          <w:rFonts w:hint="default" w:ascii="Times New Roman" w:hAnsi="Times New Roman" w:eastAsia="宋体" w:cs="Times New Roman"/>
          <w:snapToGrid w:val="0"/>
          <w:color w:val="auto"/>
          <w:kern w:val="0"/>
          <w:sz w:val="26"/>
          <w:szCs w:val="26"/>
          <w:highlight w:val="none"/>
          <w:lang w:eastAsia="zh-CN"/>
        </w:rPr>
        <w:t>（</w:t>
      </w:r>
      <w:r>
        <w:rPr>
          <w:rFonts w:hint="default" w:ascii="Times New Roman" w:hAnsi="Times New Roman" w:eastAsia="宋体" w:cs="Times New Roman"/>
          <w:i/>
          <w:iCs/>
          <w:snapToGrid w:val="0"/>
          <w:color w:val="auto"/>
          <w:kern w:val="0"/>
          <w:sz w:val="26"/>
          <w:szCs w:val="26"/>
          <w:highlight w:val="none"/>
          <w:lang w:eastAsia="zh-CN"/>
        </w:rPr>
        <w:t>Oryza sativa</w:t>
      </w:r>
      <w:r>
        <w:rPr>
          <w:rFonts w:hint="default" w:ascii="Times New Roman" w:hAnsi="Times New Roman" w:eastAsia="宋体" w:cs="Times New Roman"/>
          <w:snapToGrid w:val="0"/>
          <w:color w:val="auto"/>
          <w:kern w:val="0"/>
          <w:sz w:val="26"/>
          <w:szCs w:val="26"/>
          <w:highlight w:val="none"/>
          <w:lang w:eastAsia="zh-CN"/>
        </w:rPr>
        <w:t>）</w:t>
      </w:r>
      <w:r>
        <w:rPr>
          <w:rFonts w:hint="default" w:ascii="Times New Roman" w:hAnsi="Times New Roman" w:eastAsia="宋体" w:cs="Times New Roman"/>
          <w:snapToGrid w:val="0"/>
          <w:color w:val="auto"/>
          <w:kern w:val="0"/>
          <w:sz w:val="26"/>
          <w:szCs w:val="26"/>
          <w:highlight w:val="none"/>
        </w:rPr>
        <w:t>、</w:t>
      </w:r>
      <w:r>
        <w:rPr>
          <w:rFonts w:hint="default" w:ascii="Times New Roman" w:hAnsi="Times New Roman" w:eastAsia="宋体" w:cs="Times New Roman"/>
          <w:snapToGrid w:val="0"/>
          <w:color w:val="auto"/>
          <w:kern w:val="0"/>
          <w:sz w:val="26"/>
          <w:szCs w:val="26"/>
          <w:highlight w:val="none"/>
          <w:lang w:val="en-US" w:eastAsia="zh-CN"/>
        </w:rPr>
        <w:t>玉米（</w:t>
      </w:r>
      <w:r>
        <w:rPr>
          <w:rFonts w:hint="default" w:ascii="Times New Roman" w:hAnsi="Times New Roman" w:eastAsia="宋体" w:cs="Times New Roman"/>
          <w:i/>
          <w:iCs/>
          <w:snapToGrid w:val="0"/>
          <w:color w:val="auto"/>
          <w:kern w:val="0"/>
          <w:sz w:val="26"/>
          <w:szCs w:val="26"/>
          <w:highlight w:val="none"/>
          <w:lang w:val="en-US" w:eastAsia="zh-CN"/>
        </w:rPr>
        <w:t>Zea mays</w:t>
      </w:r>
      <w:r>
        <w:rPr>
          <w:rFonts w:hint="default" w:ascii="Times New Roman" w:hAnsi="Times New Roman" w:eastAsia="宋体" w:cs="Times New Roman"/>
          <w:snapToGrid w:val="0"/>
          <w:color w:val="auto"/>
          <w:kern w:val="0"/>
          <w:sz w:val="26"/>
          <w:szCs w:val="26"/>
          <w:highlight w:val="none"/>
          <w:lang w:val="en-US" w:eastAsia="zh-CN"/>
        </w:rPr>
        <w:t>）、</w:t>
      </w:r>
      <w:r>
        <w:rPr>
          <w:rFonts w:hint="default" w:ascii="Times New Roman" w:hAnsi="Times New Roman" w:eastAsia="宋体" w:cs="Times New Roman"/>
          <w:snapToGrid w:val="0"/>
          <w:color w:val="auto"/>
          <w:kern w:val="0"/>
          <w:sz w:val="26"/>
          <w:szCs w:val="26"/>
          <w:highlight w:val="none"/>
        </w:rPr>
        <w:t>番薯</w:t>
      </w:r>
      <w:r>
        <w:rPr>
          <w:rFonts w:hint="default" w:ascii="Times New Roman" w:hAnsi="Times New Roman" w:eastAsia="宋体" w:cs="Times New Roman"/>
          <w:snapToGrid w:val="0"/>
          <w:color w:val="auto"/>
          <w:kern w:val="0"/>
          <w:sz w:val="26"/>
          <w:szCs w:val="26"/>
          <w:highlight w:val="none"/>
          <w:lang w:eastAsia="zh-CN"/>
        </w:rPr>
        <w:t>（</w:t>
      </w:r>
      <w:r>
        <w:rPr>
          <w:rFonts w:hint="default" w:ascii="Times New Roman" w:hAnsi="Times New Roman" w:eastAsia="宋体" w:cs="Times New Roman"/>
          <w:i/>
          <w:iCs/>
          <w:snapToGrid w:val="0"/>
          <w:color w:val="auto"/>
          <w:kern w:val="0"/>
          <w:sz w:val="26"/>
          <w:szCs w:val="26"/>
          <w:highlight w:val="none"/>
          <w:lang w:eastAsia="zh-CN"/>
        </w:rPr>
        <w:t>Ipomoea batatas</w:t>
      </w:r>
      <w:r>
        <w:rPr>
          <w:rFonts w:hint="default" w:ascii="Times New Roman" w:hAnsi="Times New Roman" w:eastAsia="宋体" w:cs="Times New Roman"/>
          <w:snapToGrid w:val="0"/>
          <w:color w:val="auto"/>
          <w:kern w:val="0"/>
          <w:sz w:val="26"/>
          <w:szCs w:val="26"/>
          <w:highlight w:val="none"/>
          <w:lang w:eastAsia="zh-CN"/>
        </w:rPr>
        <w:t>）、</w:t>
      </w:r>
      <w:r>
        <w:rPr>
          <w:rFonts w:hint="default" w:ascii="Times New Roman" w:hAnsi="Times New Roman" w:eastAsia="宋体" w:cs="Times New Roman"/>
          <w:snapToGrid w:val="0"/>
          <w:color w:val="auto"/>
          <w:kern w:val="0"/>
          <w:sz w:val="26"/>
          <w:szCs w:val="26"/>
          <w:highlight w:val="none"/>
          <w:lang w:val="en-US" w:eastAsia="zh-CN"/>
        </w:rPr>
        <w:t>大豆（</w:t>
      </w:r>
      <w:r>
        <w:rPr>
          <w:rFonts w:hint="default" w:ascii="Times New Roman" w:hAnsi="Times New Roman" w:eastAsia="宋体" w:cs="Times New Roman"/>
          <w:i/>
          <w:iCs/>
          <w:snapToGrid w:val="0"/>
          <w:color w:val="auto"/>
          <w:kern w:val="0"/>
          <w:sz w:val="26"/>
          <w:szCs w:val="26"/>
          <w:highlight w:val="none"/>
          <w:lang w:val="en-US" w:eastAsia="zh-CN"/>
        </w:rPr>
        <w:t>Glycine max</w:t>
      </w:r>
      <w:r>
        <w:rPr>
          <w:rFonts w:hint="default" w:ascii="Times New Roman" w:hAnsi="Times New Roman" w:eastAsia="宋体" w:cs="Times New Roman"/>
          <w:snapToGrid w:val="0"/>
          <w:color w:val="auto"/>
          <w:kern w:val="0"/>
          <w:sz w:val="26"/>
          <w:szCs w:val="26"/>
          <w:highlight w:val="none"/>
          <w:lang w:val="en-US" w:eastAsia="zh-CN"/>
        </w:rPr>
        <w:t>）及辣椒、萝卜、甘蓝等应季蔬菜</w:t>
      </w:r>
      <w:r>
        <w:rPr>
          <w:rFonts w:hint="default" w:ascii="Times New Roman" w:hAnsi="Times New Roman" w:eastAsia="宋体" w:cs="Times New Roman"/>
          <w:snapToGrid w:val="0"/>
          <w:color w:val="auto"/>
          <w:kern w:val="0"/>
          <w:sz w:val="26"/>
          <w:szCs w:val="26"/>
          <w:highlight w:val="none"/>
        </w:rPr>
        <w:t>为主</w:t>
      </w:r>
      <w:r>
        <w:rPr>
          <w:rFonts w:hint="default" w:ascii="Times New Roman" w:hAnsi="Times New Roman" w:eastAsia="宋体" w:cs="Times New Roman"/>
          <w:bCs/>
          <w:color w:val="auto"/>
          <w:sz w:val="26"/>
          <w:szCs w:val="26"/>
        </w:rPr>
        <w:t>。</w:t>
      </w:r>
    </w:p>
    <w:tbl>
      <w:tblPr>
        <w:tblStyle w:val="29"/>
        <w:tblW w:w="4851" w:type="pct"/>
        <w:jc w:val="center"/>
        <w:tblLayout w:type="fixed"/>
        <w:tblCellMar>
          <w:top w:w="0" w:type="dxa"/>
          <w:left w:w="108" w:type="dxa"/>
          <w:bottom w:w="0" w:type="dxa"/>
          <w:right w:w="108" w:type="dxa"/>
        </w:tblCellMar>
      </w:tblPr>
      <w:tblGrid>
        <w:gridCol w:w="4340"/>
        <w:gridCol w:w="4340"/>
      </w:tblGrid>
      <w:tr w14:paraId="47C05246">
        <w:tblPrEx>
          <w:tblCellMar>
            <w:top w:w="0" w:type="dxa"/>
            <w:left w:w="108" w:type="dxa"/>
            <w:bottom w:w="0" w:type="dxa"/>
            <w:right w:w="108" w:type="dxa"/>
          </w:tblCellMar>
        </w:tblPrEx>
        <w:trPr>
          <w:trHeight w:val="20" w:hRule="atLeast"/>
          <w:jc w:val="center"/>
        </w:trPr>
        <w:tc>
          <w:tcPr>
            <w:tcW w:w="4340" w:type="dxa"/>
            <w:noWrap w:val="0"/>
            <w:vAlign w:val="center"/>
          </w:tcPr>
          <w:p w14:paraId="032A877A">
            <w:pPr>
              <w:autoSpaceDE w:val="0"/>
              <w:autoSpaceDN w:val="0"/>
              <w:adjustRightInd w:val="0"/>
              <w:snapToGrid w:val="0"/>
              <w:jc w:val="center"/>
              <w:textAlignment w:val="baseline"/>
              <w:rPr>
                <w:rFonts w:hint="default" w:ascii="Times New Roman" w:hAnsi="Times New Roman" w:eastAsia="宋体" w:cs="Times New Roman"/>
                <w:snapToGrid w:val="0"/>
                <w:color w:val="auto"/>
                <w:sz w:val="26"/>
                <w:szCs w:val="26"/>
                <w:lang w:eastAsia="zh-CN"/>
              </w:rPr>
            </w:pPr>
            <w:r>
              <w:rPr>
                <w:rFonts w:hint="eastAsia" w:ascii="Times New Roman" w:hAnsi="Times New Roman" w:cs="Times New Roman"/>
                <w:color w:val="auto"/>
                <w:vertAlign w:val="baseline"/>
                <w:lang w:val="en-US" w:eastAsia="zh-CN"/>
              </w:rPr>
              <w:t>***</w:t>
            </w:r>
          </w:p>
        </w:tc>
        <w:tc>
          <w:tcPr>
            <w:tcW w:w="4340" w:type="dxa"/>
            <w:noWrap w:val="0"/>
            <w:vAlign w:val="center"/>
          </w:tcPr>
          <w:p w14:paraId="42633F73">
            <w:pPr>
              <w:autoSpaceDE w:val="0"/>
              <w:autoSpaceDN w:val="0"/>
              <w:adjustRightInd w:val="0"/>
              <w:snapToGrid w:val="0"/>
              <w:jc w:val="center"/>
              <w:textAlignment w:val="baseline"/>
              <w:rPr>
                <w:rFonts w:hint="default" w:ascii="Times New Roman" w:hAnsi="Times New Roman" w:eastAsia="宋体" w:cs="Times New Roman"/>
                <w:snapToGrid w:val="0"/>
                <w:color w:val="auto"/>
                <w:sz w:val="26"/>
                <w:szCs w:val="26"/>
                <w:lang w:eastAsia="zh-CN"/>
              </w:rPr>
            </w:pPr>
            <w:r>
              <w:rPr>
                <w:rFonts w:hint="eastAsia" w:ascii="Times New Roman" w:hAnsi="Times New Roman" w:cs="Times New Roman"/>
                <w:color w:val="auto"/>
                <w:vertAlign w:val="baseline"/>
                <w:lang w:val="en-US" w:eastAsia="zh-CN"/>
              </w:rPr>
              <w:t>***</w:t>
            </w:r>
          </w:p>
        </w:tc>
      </w:tr>
      <w:tr w14:paraId="59706F34">
        <w:tblPrEx>
          <w:tblCellMar>
            <w:top w:w="0" w:type="dxa"/>
            <w:left w:w="108" w:type="dxa"/>
            <w:bottom w:w="0" w:type="dxa"/>
            <w:right w:w="108" w:type="dxa"/>
          </w:tblCellMar>
        </w:tblPrEx>
        <w:trPr>
          <w:trHeight w:val="20" w:hRule="atLeast"/>
          <w:jc w:val="center"/>
        </w:trPr>
        <w:tc>
          <w:tcPr>
            <w:tcW w:w="4340" w:type="dxa"/>
            <w:noWrap w:val="0"/>
            <w:vAlign w:val="center"/>
          </w:tcPr>
          <w:p w14:paraId="5E999078">
            <w:pPr>
              <w:autoSpaceDE w:val="0"/>
              <w:autoSpaceDN w:val="0"/>
              <w:adjustRightInd w:val="0"/>
              <w:snapToGrid w:val="0"/>
              <w:jc w:val="center"/>
              <w:textAlignment w:val="baseline"/>
              <w:rPr>
                <w:rFonts w:hint="default" w:ascii="Times New Roman" w:hAnsi="Times New Roman" w:eastAsia="宋体" w:cs="Times New Roman"/>
                <w:snapToGrid w:val="0"/>
                <w:color w:val="auto"/>
                <w:sz w:val="26"/>
                <w:szCs w:val="26"/>
                <w:lang w:eastAsia="zh-CN"/>
              </w:rPr>
            </w:pPr>
            <w:r>
              <w:rPr>
                <w:rFonts w:hint="eastAsia" w:ascii="Times New Roman" w:hAnsi="Times New Roman" w:cs="Times New Roman"/>
                <w:color w:val="auto"/>
                <w:vertAlign w:val="baseline"/>
                <w:lang w:val="en-US" w:eastAsia="zh-CN"/>
              </w:rPr>
              <w:t>***</w:t>
            </w:r>
          </w:p>
        </w:tc>
        <w:tc>
          <w:tcPr>
            <w:tcW w:w="4340" w:type="dxa"/>
            <w:noWrap w:val="0"/>
            <w:vAlign w:val="center"/>
          </w:tcPr>
          <w:p w14:paraId="17F98CBF">
            <w:pPr>
              <w:autoSpaceDE w:val="0"/>
              <w:autoSpaceDN w:val="0"/>
              <w:adjustRightInd w:val="0"/>
              <w:snapToGrid w:val="0"/>
              <w:jc w:val="center"/>
              <w:textAlignment w:val="baseline"/>
              <w:rPr>
                <w:rFonts w:hint="default" w:ascii="Times New Roman" w:hAnsi="Times New Roman" w:eastAsia="宋体" w:cs="Times New Roman"/>
                <w:snapToGrid w:val="0"/>
                <w:color w:val="auto"/>
                <w:sz w:val="26"/>
                <w:szCs w:val="26"/>
                <w:lang w:eastAsia="zh-CN"/>
              </w:rPr>
            </w:pPr>
            <w:r>
              <w:rPr>
                <w:rFonts w:hint="eastAsia" w:ascii="Times New Roman" w:hAnsi="Times New Roman" w:cs="Times New Roman"/>
                <w:color w:val="auto"/>
                <w:vertAlign w:val="baseline"/>
                <w:lang w:val="en-US" w:eastAsia="zh-CN"/>
              </w:rPr>
              <w:t>***</w:t>
            </w:r>
          </w:p>
        </w:tc>
      </w:tr>
      <w:tr w14:paraId="3A618E34">
        <w:tblPrEx>
          <w:tblCellMar>
            <w:top w:w="0" w:type="dxa"/>
            <w:left w:w="108" w:type="dxa"/>
            <w:bottom w:w="0" w:type="dxa"/>
            <w:right w:w="108" w:type="dxa"/>
          </w:tblCellMar>
        </w:tblPrEx>
        <w:trPr>
          <w:trHeight w:val="20" w:hRule="atLeast"/>
          <w:jc w:val="center"/>
        </w:trPr>
        <w:tc>
          <w:tcPr>
            <w:tcW w:w="8680" w:type="dxa"/>
            <w:gridSpan w:val="2"/>
            <w:noWrap w:val="0"/>
            <w:vAlign w:val="center"/>
          </w:tcPr>
          <w:p w14:paraId="22D28543">
            <w:pPr>
              <w:autoSpaceDE w:val="0"/>
              <w:autoSpaceDN w:val="0"/>
              <w:adjustRightInd w:val="0"/>
              <w:snapToGrid w:val="0"/>
              <w:jc w:val="center"/>
              <w:textAlignment w:val="baseline"/>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1"/>
                <w:szCs w:val="21"/>
              </w:rPr>
              <w:t>管线沿线</w:t>
            </w:r>
            <w:r>
              <w:rPr>
                <w:rFonts w:hint="default" w:ascii="Times New Roman" w:hAnsi="Times New Roman" w:eastAsia="宋体" w:cs="Times New Roman"/>
                <w:snapToGrid w:val="0"/>
                <w:color w:val="auto"/>
                <w:sz w:val="21"/>
                <w:szCs w:val="21"/>
                <w:lang w:val="en-US" w:eastAsia="zh-CN"/>
              </w:rPr>
              <w:t>农业植被</w:t>
            </w:r>
            <w:r>
              <w:rPr>
                <w:rFonts w:hint="default" w:ascii="Times New Roman" w:hAnsi="Times New Roman" w:eastAsia="宋体" w:cs="Times New Roman"/>
                <w:snapToGrid w:val="0"/>
                <w:color w:val="auto"/>
                <w:sz w:val="21"/>
                <w:szCs w:val="21"/>
              </w:rPr>
              <w:t>分布情况现场图</w:t>
            </w:r>
          </w:p>
        </w:tc>
      </w:tr>
    </w:tbl>
    <w:p w14:paraId="7898D031">
      <w:pPr>
        <w:rPr>
          <w:rFonts w:hint="default" w:ascii="Times New Roman" w:hAnsi="Times New Roman" w:eastAsia="宋体" w:cs="Times New Roman"/>
          <w:color w:val="auto"/>
        </w:rPr>
      </w:pPr>
    </w:p>
    <w:p w14:paraId="48A222A7">
      <w:pPr>
        <w:pStyle w:val="56"/>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）评价范围内</w:t>
      </w:r>
      <w:r>
        <w:rPr>
          <w:rFonts w:hint="default" w:ascii="Times New Roman" w:hAnsi="Times New Roman" w:eastAsia="宋体" w:cs="Times New Roman"/>
          <w:b/>
          <w:bCs/>
          <w:color w:val="auto"/>
          <w:lang w:val="en-US" w:eastAsia="zh-CN"/>
        </w:rPr>
        <w:t>植物物种组成分析</w:t>
      </w:r>
    </w:p>
    <w:p w14:paraId="4476CC1D">
      <w:pPr>
        <w:pStyle w:val="56"/>
        <w:rPr>
          <w:rFonts w:hint="default" w:ascii="Times New Roman" w:hAnsi="Times New Roman" w:eastAsia="宋体" w:cs="Times New Roman"/>
          <w:snapToGrid w:val="0"/>
          <w:color w:val="auto"/>
          <w:lang w:eastAsia="zh-CN"/>
        </w:rPr>
      </w:pPr>
      <w:r>
        <w:rPr>
          <w:rFonts w:hint="default" w:ascii="Times New Roman" w:hAnsi="Times New Roman" w:eastAsia="宋体" w:cs="Times New Roman"/>
          <w:snapToGrid w:val="0"/>
          <w:color w:val="auto"/>
        </w:rPr>
        <w:t>根据现场踏勘，本项目所在区域为农村区域，区域植物资源一般。结合本次现场调查，评价区内共有维管植物</w:t>
      </w:r>
      <w:r>
        <w:rPr>
          <w:rFonts w:hint="default" w:ascii="Times New Roman" w:hAnsi="Times New Roman" w:eastAsia="宋体" w:cs="Times New Roman"/>
          <w:snapToGrid w:val="0"/>
          <w:color w:val="auto"/>
          <w:lang w:val="en-US" w:eastAsia="zh-CN"/>
        </w:rPr>
        <w:t>65</w:t>
      </w:r>
      <w:r>
        <w:rPr>
          <w:rFonts w:hint="default" w:ascii="Times New Roman" w:hAnsi="Times New Roman" w:eastAsia="宋体" w:cs="Times New Roman"/>
          <w:snapToGrid w:val="0"/>
          <w:color w:val="auto"/>
        </w:rPr>
        <w:t>科</w:t>
      </w:r>
      <w:r>
        <w:rPr>
          <w:rFonts w:hint="default" w:ascii="Times New Roman" w:hAnsi="Times New Roman" w:eastAsia="宋体" w:cs="Times New Roman"/>
          <w:snapToGrid w:val="0"/>
          <w:color w:val="auto"/>
          <w:lang w:val="en-US" w:eastAsia="zh-CN"/>
        </w:rPr>
        <w:t>127</w:t>
      </w:r>
      <w:r>
        <w:rPr>
          <w:rFonts w:hint="default" w:ascii="Times New Roman" w:hAnsi="Times New Roman" w:eastAsia="宋体" w:cs="Times New Roman"/>
          <w:snapToGrid w:val="0"/>
          <w:color w:val="auto"/>
        </w:rPr>
        <w:t>属</w:t>
      </w:r>
      <w:r>
        <w:rPr>
          <w:rFonts w:hint="default" w:ascii="Times New Roman" w:hAnsi="Times New Roman" w:eastAsia="宋体" w:cs="Times New Roman"/>
          <w:snapToGrid w:val="0"/>
          <w:color w:val="auto"/>
          <w:lang w:val="en-US" w:eastAsia="zh-CN"/>
        </w:rPr>
        <w:t>161</w:t>
      </w:r>
      <w:r>
        <w:rPr>
          <w:rFonts w:hint="default" w:ascii="Times New Roman" w:hAnsi="Times New Roman" w:eastAsia="宋体" w:cs="Times New Roman"/>
          <w:snapToGrid w:val="0"/>
          <w:color w:val="auto"/>
        </w:rPr>
        <w:t>种，其中蕨类植物</w:t>
      </w:r>
      <w:r>
        <w:rPr>
          <w:rFonts w:hint="default" w:ascii="Times New Roman" w:hAnsi="Times New Roman" w:eastAsia="宋体" w:cs="Times New Roman"/>
          <w:snapToGrid w:val="0"/>
          <w:color w:val="auto"/>
          <w:lang w:val="en-US" w:eastAsia="zh-CN"/>
        </w:rPr>
        <w:t>7</w:t>
      </w:r>
      <w:r>
        <w:rPr>
          <w:rFonts w:hint="default" w:ascii="Times New Roman" w:hAnsi="Times New Roman" w:eastAsia="宋体" w:cs="Times New Roman"/>
          <w:snapToGrid w:val="0"/>
          <w:color w:val="auto"/>
        </w:rPr>
        <w:t>科</w:t>
      </w:r>
      <w:r>
        <w:rPr>
          <w:rFonts w:hint="default" w:ascii="Times New Roman" w:hAnsi="Times New Roman" w:eastAsia="宋体" w:cs="Times New Roman"/>
          <w:snapToGrid w:val="0"/>
          <w:color w:val="auto"/>
          <w:lang w:val="en-US" w:eastAsia="zh-CN"/>
        </w:rPr>
        <w:t>9</w:t>
      </w:r>
      <w:r>
        <w:rPr>
          <w:rFonts w:hint="default" w:ascii="Times New Roman" w:hAnsi="Times New Roman" w:eastAsia="宋体" w:cs="Times New Roman"/>
          <w:snapToGrid w:val="0"/>
          <w:color w:val="auto"/>
        </w:rPr>
        <w:t>属</w:t>
      </w:r>
      <w:r>
        <w:rPr>
          <w:rFonts w:hint="default" w:ascii="Times New Roman" w:hAnsi="Times New Roman" w:eastAsia="宋体" w:cs="Times New Roman"/>
          <w:snapToGrid w:val="0"/>
          <w:color w:val="auto"/>
          <w:lang w:val="en-US" w:eastAsia="zh-CN"/>
        </w:rPr>
        <w:t>1</w:t>
      </w:r>
      <w:r>
        <w:rPr>
          <w:rFonts w:hint="default" w:ascii="Times New Roman" w:hAnsi="Times New Roman" w:eastAsia="宋体" w:cs="Times New Roman"/>
          <w:snapToGrid w:val="0"/>
          <w:color w:val="auto"/>
        </w:rPr>
        <w:t>3种，裸子植物</w:t>
      </w:r>
      <w:r>
        <w:rPr>
          <w:rFonts w:hint="default" w:ascii="Times New Roman" w:hAnsi="Times New Roman" w:eastAsia="宋体" w:cs="Times New Roman"/>
          <w:snapToGrid w:val="0"/>
          <w:color w:val="auto"/>
          <w:lang w:val="en-US" w:eastAsia="zh-CN"/>
        </w:rPr>
        <w:t>2</w:t>
      </w:r>
      <w:r>
        <w:rPr>
          <w:rFonts w:hint="default" w:ascii="Times New Roman" w:hAnsi="Times New Roman" w:eastAsia="宋体" w:cs="Times New Roman"/>
          <w:snapToGrid w:val="0"/>
          <w:color w:val="auto"/>
        </w:rPr>
        <w:t>科</w:t>
      </w:r>
      <w:r>
        <w:rPr>
          <w:rFonts w:hint="default" w:ascii="Times New Roman" w:hAnsi="Times New Roman" w:eastAsia="宋体" w:cs="Times New Roman"/>
          <w:snapToGrid w:val="0"/>
          <w:color w:val="auto"/>
          <w:lang w:val="en-US" w:eastAsia="zh-CN"/>
        </w:rPr>
        <w:t>2</w:t>
      </w:r>
      <w:r>
        <w:rPr>
          <w:rFonts w:hint="default" w:ascii="Times New Roman" w:hAnsi="Times New Roman" w:eastAsia="宋体" w:cs="Times New Roman"/>
          <w:snapToGrid w:val="0"/>
          <w:color w:val="auto"/>
        </w:rPr>
        <w:t>属</w:t>
      </w:r>
      <w:r>
        <w:rPr>
          <w:rFonts w:hint="default" w:ascii="Times New Roman" w:hAnsi="Times New Roman" w:eastAsia="宋体" w:cs="Times New Roman"/>
          <w:snapToGrid w:val="0"/>
          <w:color w:val="auto"/>
          <w:lang w:val="en-US" w:eastAsia="zh-CN"/>
        </w:rPr>
        <w:t>2</w:t>
      </w:r>
      <w:r>
        <w:rPr>
          <w:rFonts w:hint="default" w:ascii="Times New Roman" w:hAnsi="Times New Roman" w:eastAsia="宋体" w:cs="Times New Roman"/>
          <w:snapToGrid w:val="0"/>
          <w:color w:val="auto"/>
        </w:rPr>
        <w:t>种，被子植物</w:t>
      </w:r>
      <w:r>
        <w:rPr>
          <w:rFonts w:hint="default" w:ascii="Times New Roman" w:hAnsi="Times New Roman" w:eastAsia="宋体" w:cs="Times New Roman"/>
          <w:snapToGrid w:val="0"/>
          <w:color w:val="auto"/>
          <w:lang w:val="en-US" w:eastAsia="zh-CN"/>
        </w:rPr>
        <w:t>56</w:t>
      </w:r>
      <w:r>
        <w:rPr>
          <w:rFonts w:hint="default" w:ascii="Times New Roman" w:hAnsi="Times New Roman" w:eastAsia="宋体" w:cs="Times New Roman"/>
          <w:snapToGrid w:val="0"/>
          <w:color w:val="auto"/>
        </w:rPr>
        <w:t>科</w:t>
      </w:r>
      <w:r>
        <w:rPr>
          <w:rFonts w:hint="default" w:ascii="Times New Roman" w:hAnsi="Times New Roman" w:eastAsia="宋体" w:cs="Times New Roman"/>
          <w:snapToGrid w:val="0"/>
          <w:color w:val="auto"/>
          <w:lang w:val="en-US" w:eastAsia="zh-CN"/>
        </w:rPr>
        <w:t>116</w:t>
      </w:r>
      <w:r>
        <w:rPr>
          <w:rFonts w:hint="default" w:ascii="Times New Roman" w:hAnsi="Times New Roman" w:eastAsia="宋体" w:cs="Times New Roman"/>
          <w:snapToGrid w:val="0"/>
          <w:color w:val="auto"/>
        </w:rPr>
        <w:t>属</w:t>
      </w:r>
      <w:r>
        <w:rPr>
          <w:rFonts w:hint="default" w:ascii="Times New Roman" w:hAnsi="Times New Roman" w:eastAsia="宋体" w:cs="Times New Roman"/>
          <w:snapToGrid w:val="0"/>
          <w:color w:val="auto"/>
          <w:lang w:val="en-US" w:eastAsia="zh-CN"/>
        </w:rPr>
        <w:t>146</w:t>
      </w:r>
      <w:r>
        <w:rPr>
          <w:rFonts w:hint="default" w:ascii="Times New Roman" w:hAnsi="Times New Roman" w:eastAsia="宋体" w:cs="Times New Roman"/>
          <w:snapToGrid w:val="0"/>
          <w:color w:val="auto"/>
        </w:rPr>
        <w:t>种，乔木层植物有</w:t>
      </w:r>
      <w:r>
        <w:rPr>
          <w:rFonts w:hint="default" w:ascii="Times New Roman" w:hAnsi="Times New Roman" w:eastAsia="宋体" w:cs="Times New Roman"/>
          <w:snapToGrid w:val="0"/>
          <w:color w:val="auto"/>
          <w:lang w:val="en-US" w:eastAsia="zh-CN"/>
        </w:rPr>
        <w:t>马尾松、杉木</w:t>
      </w:r>
      <w:r>
        <w:rPr>
          <w:rFonts w:hint="default" w:ascii="Times New Roman" w:hAnsi="Times New Roman" w:eastAsia="宋体" w:cs="Times New Roman"/>
          <w:snapToGrid w:val="0"/>
          <w:color w:val="auto"/>
        </w:rPr>
        <w:t>、</w:t>
      </w:r>
      <w:r>
        <w:rPr>
          <w:rFonts w:hint="default" w:ascii="Times New Roman" w:hAnsi="Times New Roman" w:eastAsia="宋体" w:cs="Times New Roman"/>
          <w:snapToGrid w:val="0"/>
          <w:color w:val="auto"/>
          <w:lang w:val="en-US" w:eastAsia="zh-CN"/>
        </w:rPr>
        <w:t>油桐、野桐、女贞</w:t>
      </w:r>
      <w:r>
        <w:rPr>
          <w:rFonts w:hint="default" w:ascii="Times New Roman" w:hAnsi="Times New Roman" w:eastAsia="宋体" w:cs="Times New Roman"/>
          <w:snapToGrid w:val="0"/>
          <w:color w:val="auto"/>
        </w:rPr>
        <w:t>、慈竹等；灌木层植物有</w:t>
      </w:r>
      <w:r>
        <w:rPr>
          <w:rFonts w:hint="default" w:ascii="Times New Roman" w:hAnsi="Times New Roman" w:eastAsia="宋体" w:cs="Times New Roman"/>
          <w:snapToGrid w:val="0"/>
          <w:color w:val="auto"/>
          <w:lang w:val="en-US" w:eastAsia="zh-CN"/>
        </w:rPr>
        <w:t>盐麸木、油茶、白栎、细枝柃、菱叶冠毛榕、山莓、</w:t>
      </w:r>
      <w:r>
        <w:rPr>
          <w:rFonts w:hint="default" w:ascii="Times New Roman" w:hAnsi="Times New Roman" w:eastAsia="宋体" w:cs="Times New Roman"/>
          <w:snapToGrid w:val="0"/>
          <w:color w:val="auto"/>
          <w:sz w:val="26"/>
          <w:szCs w:val="26"/>
          <w:lang w:val="en-US" w:eastAsia="zh-CN"/>
        </w:rPr>
        <w:t>水麻</w:t>
      </w:r>
      <w:r>
        <w:rPr>
          <w:rFonts w:hint="default" w:ascii="Times New Roman" w:hAnsi="Times New Roman" w:eastAsia="宋体" w:cs="Times New Roman"/>
          <w:lang w:eastAsia="zh-CN"/>
        </w:rPr>
        <w:t>、</w:t>
      </w:r>
      <w:r>
        <w:rPr>
          <w:rFonts w:hint="default" w:ascii="Times New Roman" w:hAnsi="Times New Roman" w:eastAsia="宋体" w:cs="Times New Roman"/>
          <w:snapToGrid w:val="0"/>
          <w:color w:val="auto"/>
          <w:sz w:val="26"/>
          <w:szCs w:val="26"/>
          <w:lang w:val="en-US" w:eastAsia="zh-CN"/>
        </w:rPr>
        <w:t>构</w:t>
      </w:r>
      <w:r>
        <w:rPr>
          <w:rFonts w:hint="default" w:ascii="Times New Roman" w:hAnsi="Times New Roman" w:eastAsia="宋体" w:cs="Times New Roman"/>
          <w:lang w:eastAsia="zh-CN"/>
        </w:rPr>
        <w:t>、</w:t>
      </w:r>
      <w:r>
        <w:rPr>
          <w:rFonts w:hint="default" w:ascii="Times New Roman" w:hAnsi="Times New Roman" w:eastAsia="宋体" w:cs="Times New Roman"/>
          <w:snapToGrid w:val="0"/>
          <w:color w:val="auto"/>
          <w:sz w:val="26"/>
          <w:szCs w:val="26"/>
          <w:lang w:val="en-US" w:eastAsia="zh-CN"/>
        </w:rPr>
        <w:t>牡荆</w:t>
      </w:r>
      <w:r>
        <w:rPr>
          <w:rFonts w:hint="default" w:ascii="Times New Roman" w:hAnsi="Times New Roman" w:eastAsia="宋体" w:cs="Times New Roman"/>
          <w:lang w:eastAsia="zh-CN"/>
        </w:rPr>
        <w:t>、</w:t>
      </w:r>
      <w:r>
        <w:rPr>
          <w:rFonts w:hint="default" w:ascii="Times New Roman" w:hAnsi="Times New Roman" w:eastAsia="宋体" w:cs="Times New Roman"/>
          <w:snapToGrid w:val="0"/>
          <w:color w:val="auto"/>
          <w:sz w:val="26"/>
          <w:szCs w:val="26"/>
          <w:lang w:val="en-US" w:eastAsia="zh-CN"/>
        </w:rPr>
        <w:t>小木通</w:t>
      </w:r>
      <w:r>
        <w:rPr>
          <w:rFonts w:hint="default" w:ascii="Times New Roman" w:hAnsi="Times New Roman" w:eastAsia="宋体" w:cs="Times New Roman"/>
          <w:lang w:eastAsia="zh-CN"/>
        </w:rPr>
        <w:t>、</w:t>
      </w:r>
      <w:r>
        <w:rPr>
          <w:rFonts w:hint="default" w:ascii="Times New Roman" w:hAnsi="Times New Roman" w:eastAsia="宋体" w:cs="Times New Roman"/>
          <w:snapToGrid w:val="0"/>
          <w:color w:val="auto"/>
          <w:sz w:val="26"/>
          <w:szCs w:val="26"/>
          <w:lang w:val="en-US" w:eastAsia="zh-CN"/>
        </w:rPr>
        <w:t>插田藨</w:t>
      </w:r>
      <w:r>
        <w:rPr>
          <w:rFonts w:hint="default" w:ascii="Times New Roman" w:hAnsi="Times New Roman" w:eastAsia="宋体" w:cs="Times New Roman"/>
          <w:lang w:eastAsia="zh-CN"/>
        </w:rPr>
        <w:t>、</w:t>
      </w:r>
      <w:r>
        <w:rPr>
          <w:rFonts w:hint="default" w:ascii="Times New Roman" w:hAnsi="Times New Roman" w:eastAsia="宋体" w:cs="Times New Roman"/>
          <w:snapToGrid w:val="0"/>
          <w:color w:val="auto"/>
          <w:sz w:val="26"/>
          <w:szCs w:val="26"/>
          <w:lang w:val="en-US" w:eastAsia="zh-CN"/>
        </w:rPr>
        <w:t>乌桕</w:t>
      </w:r>
      <w:r>
        <w:rPr>
          <w:rFonts w:hint="default" w:ascii="Times New Roman" w:hAnsi="Times New Roman" w:eastAsia="宋体" w:cs="Times New Roman"/>
          <w:snapToGrid w:val="0"/>
          <w:color w:val="auto"/>
        </w:rPr>
        <w:t>等；草本层植物有</w:t>
      </w:r>
      <w:r>
        <w:rPr>
          <w:rFonts w:hint="default" w:ascii="Times New Roman" w:hAnsi="Times New Roman" w:eastAsia="宋体" w:cs="Times New Roman"/>
          <w:snapToGrid w:val="0"/>
          <w:color w:val="auto"/>
          <w:lang w:val="en-US" w:eastAsia="zh-CN"/>
        </w:rPr>
        <w:t>芒、狗脊、</w:t>
      </w:r>
      <w:r>
        <w:rPr>
          <w:rFonts w:hint="default" w:ascii="Times New Roman" w:hAnsi="Times New Roman" w:eastAsia="宋体" w:cs="Times New Roman"/>
          <w:snapToGrid w:val="0"/>
          <w:color w:val="auto"/>
        </w:rPr>
        <w:t>葎草、葛、苍耳、牛筋草、鬼针草、钻叶紫菀、小蓬草、白茅、马兰、</w:t>
      </w:r>
      <w:r>
        <w:rPr>
          <w:rFonts w:hint="default" w:ascii="Times New Roman" w:hAnsi="Times New Roman" w:eastAsia="宋体" w:cs="Times New Roman"/>
          <w:snapToGrid w:val="0"/>
          <w:color w:val="auto"/>
          <w:lang w:val="en-US" w:eastAsia="zh-CN"/>
        </w:rPr>
        <w:t>莠竹、毛蕨、蕨、艾</w:t>
      </w:r>
      <w:r>
        <w:rPr>
          <w:rFonts w:hint="default" w:ascii="Times New Roman" w:hAnsi="Times New Roman" w:eastAsia="宋体" w:cs="Times New Roman"/>
          <w:snapToGrid w:val="0"/>
          <w:color w:val="auto"/>
        </w:rPr>
        <w:t>等</w:t>
      </w:r>
      <w:r>
        <w:rPr>
          <w:rFonts w:hint="default" w:ascii="Times New Roman" w:hAnsi="Times New Roman" w:eastAsia="宋体" w:cs="Times New Roman"/>
          <w:snapToGrid w:val="0"/>
          <w:color w:val="auto"/>
          <w:lang w:eastAsia="zh-CN"/>
        </w:rPr>
        <w:t>，</w:t>
      </w:r>
      <w:r>
        <w:rPr>
          <w:rFonts w:hint="default" w:ascii="Times New Roman" w:hAnsi="Times New Roman" w:eastAsia="宋体" w:cs="Times New Roman"/>
          <w:snapToGrid w:val="0"/>
          <w:color w:val="auto"/>
          <w:lang w:val="en-US" w:eastAsia="zh-CN"/>
        </w:rPr>
        <w:t>水</w:t>
      </w:r>
      <w:r>
        <w:rPr>
          <w:rFonts w:hint="default" w:ascii="Times New Roman" w:hAnsi="Times New Roman" w:eastAsia="宋体" w:cs="Times New Roman"/>
          <w:snapToGrid w:val="0"/>
          <w:color w:val="auto"/>
        </w:rPr>
        <w:t>塘洼地周围一般有浮萍、空心莲子草</w:t>
      </w:r>
      <w:r>
        <w:rPr>
          <w:rFonts w:hint="default" w:ascii="Times New Roman" w:hAnsi="Times New Roman" w:eastAsia="宋体" w:cs="Times New Roman"/>
          <w:snapToGrid w:val="0"/>
          <w:color w:val="auto"/>
          <w:lang w:eastAsia="zh-CN"/>
        </w:rPr>
        <w:t>，</w:t>
      </w:r>
      <w:r>
        <w:rPr>
          <w:rFonts w:hint="default" w:ascii="Times New Roman" w:hAnsi="Times New Roman" w:eastAsia="宋体" w:cs="Times New Roman"/>
          <w:snapToGrid w:val="0"/>
          <w:color w:val="auto"/>
          <w:lang w:val="en-US" w:eastAsia="zh-CN"/>
        </w:rPr>
        <w:t>组成统计见表4.3-1</w:t>
      </w:r>
      <w:r>
        <w:rPr>
          <w:rFonts w:hint="eastAsia" w:ascii="Times New Roman" w:hAnsi="Times New Roman" w:cs="Times New Roman"/>
          <w:snapToGrid w:val="0"/>
          <w:color w:val="auto"/>
          <w:lang w:val="en-US" w:eastAsia="zh-CN"/>
        </w:rPr>
        <w:t>4</w:t>
      </w:r>
      <w:r>
        <w:rPr>
          <w:rFonts w:hint="default" w:ascii="Times New Roman" w:hAnsi="Times New Roman" w:eastAsia="宋体" w:cs="Times New Roman"/>
          <w:snapToGrid w:val="0"/>
          <w:color w:val="auto"/>
          <w:lang w:val="en-US" w:eastAsia="zh-CN"/>
        </w:rPr>
        <w:t>，植物名录见附录</w:t>
      </w:r>
      <w:r>
        <w:rPr>
          <w:rFonts w:hint="default" w:ascii="Times New Roman" w:hAnsi="Times New Roman" w:eastAsia="宋体" w:cs="Times New Roman"/>
          <w:snapToGrid w:val="0"/>
          <w:color w:val="auto"/>
          <w:lang w:eastAsia="zh-CN"/>
        </w:rPr>
        <w:t>。</w:t>
      </w:r>
    </w:p>
    <w:p w14:paraId="06CB4C2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highlight w:val="none"/>
          <w:lang w:val="en-US"/>
        </w:rPr>
      </w:pPr>
      <w:r>
        <w:rPr>
          <w:rFonts w:hint="default" w:ascii="Times New Roman" w:hAnsi="Times New Roman" w:eastAsia="宋体" w:cs="Times New Roman"/>
          <w:b/>
          <w:bCs w:val="0"/>
          <w:color w:val="auto"/>
          <w:sz w:val="26"/>
          <w:szCs w:val="26"/>
          <w:highlight w:val="none"/>
          <w:lang w:val="en-US" w:eastAsia="zh-CN"/>
        </w:rPr>
        <w:t>表4.3-1</w:t>
      </w:r>
      <w:r>
        <w:rPr>
          <w:rFonts w:hint="eastAsia" w:ascii="Times New Roman" w:hAnsi="Times New Roman" w:cs="Times New Roman"/>
          <w:b/>
          <w:bCs w:val="0"/>
          <w:color w:val="auto"/>
          <w:sz w:val="26"/>
          <w:szCs w:val="26"/>
          <w:highlight w:val="none"/>
          <w:lang w:val="en-US" w:eastAsia="zh-CN"/>
        </w:rPr>
        <w:t>4</w:t>
      </w:r>
      <w:r>
        <w:rPr>
          <w:rFonts w:hint="default" w:ascii="Times New Roman" w:hAnsi="Times New Roman" w:eastAsia="宋体" w:cs="Times New Roman"/>
          <w:b/>
          <w:bCs w:val="0"/>
          <w:color w:val="auto"/>
          <w:sz w:val="26"/>
          <w:szCs w:val="26"/>
          <w:highlight w:val="none"/>
          <w:lang w:val="en-US" w:eastAsia="zh-CN"/>
        </w:rPr>
        <w:t xml:space="preserve"> 维管植物组成统计表</w:t>
      </w:r>
    </w:p>
    <w:tbl>
      <w:tblPr>
        <w:tblStyle w:val="29"/>
        <w:tblW w:w="50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2"/>
        <w:gridCol w:w="1146"/>
        <w:gridCol w:w="700"/>
        <w:gridCol w:w="1588"/>
        <w:gridCol w:w="751"/>
        <w:gridCol w:w="1509"/>
        <w:gridCol w:w="781"/>
        <w:gridCol w:w="1631"/>
      </w:tblGrid>
      <w:tr w14:paraId="3817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48" w:type="pct"/>
            <w:gridSpan w:val="2"/>
            <w:noWrap w:val="0"/>
            <w:vAlign w:val="center"/>
          </w:tcPr>
          <w:p w14:paraId="00E8F7F2">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w:t>
            </w:r>
          </w:p>
        </w:tc>
        <w:tc>
          <w:tcPr>
            <w:tcW w:w="397" w:type="pct"/>
            <w:noWrap w:val="0"/>
            <w:vAlign w:val="center"/>
          </w:tcPr>
          <w:p w14:paraId="1EC9C80A">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科数</w:t>
            </w:r>
          </w:p>
        </w:tc>
        <w:tc>
          <w:tcPr>
            <w:tcW w:w="901" w:type="pct"/>
            <w:noWrap w:val="0"/>
            <w:vAlign w:val="center"/>
          </w:tcPr>
          <w:p w14:paraId="4A43C220">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i w:val="0"/>
                <w:iCs w:val="0"/>
                <w:color w:val="auto"/>
                <w:kern w:val="0"/>
                <w:sz w:val="21"/>
                <w:szCs w:val="21"/>
                <w:u w:val="none"/>
                <w:lang w:val="en-US" w:eastAsia="zh-CN" w:bidi="ar"/>
              </w:rPr>
              <w:t>科的比例（%）</w:t>
            </w:r>
          </w:p>
        </w:tc>
        <w:tc>
          <w:tcPr>
            <w:tcW w:w="426" w:type="pct"/>
            <w:noWrap w:val="0"/>
            <w:vAlign w:val="center"/>
          </w:tcPr>
          <w:p w14:paraId="5BC25BCF">
            <w:pPr>
              <w:keepNext w:val="0"/>
              <w:keepLines w:val="0"/>
              <w:widowControl/>
              <w:suppressLineNumbers w:val="0"/>
              <w:jc w:val="center"/>
              <w:textAlignment w:val="center"/>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属数</w:t>
            </w:r>
          </w:p>
        </w:tc>
        <w:tc>
          <w:tcPr>
            <w:tcW w:w="856" w:type="pct"/>
            <w:noWrap w:val="0"/>
            <w:vAlign w:val="center"/>
          </w:tcPr>
          <w:p w14:paraId="1F0CA0DB">
            <w:pPr>
              <w:keepNext w:val="0"/>
              <w:keepLines w:val="0"/>
              <w:widowControl/>
              <w:suppressLineNumbers w:val="0"/>
              <w:jc w:val="center"/>
              <w:textAlignment w:val="center"/>
              <w:rPr>
                <w:rFonts w:hint="default" w:ascii="Times New Roman" w:hAnsi="Times New Roman" w:eastAsia="宋体" w:cs="Times New Roman"/>
                <w:b/>
                <w:bCs/>
                <w:color w:val="auto"/>
                <w:spacing w:val="-2"/>
                <w:sz w:val="21"/>
                <w:szCs w:val="21"/>
                <w:highlight w:val="none"/>
                <w:lang w:eastAsia="zh-CN"/>
              </w:rPr>
            </w:pPr>
            <w:r>
              <w:rPr>
                <w:rFonts w:hint="default" w:ascii="Times New Roman" w:hAnsi="Times New Roman" w:eastAsia="宋体" w:cs="Times New Roman"/>
                <w:b/>
                <w:bCs/>
                <w:i w:val="0"/>
                <w:iCs w:val="0"/>
                <w:color w:val="auto"/>
                <w:kern w:val="0"/>
                <w:sz w:val="21"/>
                <w:szCs w:val="21"/>
                <w:u w:val="none"/>
                <w:lang w:val="en-US" w:eastAsia="zh-CN" w:bidi="ar"/>
              </w:rPr>
              <w:t>属的比例（%）</w:t>
            </w:r>
          </w:p>
        </w:tc>
        <w:tc>
          <w:tcPr>
            <w:tcW w:w="443" w:type="pct"/>
            <w:noWrap w:val="0"/>
            <w:vAlign w:val="center"/>
          </w:tcPr>
          <w:p w14:paraId="73095D43">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u w:val="none"/>
                <w:lang w:val="en-US" w:eastAsia="zh-CN" w:bidi="ar"/>
              </w:rPr>
              <w:t>种数</w:t>
            </w:r>
          </w:p>
        </w:tc>
        <w:tc>
          <w:tcPr>
            <w:tcW w:w="925" w:type="pct"/>
            <w:noWrap w:val="0"/>
            <w:vAlign w:val="center"/>
          </w:tcPr>
          <w:p w14:paraId="6092DFB6">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i w:val="0"/>
                <w:iCs w:val="0"/>
                <w:color w:val="auto"/>
                <w:kern w:val="0"/>
                <w:sz w:val="21"/>
                <w:szCs w:val="21"/>
                <w:u w:val="none"/>
                <w:lang w:val="en-US" w:eastAsia="zh-CN" w:bidi="ar"/>
              </w:rPr>
              <w:t>种的比例（%）</w:t>
            </w:r>
          </w:p>
        </w:tc>
      </w:tr>
      <w:tr w14:paraId="5D73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48" w:type="pct"/>
            <w:gridSpan w:val="2"/>
            <w:noWrap w:val="0"/>
            <w:vAlign w:val="center"/>
          </w:tcPr>
          <w:p w14:paraId="47D632C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蕨类植物</w:t>
            </w:r>
          </w:p>
        </w:tc>
        <w:tc>
          <w:tcPr>
            <w:tcW w:w="666" w:type="dxa"/>
            <w:noWrap w:val="0"/>
            <w:vAlign w:val="center"/>
          </w:tcPr>
          <w:p w14:paraId="580C78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w:t>
            </w:r>
          </w:p>
        </w:tc>
        <w:tc>
          <w:tcPr>
            <w:tcW w:w="1512" w:type="dxa"/>
            <w:noWrap w:val="0"/>
            <w:vAlign w:val="center"/>
          </w:tcPr>
          <w:p w14:paraId="235FB9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10.77</w:t>
            </w:r>
          </w:p>
        </w:tc>
        <w:tc>
          <w:tcPr>
            <w:tcW w:w="715" w:type="dxa"/>
            <w:noWrap w:val="0"/>
            <w:vAlign w:val="center"/>
          </w:tcPr>
          <w:p w14:paraId="368ED6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w:t>
            </w:r>
          </w:p>
        </w:tc>
        <w:tc>
          <w:tcPr>
            <w:tcW w:w="1436" w:type="dxa"/>
            <w:noWrap w:val="0"/>
            <w:vAlign w:val="center"/>
          </w:tcPr>
          <w:p w14:paraId="67321F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7.09</w:t>
            </w:r>
          </w:p>
        </w:tc>
        <w:tc>
          <w:tcPr>
            <w:tcW w:w="743" w:type="dxa"/>
            <w:noWrap w:val="0"/>
            <w:vAlign w:val="center"/>
          </w:tcPr>
          <w:p w14:paraId="589BA7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552" w:type="dxa"/>
            <w:noWrap w:val="0"/>
            <w:vAlign w:val="center"/>
          </w:tcPr>
          <w:p w14:paraId="201643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8.07</w:t>
            </w:r>
          </w:p>
        </w:tc>
      </w:tr>
      <w:tr w14:paraId="416F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pct"/>
            <w:vMerge w:val="restart"/>
            <w:noWrap w:val="0"/>
            <w:vAlign w:val="center"/>
          </w:tcPr>
          <w:p w14:paraId="47DB1E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种子</w:t>
            </w:r>
          </w:p>
          <w:p w14:paraId="6B0E18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植物</w:t>
            </w:r>
          </w:p>
        </w:tc>
        <w:tc>
          <w:tcPr>
            <w:tcW w:w="650" w:type="pct"/>
            <w:noWrap w:val="0"/>
            <w:vAlign w:val="center"/>
          </w:tcPr>
          <w:p w14:paraId="40D6AD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裸子植物</w:t>
            </w:r>
          </w:p>
        </w:tc>
        <w:tc>
          <w:tcPr>
            <w:tcW w:w="666" w:type="dxa"/>
            <w:noWrap w:val="0"/>
            <w:vAlign w:val="center"/>
          </w:tcPr>
          <w:p w14:paraId="70C126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512" w:type="dxa"/>
            <w:noWrap w:val="0"/>
            <w:vAlign w:val="center"/>
          </w:tcPr>
          <w:p w14:paraId="3C505B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3.08</w:t>
            </w:r>
          </w:p>
        </w:tc>
        <w:tc>
          <w:tcPr>
            <w:tcW w:w="715" w:type="dxa"/>
            <w:noWrap w:val="0"/>
            <w:vAlign w:val="center"/>
          </w:tcPr>
          <w:p w14:paraId="68767D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36" w:type="dxa"/>
            <w:noWrap w:val="0"/>
            <w:vAlign w:val="center"/>
          </w:tcPr>
          <w:p w14:paraId="3CC926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1.57</w:t>
            </w:r>
          </w:p>
        </w:tc>
        <w:tc>
          <w:tcPr>
            <w:tcW w:w="743" w:type="dxa"/>
            <w:noWrap w:val="0"/>
            <w:vAlign w:val="center"/>
          </w:tcPr>
          <w:p w14:paraId="7F2DA7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552" w:type="dxa"/>
            <w:noWrap w:val="0"/>
            <w:vAlign w:val="center"/>
          </w:tcPr>
          <w:p w14:paraId="537D72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1.24</w:t>
            </w:r>
          </w:p>
        </w:tc>
      </w:tr>
      <w:tr w14:paraId="48D8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8" w:type="pct"/>
            <w:vMerge w:val="continue"/>
            <w:noWrap w:val="0"/>
            <w:vAlign w:val="center"/>
          </w:tcPr>
          <w:p w14:paraId="21D0BC5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p>
        </w:tc>
        <w:tc>
          <w:tcPr>
            <w:tcW w:w="650" w:type="pct"/>
            <w:noWrap w:val="0"/>
            <w:vAlign w:val="center"/>
          </w:tcPr>
          <w:p w14:paraId="702B866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被子植物</w:t>
            </w:r>
          </w:p>
        </w:tc>
        <w:tc>
          <w:tcPr>
            <w:tcW w:w="666" w:type="dxa"/>
            <w:noWrap w:val="0"/>
            <w:vAlign w:val="center"/>
          </w:tcPr>
          <w:p w14:paraId="387406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w:t>
            </w:r>
          </w:p>
        </w:tc>
        <w:tc>
          <w:tcPr>
            <w:tcW w:w="1512" w:type="dxa"/>
            <w:noWrap w:val="0"/>
            <w:vAlign w:val="center"/>
          </w:tcPr>
          <w:p w14:paraId="041820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86.15</w:t>
            </w:r>
          </w:p>
        </w:tc>
        <w:tc>
          <w:tcPr>
            <w:tcW w:w="715" w:type="dxa"/>
            <w:noWrap w:val="0"/>
            <w:vAlign w:val="center"/>
          </w:tcPr>
          <w:p w14:paraId="47AAFE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1436" w:type="dxa"/>
            <w:noWrap w:val="0"/>
            <w:vAlign w:val="center"/>
          </w:tcPr>
          <w:p w14:paraId="71C6BD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91.34</w:t>
            </w:r>
          </w:p>
        </w:tc>
        <w:tc>
          <w:tcPr>
            <w:tcW w:w="743" w:type="dxa"/>
            <w:noWrap w:val="0"/>
            <w:vAlign w:val="center"/>
          </w:tcPr>
          <w:p w14:paraId="644C1F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146</w:t>
            </w:r>
          </w:p>
        </w:tc>
        <w:tc>
          <w:tcPr>
            <w:tcW w:w="1552" w:type="dxa"/>
            <w:noWrap w:val="0"/>
            <w:vAlign w:val="center"/>
          </w:tcPr>
          <w:p w14:paraId="2DF49A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90.68</w:t>
            </w:r>
          </w:p>
        </w:tc>
      </w:tr>
      <w:tr w14:paraId="5452F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48" w:type="pct"/>
            <w:gridSpan w:val="2"/>
            <w:noWrap w:val="0"/>
            <w:vAlign w:val="center"/>
          </w:tcPr>
          <w:p w14:paraId="719A3D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666" w:type="dxa"/>
            <w:noWrap w:val="0"/>
            <w:vAlign w:val="center"/>
          </w:tcPr>
          <w:p w14:paraId="1795E9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512" w:type="dxa"/>
            <w:noWrap w:val="0"/>
            <w:vAlign w:val="center"/>
          </w:tcPr>
          <w:p w14:paraId="6AC198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715" w:type="dxa"/>
            <w:noWrap w:val="0"/>
            <w:vAlign w:val="center"/>
          </w:tcPr>
          <w:p w14:paraId="5BD73D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1436" w:type="dxa"/>
            <w:noWrap w:val="0"/>
            <w:vAlign w:val="center"/>
          </w:tcPr>
          <w:p w14:paraId="6F0624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743" w:type="dxa"/>
            <w:noWrap w:val="0"/>
            <w:vAlign w:val="center"/>
          </w:tcPr>
          <w:p w14:paraId="7ED53C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161</w:t>
            </w:r>
          </w:p>
        </w:tc>
        <w:tc>
          <w:tcPr>
            <w:tcW w:w="1552" w:type="dxa"/>
            <w:noWrap w:val="0"/>
            <w:vAlign w:val="center"/>
          </w:tcPr>
          <w:p w14:paraId="7611A2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r>
    </w:tbl>
    <w:p w14:paraId="6FE8637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6"/>
          <w:szCs w:val="26"/>
          <w:highlight w:val="none"/>
        </w:rPr>
      </w:pPr>
    </w:p>
    <w:p w14:paraId="5C969748">
      <w:pPr>
        <w:adjustRightInd w:val="0"/>
        <w:snapToGrid w:val="0"/>
        <w:spacing w:line="460" w:lineRule="exact"/>
        <w:ind w:firstLine="520" w:firstLineChars="200"/>
        <w:rPr>
          <w:rFonts w:hint="default" w:ascii="Times New Roman" w:hAnsi="Times New Roman" w:eastAsia="宋体" w:cs="Times New Roman"/>
          <w:snapToGrid w:val="0"/>
          <w:color w:val="auto"/>
          <w:kern w:val="0"/>
          <w:sz w:val="26"/>
          <w:szCs w:val="26"/>
          <w:highlight w:val="none"/>
        </w:rPr>
      </w:pPr>
      <w:r>
        <w:rPr>
          <w:rFonts w:hint="default" w:ascii="Times New Roman" w:hAnsi="Times New Roman" w:eastAsia="宋体" w:cs="Times New Roman"/>
          <w:snapToGrid w:val="0"/>
          <w:color w:val="auto"/>
          <w:kern w:val="0"/>
          <w:sz w:val="26"/>
          <w:szCs w:val="26"/>
          <w:highlight w:val="none"/>
        </w:rPr>
        <w:t>根据调查结果，从物种组成来看，调查区内蕨类植物仅占总物种数的</w:t>
      </w:r>
      <w:r>
        <w:rPr>
          <w:rFonts w:hint="default" w:ascii="Times New Roman" w:hAnsi="Times New Roman" w:eastAsia="宋体" w:cs="Times New Roman"/>
          <w:snapToGrid w:val="0"/>
          <w:color w:val="auto"/>
          <w:kern w:val="0"/>
          <w:sz w:val="26"/>
          <w:szCs w:val="26"/>
          <w:highlight w:val="none"/>
          <w:lang w:val="en-US" w:eastAsia="zh-CN"/>
        </w:rPr>
        <w:t>8.07</w:t>
      </w:r>
      <w:r>
        <w:rPr>
          <w:rFonts w:hint="default" w:ascii="Times New Roman" w:hAnsi="Times New Roman" w:eastAsia="宋体" w:cs="Times New Roman"/>
          <w:snapToGrid w:val="0"/>
          <w:color w:val="auto"/>
          <w:kern w:val="0"/>
          <w:sz w:val="26"/>
          <w:szCs w:val="26"/>
          <w:highlight w:val="none"/>
        </w:rPr>
        <w:t>%，充分表明区内植物物种以种子植物为主，其所占比例超过总物种数的90%。</w:t>
      </w:r>
    </w:p>
    <w:p w14:paraId="2B0839E0">
      <w:pPr>
        <w:pStyle w:val="56"/>
        <w:rPr>
          <w:rFonts w:hint="default" w:ascii="Times New Roman" w:hAnsi="Times New Roman" w:eastAsia="宋体" w:cs="Times New Roman"/>
          <w:b/>
          <w:bCs/>
          <w:snapToGrid w:val="0"/>
          <w:color w:val="auto"/>
        </w:rPr>
      </w:pPr>
      <w:r>
        <w:rPr>
          <w:rFonts w:hint="default" w:ascii="Times New Roman" w:hAnsi="Times New Roman" w:eastAsia="宋体" w:cs="Times New Roman"/>
          <w:b/>
          <w:bCs/>
          <w:snapToGrid w:val="0"/>
          <w:color w:val="auto"/>
        </w:rPr>
        <w:t>（</w:t>
      </w:r>
      <w:r>
        <w:rPr>
          <w:rFonts w:hint="default" w:ascii="Times New Roman" w:hAnsi="Times New Roman" w:eastAsia="宋体" w:cs="Times New Roman"/>
          <w:b/>
          <w:bCs/>
          <w:snapToGrid w:val="0"/>
          <w:color w:val="auto"/>
          <w:lang w:val="en-US" w:eastAsia="zh-CN"/>
        </w:rPr>
        <w:t>5</w:t>
      </w:r>
      <w:r>
        <w:rPr>
          <w:rFonts w:hint="default" w:ascii="Times New Roman" w:hAnsi="Times New Roman" w:eastAsia="宋体" w:cs="Times New Roman"/>
          <w:b/>
          <w:bCs/>
          <w:snapToGrid w:val="0"/>
          <w:color w:val="auto"/>
        </w:rPr>
        <w:t>）珍稀保护植物</w:t>
      </w:r>
    </w:p>
    <w:p w14:paraId="3FB2535F">
      <w:pPr>
        <w:adjustRightInd w:val="0"/>
        <w:snapToGrid w:val="0"/>
        <w:spacing w:line="46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snapToGrid w:val="0"/>
          <w:color w:val="auto"/>
          <w:kern w:val="0"/>
          <w:sz w:val="26"/>
          <w:szCs w:val="26"/>
          <w:highlight w:val="none"/>
        </w:rPr>
        <w:t>结合参考《国家重点保护野生植物名录》（中国国家林业和草原局 农业农村部公告，2021年第15号</w:t>
      </w:r>
      <w:r>
        <w:rPr>
          <w:rFonts w:hint="default" w:ascii="Times New Roman" w:hAnsi="Times New Roman" w:eastAsia="宋体" w:cs="Times New Roman"/>
          <w:snapToGrid w:val="0"/>
          <w:color w:val="auto"/>
          <w:kern w:val="0"/>
          <w:sz w:val="26"/>
          <w:szCs w:val="26"/>
          <w:highlight w:val="none"/>
          <w:lang w:eastAsia="zh-CN"/>
        </w:rPr>
        <w:t>）、《中国生物多样性红色名录—</w:t>
      </w:r>
      <w:r>
        <w:rPr>
          <w:rFonts w:hint="default" w:ascii="Times New Roman" w:hAnsi="Times New Roman" w:eastAsia="宋体" w:cs="Times New Roman"/>
          <w:snapToGrid w:val="0"/>
          <w:color w:val="auto"/>
          <w:kern w:val="0"/>
          <w:sz w:val="26"/>
          <w:szCs w:val="26"/>
          <w:highlight w:val="none"/>
          <w:lang w:val="en-US" w:eastAsia="zh-CN"/>
        </w:rPr>
        <w:t>高等植物</w:t>
      </w:r>
      <w:r>
        <w:rPr>
          <w:rFonts w:hint="default" w:ascii="Times New Roman" w:hAnsi="Times New Roman" w:eastAsia="宋体" w:cs="Times New Roman"/>
          <w:snapToGrid w:val="0"/>
          <w:color w:val="auto"/>
          <w:kern w:val="0"/>
          <w:sz w:val="26"/>
          <w:szCs w:val="26"/>
          <w:highlight w:val="none"/>
          <w:lang w:eastAsia="zh-CN"/>
        </w:rPr>
        <w:t>卷（2020）》（</w:t>
      </w:r>
      <w:r>
        <w:rPr>
          <w:rFonts w:hint="default" w:ascii="Times New Roman" w:hAnsi="Times New Roman" w:eastAsia="宋体" w:cs="Times New Roman"/>
          <w:snapToGrid w:val="0"/>
          <w:color w:val="auto"/>
          <w:kern w:val="0"/>
          <w:sz w:val="26"/>
          <w:szCs w:val="26"/>
          <w:highlight w:val="none"/>
          <w:lang w:val="en-US" w:eastAsia="zh-CN"/>
        </w:rPr>
        <w:t>中华人民共和国生态环境部</w:t>
      </w:r>
      <w:r>
        <w:rPr>
          <w:rFonts w:hint="default" w:ascii="Times New Roman" w:hAnsi="Times New Roman" w:eastAsia="宋体" w:cs="Times New Roman"/>
          <w:snapToGrid w:val="0"/>
          <w:color w:val="auto"/>
          <w:kern w:val="0"/>
          <w:sz w:val="26"/>
          <w:szCs w:val="26"/>
          <w:highlight w:val="none"/>
        </w:rPr>
        <w:t xml:space="preserve"> </w:t>
      </w:r>
      <w:r>
        <w:rPr>
          <w:rFonts w:hint="default" w:ascii="Times New Roman" w:hAnsi="Times New Roman" w:eastAsia="宋体" w:cs="Times New Roman"/>
          <w:snapToGrid w:val="0"/>
          <w:color w:val="auto"/>
          <w:kern w:val="0"/>
          <w:sz w:val="26"/>
          <w:szCs w:val="26"/>
          <w:highlight w:val="none"/>
          <w:lang w:val="en-US" w:eastAsia="zh-CN"/>
        </w:rPr>
        <w:t>中国科学院</w:t>
      </w:r>
      <w:r>
        <w:rPr>
          <w:rFonts w:hint="default" w:ascii="Times New Roman" w:hAnsi="Times New Roman" w:eastAsia="宋体" w:cs="Times New Roman"/>
          <w:snapToGrid w:val="0"/>
          <w:color w:val="auto"/>
          <w:kern w:val="0"/>
          <w:sz w:val="26"/>
          <w:szCs w:val="26"/>
          <w:highlight w:val="none"/>
        </w:rPr>
        <w:t>公告，202</w:t>
      </w:r>
      <w:r>
        <w:rPr>
          <w:rFonts w:hint="default" w:ascii="Times New Roman" w:hAnsi="Times New Roman" w:eastAsia="宋体" w:cs="Times New Roman"/>
          <w:snapToGrid w:val="0"/>
          <w:color w:val="auto"/>
          <w:kern w:val="0"/>
          <w:sz w:val="26"/>
          <w:szCs w:val="26"/>
          <w:highlight w:val="none"/>
          <w:lang w:val="en-US" w:eastAsia="zh-CN"/>
        </w:rPr>
        <w:t>3</w:t>
      </w:r>
      <w:r>
        <w:rPr>
          <w:rFonts w:hint="default" w:ascii="Times New Roman" w:hAnsi="Times New Roman" w:eastAsia="宋体" w:cs="Times New Roman"/>
          <w:snapToGrid w:val="0"/>
          <w:color w:val="auto"/>
          <w:kern w:val="0"/>
          <w:sz w:val="26"/>
          <w:szCs w:val="26"/>
          <w:highlight w:val="none"/>
        </w:rPr>
        <w:t>年第</w:t>
      </w:r>
      <w:r>
        <w:rPr>
          <w:rFonts w:hint="default" w:ascii="Times New Roman" w:hAnsi="Times New Roman" w:eastAsia="宋体" w:cs="Times New Roman"/>
          <w:snapToGrid w:val="0"/>
          <w:color w:val="auto"/>
          <w:kern w:val="0"/>
          <w:sz w:val="26"/>
          <w:szCs w:val="26"/>
          <w:highlight w:val="none"/>
          <w:lang w:val="en-US" w:eastAsia="zh-CN"/>
        </w:rPr>
        <w:t>15</w:t>
      </w:r>
      <w:r>
        <w:rPr>
          <w:rFonts w:hint="default" w:ascii="Times New Roman" w:hAnsi="Times New Roman" w:eastAsia="宋体" w:cs="Times New Roman"/>
          <w:snapToGrid w:val="0"/>
          <w:color w:val="auto"/>
          <w:kern w:val="0"/>
          <w:sz w:val="26"/>
          <w:szCs w:val="26"/>
          <w:highlight w:val="none"/>
        </w:rPr>
        <w:t>号）</w:t>
      </w:r>
      <w:r>
        <w:rPr>
          <w:rFonts w:hint="default" w:ascii="Times New Roman" w:hAnsi="Times New Roman" w:eastAsia="宋体" w:cs="Times New Roman"/>
          <w:snapToGrid w:val="0"/>
          <w:color w:val="auto"/>
          <w:kern w:val="0"/>
          <w:sz w:val="26"/>
          <w:szCs w:val="26"/>
          <w:highlight w:val="none"/>
          <w:lang w:eastAsia="zh-CN"/>
        </w:rPr>
        <w:t>、《重庆市重点保护野生植物名录》（</w:t>
      </w:r>
      <w:r>
        <w:rPr>
          <w:rFonts w:hint="default" w:ascii="Times New Roman" w:hAnsi="Times New Roman" w:eastAsia="宋体" w:cs="Times New Roman"/>
          <w:snapToGrid w:val="0"/>
          <w:color w:val="auto"/>
          <w:kern w:val="0"/>
          <w:sz w:val="26"/>
          <w:szCs w:val="26"/>
          <w:highlight w:val="none"/>
          <w:lang w:val="en-US" w:eastAsia="zh-CN"/>
        </w:rPr>
        <w:t>重庆市林业局 重庆市农业农村委员会</w:t>
      </w:r>
      <w:r>
        <w:rPr>
          <w:rFonts w:hint="default" w:ascii="Times New Roman" w:hAnsi="Times New Roman" w:eastAsia="宋体" w:cs="Times New Roman"/>
          <w:snapToGrid w:val="0"/>
          <w:color w:val="auto"/>
          <w:kern w:val="0"/>
          <w:sz w:val="26"/>
          <w:szCs w:val="26"/>
          <w:highlight w:val="none"/>
        </w:rPr>
        <w:t>公告，渝林规范〔2023〕2号）</w:t>
      </w:r>
      <w:r>
        <w:rPr>
          <w:rFonts w:hint="default" w:ascii="Times New Roman" w:hAnsi="Times New Roman" w:eastAsia="宋体" w:cs="Times New Roman"/>
          <w:snapToGrid w:val="0"/>
          <w:color w:val="auto"/>
          <w:kern w:val="0"/>
          <w:sz w:val="26"/>
          <w:szCs w:val="26"/>
          <w:highlight w:val="none"/>
          <w:lang w:eastAsia="zh-CN"/>
        </w:rPr>
        <w:t>、</w:t>
      </w:r>
      <w:r>
        <w:rPr>
          <w:rFonts w:hint="default" w:ascii="Times New Roman" w:hAnsi="Times New Roman" w:eastAsia="宋体" w:cs="Times New Roman"/>
          <w:snapToGrid w:val="0"/>
          <w:color w:val="auto"/>
          <w:kern w:val="0"/>
          <w:sz w:val="26"/>
          <w:szCs w:val="26"/>
          <w:highlight w:val="none"/>
        </w:rPr>
        <w:t>《中国植物红皮书》</w:t>
      </w:r>
      <w:r>
        <w:rPr>
          <w:rFonts w:hint="default" w:ascii="Times New Roman" w:hAnsi="Times New Roman" w:eastAsia="宋体" w:cs="Times New Roman"/>
          <w:snapToGrid w:val="0"/>
          <w:color w:val="auto"/>
          <w:kern w:val="0"/>
          <w:sz w:val="26"/>
          <w:szCs w:val="26"/>
          <w:highlight w:val="none"/>
          <w:lang w:eastAsia="zh-CN"/>
        </w:rPr>
        <w:t>、2022 年颁布的《“十四五”全国极小种群野生植物拯救保护建设方案》</w:t>
      </w:r>
      <w:r>
        <w:rPr>
          <w:rFonts w:hint="default" w:ascii="Times New Roman" w:hAnsi="Times New Roman" w:eastAsia="宋体" w:cs="Times New Roman"/>
          <w:snapToGrid w:val="0"/>
          <w:color w:val="auto"/>
          <w:kern w:val="0"/>
          <w:sz w:val="26"/>
          <w:szCs w:val="26"/>
          <w:highlight w:val="none"/>
          <w:lang w:val="en-US" w:eastAsia="zh-CN"/>
        </w:rPr>
        <w:t>等文献资料</w:t>
      </w:r>
      <w:r>
        <w:rPr>
          <w:rFonts w:hint="default" w:ascii="Times New Roman" w:hAnsi="Times New Roman" w:eastAsia="宋体" w:cs="Times New Roman"/>
          <w:snapToGrid w:val="0"/>
          <w:color w:val="auto"/>
          <w:kern w:val="0"/>
          <w:sz w:val="26"/>
          <w:szCs w:val="26"/>
          <w:highlight w:val="none"/>
          <w:lang w:eastAsia="zh-CN"/>
        </w:rPr>
        <w:t>，</w:t>
      </w:r>
      <w:r>
        <w:rPr>
          <w:rFonts w:hint="default" w:ascii="Times New Roman" w:hAnsi="Times New Roman" w:eastAsia="宋体" w:cs="Times New Roman"/>
          <w:snapToGrid w:val="0"/>
          <w:color w:val="auto"/>
          <w:kern w:val="0"/>
          <w:sz w:val="26"/>
          <w:szCs w:val="26"/>
          <w:highlight w:val="none"/>
        </w:rPr>
        <w:t>项目占地</w:t>
      </w:r>
      <w:r>
        <w:rPr>
          <w:rFonts w:hint="default" w:ascii="Times New Roman" w:hAnsi="Times New Roman" w:eastAsia="宋体" w:cs="Times New Roman"/>
          <w:bCs/>
          <w:color w:val="auto"/>
          <w:sz w:val="26"/>
          <w:szCs w:val="26"/>
          <w:highlight w:val="none"/>
        </w:rPr>
        <w:t>及施工活动</w:t>
      </w:r>
      <w:r>
        <w:rPr>
          <w:rFonts w:hint="default" w:ascii="Times New Roman" w:hAnsi="Times New Roman" w:eastAsia="宋体" w:cs="Times New Roman"/>
          <w:snapToGrid w:val="0"/>
          <w:color w:val="auto"/>
          <w:kern w:val="0"/>
          <w:sz w:val="26"/>
          <w:szCs w:val="26"/>
          <w:highlight w:val="none"/>
        </w:rPr>
        <w:t>范围内无国家级、</w:t>
      </w:r>
      <w:r>
        <w:rPr>
          <w:rFonts w:hint="default" w:ascii="Times New Roman" w:hAnsi="Times New Roman" w:eastAsia="宋体" w:cs="Times New Roman"/>
          <w:snapToGrid w:val="0"/>
          <w:color w:val="auto"/>
          <w:kern w:val="0"/>
          <w:sz w:val="26"/>
          <w:szCs w:val="26"/>
          <w:highlight w:val="none"/>
          <w:lang w:eastAsia="zh-CN"/>
        </w:rPr>
        <w:t>重庆市</w:t>
      </w:r>
      <w:r>
        <w:rPr>
          <w:rFonts w:hint="default" w:ascii="Times New Roman" w:hAnsi="Times New Roman" w:eastAsia="宋体" w:cs="Times New Roman"/>
          <w:snapToGrid w:val="0"/>
          <w:color w:val="auto"/>
          <w:kern w:val="0"/>
          <w:sz w:val="26"/>
          <w:szCs w:val="26"/>
          <w:highlight w:val="none"/>
        </w:rPr>
        <w:t>重点保护野生植物</w:t>
      </w:r>
      <w:r>
        <w:rPr>
          <w:rFonts w:hint="default" w:ascii="Times New Roman" w:hAnsi="Times New Roman" w:eastAsia="宋体" w:cs="Times New Roman"/>
          <w:snapToGrid w:val="0"/>
          <w:color w:val="auto"/>
          <w:kern w:val="0"/>
          <w:sz w:val="26"/>
          <w:szCs w:val="26"/>
          <w:highlight w:val="none"/>
          <w:lang w:eastAsia="zh-CN"/>
        </w:rPr>
        <w:t>、</w:t>
      </w:r>
      <w:r>
        <w:rPr>
          <w:rFonts w:hint="default" w:ascii="Times New Roman" w:hAnsi="Times New Roman" w:eastAsia="宋体" w:cs="Times New Roman"/>
          <w:bCs/>
          <w:color w:val="auto"/>
          <w:sz w:val="26"/>
          <w:szCs w:val="26"/>
          <w:highlight w:val="none"/>
        </w:rPr>
        <w:t>古树名木分布</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lang w:val="en-US" w:eastAsia="zh-CN"/>
        </w:rPr>
        <w:t>极小种群</w:t>
      </w:r>
      <w:r>
        <w:rPr>
          <w:rFonts w:hint="default" w:ascii="Times New Roman" w:hAnsi="Times New Roman" w:eastAsia="宋体" w:cs="Times New Roman"/>
          <w:color w:val="auto"/>
          <w:sz w:val="26"/>
          <w:szCs w:val="26"/>
          <w:highlight w:val="none"/>
          <w:lang w:val="en-US" w:eastAsia="zh-CN"/>
        </w:rPr>
        <w:t>及</w:t>
      </w:r>
      <w:r>
        <w:rPr>
          <w:rFonts w:hint="default" w:ascii="Times New Roman" w:hAnsi="Times New Roman" w:eastAsia="宋体" w:cs="Times New Roman"/>
          <w:bCs/>
          <w:color w:val="auto"/>
          <w:sz w:val="26"/>
          <w:szCs w:val="26"/>
          <w:highlight w:val="none"/>
        </w:rPr>
        <w:t>其他珍稀保护植物分布。</w:t>
      </w:r>
    </w:p>
    <w:p w14:paraId="39AA29A6">
      <w:pPr>
        <w:adjustRightInd w:val="0"/>
        <w:snapToGrid w:val="0"/>
        <w:spacing w:line="46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评价区内的特有种植物共计</w:t>
      </w:r>
      <w:r>
        <w:rPr>
          <w:rFonts w:hint="default" w:ascii="Times New Roman" w:hAnsi="Times New Roman" w:eastAsia="宋体" w:cs="Times New Roman"/>
          <w:bCs/>
          <w:color w:val="auto"/>
          <w:sz w:val="26"/>
          <w:szCs w:val="26"/>
          <w:highlight w:val="none"/>
          <w:lang w:val="en-US" w:eastAsia="zh-CN"/>
        </w:rPr>
        <w:t>16</w:t>
      </w:r>
      <w:r>
        <w:rPr>
          <w:rFonts w:hint="default" w:ascii="Times New Roman" w:hAnsi="Times New Roman" w:eastAsia="宋体" w:cs="Times New Roman"/>
          <w:bCs/>
          <w:color w:val="auto"/>
          <w:sz w:val="26"/>
          <w:szCs w:val="26"/>
          <w:highlight w:val="none"/>
        </w:rPr>
        <w:t>种，均为无危种，工程占用的</w:t>
      </w:r>
      <w:r>
        <w:rPr>
          <w:rFonts w:hint="default" w:ascii="Times New Roman" w:hAnsi="Times New Roman" w:eastAsia="宋体" w:cs="Times New Roman"/>
          <w:bCs/>
          <w:color w:val="auto"/>
          <w:sz w:val="26"/>
          <w:szCs w:val="26"/>
          <w:highlight w:val="none"/>
          <w:lang w:val="en-US" w:eastAsia="zh-CN"/>
        </w:rPr>
        <w:t>特有种</w:t>
      </w:r>
      <w:r>
        <w:rPr>
          <w:rFonts w:hint="default" w:ascii="Times New Roman" w:hAnsi="Times New Roman" w:eastAsia="宋体" w:cs="Times New Roman"/>
          <w:bCs/>
          <w:color w:val="auto"/>
          <w:sz w:val="26"/>
          <w:szCs w:val="26"/>
          <w:highlight w:val="none"/>
        </w:rPr>
        <w:t>均为评价范围的常见种和广布种。</w:t>
      </w:r>
    </w:p>
    <w:p w14:paraId="379AC6C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highlight w:val="none"/>
          <w:lang w:val="en-US"/>
        </w:rPr>
      </w:pPr>
      <w:r>
        <w:rPr>
          <w:rFonts w:hint="default" w:ascii="Times New Roman" w:hAnsi="Times New Roman" w:eastAsia="宋体" w:cs="Times New Roman"/>
          <w:b/>
          <w:bCs w:val="0"/>
          <w:color w:val="auto"/>
          <w:sz w:val="26"/>
          <w:szCs w:val="26"/>
          <w:highlight w:val="none"/>
          <w:lang w:val="en-US" w:eastAsia="zh-CN"/>
        </w:rPr>
        <w:t>表4.3-1</w:t>
      </w:r>
      <w:r>
        <w:rPr>
          <w:rFonts w:hint="eastAsia" w:ascii="Times New Roman" w:hAnsi="Times New Roman" w:cs="Times New Roman"/>
          <w:b/>
          <w:bCs w:val="0"/>
          <w:color w:val="auto"/>
          <w:sz w:val="26"/>
          <w:szCs w:val="26"/>
          <w:highlight w:val="none"/>
          <w:lang w:val="en-US" w:eastAsia="zh-CN"/>
        </w:rPr>
        <w:t>5</w:t>
      </w:r>
      <w:r>
        <w:rPr>
          <w:rFonts w:hint="default" w:ascii="Times New Roman" w:hAnsi="Times New Roman" w:eastAsia="宋体" w:cs="Times New Roman"/>
          <w:b/>
          <w:bCs w:val="0"/>
          <w:color w:val="auto"/>
          <w:sz w:val="26"/>
          <w:szCs w:val="26"/>
          <w:highlight w:val="none"/>
          <w:lang w:val="en-US" w:eastAsia="zh-CN"/>
        </w:rPr>
        <w:t xml:space="preserve"> 特有种统计表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1270"/>
        <w:gridCol w:w="1229"/>
        <w:gridCol w:w="2523"/>
        <w:gridCol w:w="914"/>
        <w:gridCol w:w="1739"/>
        <w:gridCol w:w="822"/>
      </w:tblGrid>
      <w:tr w14:paraId="6F35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3744D213">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710" w:type="pct"/>
            <w:noWrap w:val="0"/>
            <w:vAlign w:val="center"/>
          </w:tcPr>
          <w:p w14:paraId="58CF41A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lang w:val="en-US" w:eastAsia="zh-CN"/>
              </w:rPr>
            </w:pPr>
            <w:r>
              <w:rPr>
                <w:rFonts w:hint="default" w:ascii="Times New Roman" w:hAnsi="Times New Roman" w:eastAsia="宋体" w:cs="Times New Roman"/>
                <w:b/>
                <w:bCs/>
                <w:i w:val="0"/>
                <w:iCs w:val="0"/>
                <w:color w:val="000000"/>
                <w:sz w:val="21"/>
                <w:szCs w:val="21"/>
                <w:u w:val="none"/>
                <w:lang w:val="en-US" w:eastAsia="zh-CN"/>
              </w:rPr>
              <w:t>科名</w:t>
            </w:r>
          </w:p>
        </w:tc>
        <w:tc>
          <w:tcPr>
            <w:tcW w:w="687" w:type="pct"/>
            <w:noWrap w:val="0"/>
            <w:vAlign w:val="center"/>
          </w:tcPr>
          <w:p w14:paraId="1D9B2F1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lang w:val="en-US" w:eastAsia="zh-CN"/>
              </w:rPr>
            </w:pPr>
            <w:r>
              <w:rPr>
                <w:rFonts w:hint="default" w:ascii="Times New Roman" w:hAnsi="Times New Roman" w:eastAsia="宋体" w:cs="Times New Roman"/>
                <w:b/>
                <w:bCs/>
                <w:i w:val="0"/>
                <w:iCs w:val="0"/>
                <w:color w:val="000000"/>
                <w:sz w:val="21"/>
                <w:szCs w:val="21"/>
                <w:u w:val="none"/>
                <w:lang w:val="en-US" w:eastAsia="zh-CN"/>
              </w:rPr>
              <w:t>属名</w:t>
            </w:r>
          </w:p>
        </w:tc>
        <w:tc>
          <w:tcPr>
            <w:tcW w:w="1410" w:type="pct"/>
            <w:noWrap w:val="0"/>
            <w:vAlign w:val="center"/>
          </w:tcPr>
          <w:p w14:paraId="0E590956">
            <w:pPr>
              <w:keepNext w:val="0"/>
              <w:keepLines w:val="0"/>
              <w:widowControl/>
              <w:suppressLineNumbers w:val="0"/>
              <w:jc w:val="center"/>
              <w:textAlignment w:val="center"/>
              <w:rPr>
                <w:rFonts w:hint="default" w:ascii="Times New Roman" w:hAnsi="Times New Roman" w:eastAsia="宋体" w:cs="Times New Roman"/>
                <w:b/>
                <w:bCs/>
                <w:i/>
                <w:iCs/>
                <w:color w:val="000000"/>
                <w:sz w:val="21"/>
                <w:szCs w:val="21"/>
                <w:u w:val="none"/>
                <w:lang w:val="en-US" w:eastAsia="zh-CN"/>
              </w:rPr>
            </w:pPr>
            <w:r>
              <w:rPr>
                <w:rFonts w:hint="default" w:ascii="Times New Roman" w:hAnsi="Times New Roman" w:eastAsia="宋体" w:cs="Times New Roman"/>
                <w:b/>
                <w:bCs/>
                <w:i w:val="0"/>
                <w:iCs w:val="0"/>
                <w:color w:val="000000"/>
                <w:sz w:val="21"/>
                <w:szCs w:val="21"/>
                <w:u w:val="none"/>
                <w:lang w:val="en-US" w:eastAsia="zh-CN"/>
              </w:rPr>
              <w:t>种名/种拉丁名</w:t>
            </w:r>
          </w:p>
        </w:tc>
        <w:tc>
          <w:tcPr>
            <w:tcW w:w="511" w:type="pct"/>
            <w:noWrap w:val="0"/>
            <w:vAlign w:val="center"/>
          </w:tcPr>
          <w:p w14:paraId="20F3F69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lang w:val="en-US" w:eastAsia="zh-CN"/>
              </w:rPr>
            </w:pPr>
            <w:r>
              <w:rPr>
                <w:rFonts w:hint="default" w:ascii="Times New Roman" w:hAnsi="Times New Roman" w:eastAsia="宋体" w:cs="Times New Roman"/>
                <w:b/>
                <w:bCs/>
                <w:i w:val="0"/>
                <w:iCs w:val="0"/>
                <w:color w:val="000000"/>
                <w:sz w:val="21"/>
                <w:szCs w:val="21"/>
                <w:u w:val="none"/>
                <w:lang w:val="en-US" w:eastAsia="zh-CN"/>
              </w:rPr>
              <w:t>濒危等级</w:t>
            </w:r>
          </w:p>
        </w:tc>
        <w:tc>
          <w:tcPr>
            <w:tcW w:w="972" w:type="pct"/>
            <w:noWrap w:val="0"/>
            <w:vAlign w:val="center"/>
          </w:tcPr>
          <w:p w14:paraId="0E1DF37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lang w:val="en-US" w:eastAsia="zh-CN"/>
              </w:rPr>
            </w:pPr>
            <w:r>
              <w:rPr>
                <w:rFonts w:hint="default" w:ascii="Times New Roman" w:hAnsi="Times New Roman" w:eastAsia="宋体" w:cs="Times New Roman"/>
                <w:b/>
                <w:bCs/>
                <w:i w:val="0"/>
                <w:iCs w:val="0"/>
                <w:color w:val="000000"/>
                <w:sz w:val="21"/>
                <w:szCs w:val="21"/>
                <w:u w:val="none"/>
                <w:lang w:val="en-US" w:eastAsia="zh-CN"/>
              </w:rPr>
              <w:t>分布区域</w:t>
            </w:r>
          </w:p>
        </w:tc>
        <w:tc>
          <w:tcPr>
            <w:tcW w:w="459" w:type="pct"/>
            <w:noWrap w:val="0"/>
            <w:vAlign w:val="center"/>
          </w:tcPr>
          <w:p w14:paraId="39ECC22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lang w:val="en-US" w:eastAsia="zh-CN"/>
              </w:rPr>
            </w:pPr>
            <w:r>
              <w:rPr>
                <w:rFonts w:hint="default" w:ascii="Times New Roman" w:hAnsi="Times New Roman" w:eastAsia="宋体" w:cs="Times New Roman"/>
                <w:b/>
                <w:bCs/>
                <w:i w:val="0"/>
                <w:iCs w:val="0"/>
                <w:color w:val="000000"/>
                <w:sz w:val="21"/>
                <w:szCs w:val="21"/>
                <w:u w:val="none"/>
                <w:lang w:val="en-US" w:eastAsia="zh-CN"/>
              </w:rPr>
              <w:t>工程是否占用</w:t>
            </w:r>
          </w:p>
        </w:tc>
      </w:tr>
      <w:tr w14:paraId="47D2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69B8C869">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2FAD6C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百合科</w:t>
            </w:r>
          </w:p>
        </w:tc>
        <w:tc>
          <w:tcPr>
            <w:tcW w:w="687" w:type="pct"/>
            <w:noWrap w:val="0"/>
            <w:vAlign w:val="center"/>
          </w:tcPr>
          <w:p w14:paraId="25880B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菝葜属</w:t>
            </w:r>
          </w:p>
        </w:tc>
        <w:tc>
          <w:tcPr>
            <w:tcW w:w="1410" w:type="pct"/>
            <w:noWrap w:val="0"/>
            <w:vAlign w:val="center"/>
          </w:tcPr>
          <w:p w14:paraId="6BC6AF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小叶菝葜</w:t>
            </w:r>
          </w:p>
          <w:p w14:paraId="5682D2D9">
            <w:pPr>
              <w:keepNext w:val="0"/>
              <w:keepLines w:val="0"/>
              <w:widowControl/>
              <w:suppressLineNumbers w:val="0"/>
              <w:jc w:val="center"/>
              <w:textAlignment w:val="center"/>
              <w:rPr>
                <w:rFonts w:hint="default" w:ascii="Times New Roman" w:hAnsi="Times New Roman" w:eastAsia="宋体" w:cs="Times New Roman"/>
                <w:i/>
                <w:iCs/>
                <w:color w:val="000000"/>
                <w:kern w:val="0"/>
                <w:sz w:val="21"/>
                <w:szCs w:val="21"/>
                <w:u w:val="none"/>
                <w:lang w:val="en-US" w:eastAsia="zh-CN" w:bidi="ar"/>
              </w:rPr>
            </w:pPr>
            <w:r>
              <w:rPr>
                <w:rFonts w:hint="default" w:ascii="Times New Roman" w:hAnsi="Times New Roman" w:eastAsia="宋体" w:cs="Times New Roman"/>
                <w:i/>
                <w:iCs/>
                <w:color w:val="000000"/>
                <w:kern w:val="0"/>
                <w:sz w:val="21"/>
                <w:szCs w:val="21"/>
                <w:u w:val="none"/>
                <w:lang w:val="en-US" w:eastAsia="zh-CN" w:bidi="ar"/>
              </w:rPr>
              <w:t>Smilax microphylla</w:t>
            </w:r>
          </w:p>
        </w:tc>
        <w:tc>
          <w:tcPr>
            <w:tcW w:w="511" w:type="pct"/>
            <w:noWrap w:val="0"/>
            <w:vAlign w:val="center"/>
          </w:tcPr>
          <w:p w14:paraId="6F0AA6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258BA65E">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乔木林林下分布</w:t>
            </w:r>
          </w:p>
        </w:tc>
        <w:tc>
          <w:tcPr>
            <w:tcW w:w="459" w:type="pct"/>
            <w:noWrap w:val="0"/>
            <w:vAlign w:val="center"/>
          </w:tcPr>
          <w:p w14:paraId="70F7DF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r w14:paraId="61FF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085F4319">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0F0E1F5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大戟科</w:t>
            </w:r>
          </w:p>
        </w:tc>
        <w:tc>
          <w:tcPr>
            <w:tcW w:w="687" w:type="pct"/>
            <w:noWrap w:val="0"/>
            <w:vAlign w:val="center"/>
          </w:tcPr>
          <w:p w14:paraId="2945713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野桐属</w:t>
            </w:r>
          </w:p>
        </w:tc>
        <w:tc>
          <w:tcPr>
            <w:tcW w:w="1410" w:type="pct"/>
            <w:noWrap w:val="0"/>
            <w:vAlign w:val="center"/>
          </w:tcPr>
          <w:p w14:paraId="79FB098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野桐</w:t>
            </w:r>
          </w:p>
          <w:p w14:paraId="61318B78">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Mallotus </w:t>
            </w:r>
            <w:r>
              <w:rPr>
                <w:rFonts w:hint="default" w:ascii="Times New Roman" w:hAnsi="Times New Roman" w:eastAsia="宋体" w:cs="Times New Roman"/>
                <w:i/>
                <w:iCs/>
                <w:color w:val="000000"/>
                <w:kern w:val="0"/>
                <w:sz w:val="21"/>
                <w:szCs w:val="21"/>
                <w:u w:val="none"/>
                <w:shd w:val="clear" w:fill="FFFFFF"/>
                <w:lang w:val="en-US" w:eastAsia="zh-CN" w:bidi="ar"/>
              </w:rPr>
              <w:t>tenuifolius</w:t>
            </w:r>
          </w:p>
        </w:tc>
        <w:tc>
          <w:tcPr>
            <w:tcW w:w="511" w:type="pct"/>
            <w:noWrap w:val="0"/>
            <w:vAlign w:val="center"/>
          </w:tcPr>
          <w:p w14:paraId="75F7AF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030F429A">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乔木林林下分布</w:t>
            </w:r>
          </w:p>
        </w:tc>
        <w:tc>
          <w:tcPr>
            <w:tcW w:w="459" w:type="pct"/>
            <w:noWrap w:val="0"/>
            <w:vAlign w:val="center"/>
          </w:tcPr>
          <w:p w14:paraId="3577B1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r w14:paraId="1494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47D7A000">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6798C6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杜鹃花科</w:t>
            </w:r>
          </w:p>
        </w:tc>
        <w:tc>
          <w:tcPr>
            <w:tcW w:w="687" w:type="pct"/>
            <w:noWrap w:val="0"/>
            <w:vAlign w:val="center"/>
          </w:tcPr>
          <w:p w14:paraId="471245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越橘属</w:t>
            </w:r>
          </w:p>
        </w:tc>
        <w:tc>
          <w:tcPr>
            <w:tcW w:w="1410" w:type="pct"/>
            <w:noWrap w:val="0"/>
            <w:vAlign w:val="center"/>
          </w:tcPr>
          <w:p w14:paraId="31CFD46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江南越橘</w:t>
            </w:r>
          </w:p>
          <w:p w14:paraId="6DB76188">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Vaccinium </w:t>
            </w:r>
            <w:r>
              <w:rPr>
                <w:rFonts w:hint="default" w:ascii="Times New Roman" w:hAnsi="Times New Roman" w:eastAsia="宋体" w:cs="Times New Roman"/>
                <w:i/>
                <w:iCs/>
                <w:color w:val="000000"/>
                <w:kern w:val="0"/>
                <w:sz w:val="21"/>
                <w:szCs w:val="21"/>
                <w:u w:val="none"/>
                <w:shd w:val="clear" w:fill="FFFFFF"/>
                <w:lang w:val="en-US" w:eastAsia="zh-CN" w:bidi="ar"/>
              </w:rPr>
              <w:t>mandarinorum</w:t>
            </w:r>
          </w:p>
        </w:tc>
        <w:tc>
          <w:tcPr>
            <w:tcW w:w="511" w:type="pct"/>
            <w:noWrap w:val="0"/>
            <w:vAlign w:val="center"/>
          </w:tcPr>
          <w:p w14:paraId="58314E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062D8367">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乔木林林下分布</w:t>
            </w:r>
          </w:p>
        </w:tc>
        <w:tc>
          <w:tcPr>
            <w:tcW w:w="459" w:type="pct"/>
            <w:noWrap w:val="0"/>
            <w:vAlign w:val="center"/>
          </w:tcPr>
          <w:p w14:paraId="478782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r w14:paraId="152F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505E015C">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1F7F58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禾本科</w:t>
            </w:r>
          </w:p>
        </w:tc>
        <w:tc>
          <w:tcPr>
            <w:tcW w:w="687" w:type="pct"/>
            <w:noWrap w:val="0"/>
            <w:vAlign w:val="center"/>
          </w:tcPr>
          <w:p w14:paraId="4DF0544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慈竹属</w:t>
            </w:r>
          </w:p>
        </w:tc>
        <w:tc>
          <w:tcPr>
            <w:tcW w:w="1410" w:type="pct"/>
            <w:noWrap w:val="0"/>
            <w:vAlign w:val="center"/>
          </w:tcPr>
          <w:p w14:paraId="5299379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慈竹</w:t>
            </w:r>
          </w:p>
          <w:p w14:paraId="419521B5">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Bambusa </w:t>
            </w:r>
            <w:r>
              <w:rPr>
                <w:rFonts w:hint="default" w:ascii="Times New Roman" w:hAnsi="Times New Roman" w:eastAsia="宋体" w:cs="Times New Roman"/>
                <w:i/>
                <w:iCs/>
                <w:color w:val="000000"/>
                <w:kern w:val="0"/>
                <w:sz w:val="21"/>
                <w:szCs w:val="21"/>
                <w:u w:val="none"/>
                <w:shd w:val="clear" w:fill="FFFFFF"/>
                <w:lang w:val="en-US" w:eastAsia="zh-CN" w:bidi="ar"/>
              </w:rPr>
              <w:t>emeiensis</w:t>
            </w:r>
          </w:p>
        </w:tc>
        <w:tc>
          <w:tcPr>
            <w:tcW w:w="511" w:type="pct"/>
            <w:noWrap w:val="0"/>
            <w:vAlign w:val="center"/>
          </w:tcPr>
          <w:p w14:paraId="4BED37D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617FFF42">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房前屋后</w:t>
            </w:r>
          </w:p>
        </w:tc>
        <w:tc>
          <w:tcPr>
            <w:tcW w:w="459" w:type="pct"/>
            <w:noWrap w:val="0"/>
            <w:vAlign w:val="center"/>
          </w:tcPr>
          <w:p w14:paraId="353E6C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是</w:t>
            </w:r>
          </w:p>
        </w:tc>
      </w:tr>
      <w:tr w14:paraId="23B4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63E10E7F">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23A2493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禾本科</w:t>
            </w:r>
          </w:p>
        </w:tc>
        <w:tc>
          <w:tcPr>
            <w:tcW w:w="687" w:type="pct"/>
            <w:noWrap w:val="0"/>
            <w:vAlign w:val="center"/>
          </w:tcPr>
          <w:p w14:paraId="7565E10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刚竹属</w:t>
            </w:r>
          </w:p>
        </w:tc>
        <w:tc>
          <w:tcPr>
            <w:tcW w:w="1410" w:type="pct"/>
            <w:noWrap w:val="0"/>
            <w:vAlign w:val="center"/>
          </w:tcPr>
          <w:p w14:paraId="112B75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刚竹</w:t>
            </w:r>
          </w:p>
          <w:p w14:paraId="646AE0E1">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Phyllostachys </w:t>
            </w:r>
            <w:r>
              <w:rPr>
                <w:rFonts w:hint="default" w:ascii="Times New Roman" w:hAnsi="Times New Roman" w:eastAsia="宋体" w:cs="Times New Roman"/>
                <w:i/>
                <w:iCs/>
                <w:color w:val="000000"/>
                <w:kern w:val="0"/>
                <w:sz w:val="21"/>
                <w:szCs w:val="21"/>
                <w:u w:val="none"/>
                <w:shd w:val="clear" w:fill="FFFFFF"/>
                <w:lang w:val="en-US" w:eastAsia="zh-CN" w:bidi="ar"/>
              </w:rPr>
              <w:t>sulphurea</w:t>
            </w:r>
          </w:p>
        </w:tc>
        <w:tc>
          <w:tcPr>
            <w:tcW w:w="511" w:type="pct"/>
            <w:noWrap w:val="0"/>
            <w:vAlign w:val="center"/>
          </w:tcPr>
          <w:p w14:paraId="2CB4F5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62F6DF5B">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乔木林林下分布</w:t>
            </w:r>
          </w:p>
        </w:tc>
        <w:tc>
          <w:tcPr>
            <w:tcW w:w="459" w:type="pct"/>
            <w:noWrap w:val="0"/>
            <w:vAlign w:val="center"/>
          </w:tcPr>
          <w:p w14:paraId="151127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是</w:t>
            </w:r>
          </w:p>
        </w:tc>
      </w:tr>
      <w:tr w14:paraId="4F37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48" w:type="pct"/>
            <w:noWrap w:val="0"/>
            <w:vAlign w:val="center"/>
          </w:tcPr>
          <w:p w14:paraId="200076C2">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6819B4E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禾本科</w:t>
            </w:r>
          </w:p>
        </w:tc>
        <w:tc>
          <w:tcPr>
            <w:tcW w:w="687" w:type="pct"/>
            <w:noWrap w:val="0"/>
            <w:vAlign w:val="center"/>
          </w:tcPr>
          <w:p w14:paraId="7A9D06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刚竹属</w:t>
            </w:r>
          </w:p>
        </w:tc>
        <w:tc>
          <w:tcPr>
            <w:tcW w:w="1410" w:type="pct"/>
            <w:noWrap/>
            <w:vAlign w:val="center"/>
          </w:tcPr>
          <w:p w14:paraId="4B4AB18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毛竹</w:t>
            </w:r>
          </w:p>
          <w:p w14:paraId="6834D16A">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Phyllostachys edulis</w:t>
            </w:r>
          </w:p>
        </w:tc>
        <w:tc>
          <w:tcPr>
            <w:tcW w:w="511" w:type="pct"/>
            <w:noWrap/>
            <w:vAlign w:val="center"/>
          </w:tcPr>
          <w:p w14:paraId="1CE1AA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ign w:val="center"/>
          </w:tcPr>
          <w:p w14:paraId="43B9EE3E">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房前屋后</w:t>
            </w:r>
          </w:p>
        </w:tc>
        <w:tc>
          <w:tcPr>
            <w:tcW w:w="459" w:type="pct"/>
            <w:noWrap/>
            <w:vAlign w:val="center"/>
          </w:tcPr>
          <w:p w14:paraId="5000BC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r w14:paraId="7C8D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7F35EF66">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5E0E775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禾本科</w:t>
            </w:r>
          </w:p>
        </w:tc>
        <w:tc>
          <w:tcPr>
            <w:tcW w:w="687" w:type="pct"/>
            <w:noWrap w:val="0"/>
            <w:vAlign w:val="center"/>
          </w:tcPr>
          <w:p w14:paraId="1A37F5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刚竹属</w:t>
            </w:r>
          </w:p>
        </w:tc>
        <w:tc>
          <w:tcPr>
            <w:tcW w:w="1410" w:type="pct"/>
            <w:noWrap w:val="0"/>
            <w:vAlign w:val="center"/>
          </w:tcPr>
          <w:p w14:paraId="3FF55B9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水竹</w:t>
            </w:r>
          </w:p>
          <w:p w14:paraId="5B972976">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Phyllostachys </w:t>
            </w:r>
            <w:r>
              <w:rPr>
                <w:rFonts w:hint="default" w:ascii="Times New Roman" w:hAnsi="Times New Roman" w:eastAsia="宋体" w:cs="Times New Roman"/>
                <w:i/>
                <w:iCs/>
                <w:color w:val="000000"/>
                <w:kern w:val="0"/>
                <w:sz w:val="21"/>
                <w:szCs w:val="21"/>
                <w:u w:val="none"/>
                <w:shd w:val="clear" w:fill="FFFFFF"/>
                <w:lang w:val="en-US" w:eastAsia="zh-CN" w:bidi="ar"/>
              </w:rPr>
              <w:t>heteroclada</w:t>
            </w:r>
          </w:p>
        </w:tc>
        <w:tc>
          <w:tcPr>
            <w:tcW w:w="511" w:type="pct"/>
            <w:noWrap w:val="0"/>
            <w:vAlign w:val="center"/>
          </w:tcPr>
          <w:p w14:paraId="70350C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303727CF">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乔木林林下分布</w:t>
            </w:r>
          </w:p>
        </w:tc>
        <w:tc>
          <w:tcPr>
            <w:tcW w:w="459" w:type="pct"/>
            <w:noWrap w:val="0"/>
            <w:vAlign w:val="center"/>
          </w:tcPr>
          <w:p w14:paraId="1D7FB1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r w14:paraId="5219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39CE5D94">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1D097CE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荚蒾科</w:t>
            </w:r>
          </w:p>
        </w:tc>
        <w:tc>
          <w:tcPr>
            <w:tcW w:w="687" w:type="pct"/>
            <w:noWrap w:val="0"/>
            <w:vAlign w:val="center"/>
          </w:tcPr>
          <w:p w14:paraId="6198CB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荚蒾属</w:t>
            </w:r>
          </w:p>
        </w:tc>
        <w:tc>
          <w:tcPr>
            <w:tcW w:w="1410" w:type="pct"/>
            <w:noWrap w:val="0"/>
            <w:vAlign w:val="center"/>
          </w:tcPr>
          <w:p w14:paraId="1618F1D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金佛山荚蒾</w:t>
            </w:r>
          </w:p>
          <w:p w14:paraId="5F12832F">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Viburnum </w:t>
            </w:r>
            <w:r>
              <w:rPr>
                <w:rFonts w:hint="default" w:ascii="Times New Roman" w:hAnsi="Times New Roman" w:eastAsia="宋体" w:cs="Times New Roman"/>
                <w:i/>
                <w:iCs/>
                <w:color w:val="000000"/>
                <w:kern w:val="0"/>
                <w:sz w:val="21"/>
                <w:szCs w:val="21"/>
                <w:u w:val="none"/>
                <w:shd w:val="clear" w:fill="FFFFFF"/>
                <w:lang w:val="en-US" w:eastAsia="zh-CN" w:bidi="ar"/>
              </w:rPr>
              <w:t>chinshanense</w:t>
            </w:r>
          </w:p>
        </w:tc>
        <w:tc>
          <w:tcPr>
            <w:tcW w:w="511" w:type="pct"/>
            <w:noWrap w:val="0"/>
            <w:vAlign w:val="center"/>
          </w:tcPr>
          <w:p w14:paraId="2F16B1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5ED6013E">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乔木林林下分布</w:t>
            </w:r>
          </w:p>
        </w:tc>
        <w:tc>
          <w:tcPr>
            <w:tcW w:w="459" w:type="pct"/>
            <w:noWrap w:val="0"/>
            <w:vAlign w:val="center"/>
          </w:tcPr>
          <w:p w14:paraId="60CB9B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是</w:t>
            </w:r>
          </w:p>
        </w:tc>
      </w:tr>
      <w:tr w14:paraId="019E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7AFFF673">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600A728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荚蒾科</w:t>
            </w:r>
          </w:p>
        </w:tc>
        <w:tc>
          <w:tcPr>
            <w:tcW w:w="687" w:type="pct"/>
            <w:noWrap w:val="0"/>
            <w:vAlign w:val="center"/>
          </w:tcPr>
          <w:p w14:paraId="0B23378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荚蒾属</w:t>
            </w:r>
          </w:p>
        </w:tc>
        <w:tc>
          <w:tcPr>
            <w:tcW w:w="1410" w:type="pct"/>
            <w:noWrap w:val="0"/>
            <w:vAlign w:val="center"/>
          </w:tcPr>
          <w:p w14:paraId="045A3B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球核荚蒾</w:t>
            </w:r>
          </w:p>
          <w:p w14:paraId="50546B88">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Viburnum </w:t>
            </w:r>
            <w:r>
              <w:rPr>
                <w:rFonts w:hint="default" w:ascii="Times New Roman" w:hAnsi="Times New Roman" w:eastAsia="宋体" w:cs="Times New Roman"/>
                <w:i/>
                <w:iCs/>
                <w:color w:val="000000"/>
                <w:kern w:val="0"/>
                <w:sz w:val="21"/>
                <w:szCs w:val="21"/>
                <w:u w:val="none"/>
                <w:shd w:val="clear" w:fill="FFFFFF"/>
                <w:lang w:val="en-US" w:eastAsia="zh-CN" w:bidi="ar"/>
              </w:rPr>
              <w:t>propinquum</w:t>
            </w:r>
          </w:p>
        </w:tc>
        <w:tc>
          <w:tcPr>
            <w:tcW w:w="511" w:type="pct"/>
            <w:noWrap w:val="0"/>
            <w:vAlign w:val="center"/>
          </w:tcPr>
          <w:p w14:paraId="08EA66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75DEF627">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乔木林林下分布</w:t>
            </w:r>
          </w:p>
        </w:tc>
        <w:tc>
          <w:tcPr>
            <w:tcW w:w="459" w:type="pct"/>
            <w:noWrap w:val="0"/>
            <w:vAlign w:val="center"/>
          </w:tcPr>
          <w:p w14:paraId="28B5A98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r w14:paraId="2030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3FF293A3">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396D315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葡萄科</w:t>
            </w:r>
          </w:p>
        </w:tc>
        <w:tc>
          <w:tcPr>
            <w:tcW w:w="687" w:type="pct"/>
            <w:noWrap w:val="0"/>
            <w:vAlign w:val="center"/>
          </w:tcPr>
          <w:p w14:paraId="0D93DA7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蛇葡萄属</w:t>
            </w:r>
          </w:p>
        </w:tc>
        <w:tc>
          <w:tcPr>
            <w:tcW w:w="1410" w:type="pct"/>
            <w:noWrap w:val="0"/>
            <w:vAlign w:val="center"/>
          </w:tcPr>
          <w:p w14:paraId="62375C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三裂蛇葡萄</w:t>
            </w:r>
          </w:p>
          <w:p w14:paraId="583AD324">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Ampelopsis </w:t>
            </w:r>
            <w:r>
              <w:rPr>
                <w:rFonts w:hint="default" w:ascii="Times New Roman" w:hAnsi="Times New Roman" w:eastAsia="宋体" w:cs="Times New Roman"/>
                <w:i/>
                <w:iCs/>
                <w:color w:val="000000"/>
                <w:kern w:val="0"/>
                <w:sz w:val="21"/>
                <w:szCs w:val="21"/>
                <w:u w:val="none"/>
                <w:shd w:val="clear" w:fill="FFFFFF"/>
                <w:lang w:val="en-US" w:eastAsia="zh-CN" w:bidi="ar"/>
              </w:rPr>
              <w:t>delavayana</w:t>
            </w:r>
          </w:p>
        </w:tc>
        <w:tc>
          <w:tcPr>
            <w:tcW w:w="511" w:type="pct"/>
            <w:noWrap w:val="0"/>
            <w:vAlign w:val="center"/>
          </w:tcPr>
          <w:p w14:paraId="5CCD9E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183339A1">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路边分布</w:t>
            </w:r>
          </w:p>
        </w:tc>
        <w:tc>
          <w:tcPr>
            <w:tcW w:w="459" w:type="pct"/>
            <w:noWrap w:val="0"/>
            <w:vAlign w:val="center"/>
          </w:tcPr>
          <w:p w14:paraId="6940C5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r w14:paraId="17FE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31AA70B4">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485601B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蔷薇科</w:t>
            </w:r>
          </w:p>
        </w:tc>
        <w:tc>
          <w:tcPr>
            <w:tcW w:w="687" w:type="pct"/>
            <w:noWrap w:val="0"/>
            <w:vAlign w:val="center"/>
          </w:tcPr>
          <w:p w14:paraId="47954C9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蔷薇属</w:t>
            </w:r>
          </w:p>
        </w:tc>
        <w:tc>
          <w:tcPr>
            <w:tcW w:w="1410" w:type="pct"/>
            <w:noWrap w:val="0"/>
            <w:vAlign w:val="center"/>
          </w:tcPr>
          <w:p w14:paraId="372726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钝叶蔷薇</w:t>
            </w:r>
          </w:p>
          <w:p w14:paraId="2690FBBB">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Rosa </w:t>
            </w:r>
            <w:r>
              <w:rPr>
                <w:rFonts w:hint="default" w:ascii="Times New Roman" w:hAnsi="Times New Roman" w:eastAsia="宋体" w:cs="Times New Roman"/>
                <w:i/>
                <w:iCs/>
                <w:color w:val="000000"/>
                <w:kern w:val="0"/>
                <w:sz w:val="21"/>
                <w:szCs w:val="21"/>
                <w:u w:val="none"/>
                <w:shd w:val="clear" w:fill="FFFFFF"/>
                <w:lang w:val="en-US" w:eastAsia="zh-CN" w:bidi="ar"/>
              </w:rPr>
              <w:t>sertata</w:t>
            </w:r>
          </w:p>
        </w:tc>
        <w:tc>
          <w:tcPr>
            <w:tcW w:w="511" w:type="pct"/>
            <w:noWrap w:val="0"/>
            <w:vAlign w:val="center"/>
          </w:tcPr>
          <w:p w14:paraId="034FF9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6D048A55">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乔木林林下分布</w:t>
            </w:r>
          </w:p>
        </w:tc>
        <w:tc>
          <w:tcPr>
            <w:tcW w:w="459" w:type="pct"/>
            <w:noWrap w:val="0"/>
            <w:vAlign w:val="center"/>
          </w:tcPr>
          <w:p w14:paraId="216054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r w14:paraId="3253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6E88E2F3">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4EB096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蔷薇科</w:t>
            </w:r>
          </w:p>
        </w:tc>
        <w:tc>
          <w:tcPr>
            <w:tcW w:w="687" w:type="pct"/>
            <w:noWrap w:val="0"/>
            <w:vAlign w:val="center"/>
          </w:tcPr>
          <w:p w14:paraId="52214BF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悬钩子属</w:t>
            </w:r>
          </w:p>
        </w:tc>
        <w:tc>
          <w:tcPr>
            <w:tcW w:w="1410" w:type="pct"/>
            <w:noWrap w:val="0"/>
            <w:vAlign w:val="center"/>
          </w:tcPr>
          <w:p w14:paraId="62258E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川莓</w:t>
            </w:r>
          </w:p>
          <w:p w14:paraId="1EEF2CA6">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Rubus </w:t>
            </w:r>
            <w:r>
              <w:rPr>
                <w:rFonts w:hint="default" w:ascii="Times New Roman" w:hAnsi="Times New Roman" w:eastAsia="宋体" w:cs="Times New Roman"/>
                <w:i/>
                <w:iCs/>
                <w:color w:val="000000"/>
                <w:kern w:val="0"/>
                <w:sz w:val="21"/>
                <w:szCs w:val="21"/>
                <w:u w:val="none"/>
                <w:shd w:val="clear" w:fill="FFFFFF"/>
                <w:lang w:val="en-US" w:eastAsia="zh-CN" w:bidi="ar"/>
              </w:rPr>
              <w:t>setchuenensis</w:t>
            </w:r>
          </w:p>
        </w:tc>
        <w:tc>
          <w:tcPr>
            <w:tcW w:w="511" w:type="pct"/>
            <w:noWrap w:val="0"/>
            <w:vAlign w:val="center"/>
          </w:tcPr>
          <w:p w14:paraId="034470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10D83154">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乔木林林下分布</w:t>
            </w:r>
          </w:p>
        </w:tc>
        <w:tc>
          <w:tcPr>
            <w:tcW w:w="459" w:type="pct"/>
            <w:noWrap w:val="0"/>
            <w:vAlign w:val="center"/>
          </w:tcPr>
          <w:p w14:paraId="753E3FC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r w14:paraId="52AE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2251CB44">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3110847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蔷薇科</w:t>
            </w:r>
          </w:p>
        </w:tc>
        <w:tc>
          <w:tcPr>
            <w:tcW w:w="687" w:type="pct"/>
            <w:noWrap w:val="0"/>
            <w:vAlign w:val="center"/>
          </w:tcPr>
          <w:p w14:paraId="3DFA62E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悬钩子属</w:t>
            </w:r>
          </w:p>
        </w:tc>
        <w:tc>
          <w:tcPr>
            <w:tcW w:w="1410" w:type="pct"/>
            <w:noWrap w:val="0"/>
            <w:vAlign w:val="center"/>
          </w:tcPr>
          <w:p w14:paraId="59A0987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乌藨子</w:t>
            </w:r>
          </w:p>
          <w:p w14:paraId="07331F75">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Rubus parkeri</w:t>
            </w:r>
          </w:p>
        </w:tc>
        <w:tc>
          <w:tcPr>
            <w:tcW w:w="511" w:type="pct"/>
            <w:noWrap w:val="0"/>
            <w:vAlign w:val="center"/>
          </w:tcPr>
          <w:p w14:paraId="3FF5BA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2C4FA219">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乔木林林下、路边分布</w:t>
            </w:r>
          </w:p>
        </w:tc>
        <w:tc>
          <w:tcPr>
            <w:tcW w:w="459" w:type="pct"/>
            <w:noWrap w:val="0"/>
            <w:vAlign w:val="center"/>
          </w:tcPr>
          <w:p w14:paraId="0E5AFB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是</w:t>
            </w:r>
          </w:p>
        </w:tc>
      </w:tr>
      <w:tr w14:paraId="6603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40AE86EF">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0235A9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蔷薇科</w:t>
            </w:r>
          </w:p>
        </w:tc>
        <w:tc>
          <w:tcPr>
            <w:tcW w:w="687" w:type="pct"/>
            <w:noWrap w:val="0"/>
            <w:vAlign w:val="center"/>
          </w:tcPr>
          <w:p w14:paraId="5EC8856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悬钩子属</w:t>
            </w:r>
          </w:p>
        </w:tc>
        <w:tc>
          <w:tcPr>
            <w:tcW w:w="1410" w:type="pct"/>
            <w:noWrap w:val="0"/>
            <w:vAlign w:val="center"/>
          </w:tcPr>
          <w:p w14:paraId="6269579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锈毛莓</w:t>
            </w:r>
          </w:p>
          <w:p w14:paraId="5FF6D6F9">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Rubus </w:t>
            </w:r>
            <w:r>
              <w:rPr>
                <w:rFonts w:hint="default" w:ascii="Times New Roman" w:hAnsi="Times New Roman" w:eastAsia="宋体" w:cs="Times New Roman"/>
                <w:i/>
                <w:iCs/>
                <w:color w:val="000000"/>
                <w:kern w:val="0"/>
                <w:sz w:val="21"/>
                <w:szCs w:val="21"/>
                <w:u w:val="none"/>
                <w:shd w:val="clear" w:fill="FFFFFF"/>
                <w:lang w:val="en-US" w:eastAsia="zh-CN" w:bidi="ar"/>
              </w:rPr>
              <w:t>reflexus</w:t>
            </w:r>
          </w:p>
        </w:tc>
        <w:tc>
          <w:tcPr>
            <w:tcW w:w="511" w:type="pct"/>
            <w:noWrap w:val="0"/>
            <w:vAlign w:val="center"/>
          </w:tcPr>
          <w:p w14:paraId="5006F2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4EC21A36">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乔木林林下、路边分布</w:t>
            </w:r>
          </w:p>
        </w:tc>
        <w:tc>
          <w:tcPr>
            <w:tcW w:w="459" w:type="pct"/>
            <w:noWrap w:val="0"/>
            <w:vAlign w:val="center"/>
          </w:tcPr>
          <w:p w14:paraId="1E8030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r w14:paraId="223C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73E1C6CE">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337125D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桑科</w:t>
            </w:r>
          </w:p>
        </w:tc>
        <w:tc>
          <w:tcPr>
            <w:tcW w:w="687" w:type="pct"/>
            <w:noWrap w:val="0"/>
            <w:vAlign w:val="center"/>
          </w:tcPr>
          <w:p w14:paraId="0A3F9A4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榕属</w:t>
            </w:r>
          </w:p>
        </w:tc>
        <w:tc>
          <w:tcPr>
            <w:tcW w:w="1410" w:type="pct"/>
            <w:noWrap w:val="0"/>
            <w:vAlign w:val="center"/>
          </w:tcPr>
          <w:p w14:paraId="1D14C81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菱叶冠毛榕</w:t>
            </w:r>
          </w:p>
          <w:p w14:paraId="17DF06F1">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Ficus </w:t>
            </w:r>
            <w:r>
              <w:rPr>
                <w:rFonts w:hint="default" w:ascii="Times New Roman" w:hAnsi="Times New Roman" w:eastAsia="宋体" w:cs="Times New Roman"/>
                <w:i/>
                <w:iCs/>
                <w:color w:val="000000"/>
                <w:kern w:val="0"/>
                <w:sz w:val="21"/>
                <w:szCs w:val="21"/>
                <w:u w:val="none"/>
                <w:shd w:val="clear" w:fill="FFFFFF"/>
                <w:lang w:val="en-US" w:eastAsia="zh-CN" w:bidi="ar"/>
              </w:rPr>
              <w:t>gasparriniana</w:t>
            </w:r>
          </w:p>
        </w:tc>
        <w:tc>
          <w:tcPr>
            <w:tcW w:w="511" w:type="pct"/>
            <w:noWrap w:val="0"/>
            <w:vAlign w:val="center"/>
          </w:tcPr>
          <w:p w14:paraId="63793C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11129EA0">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乔木林林下分布</w:t>
            </w:r>
          </w:p>
        </w:tc>
        <w:tc>
          <w:tcPr>
            <w:tcW w:w="459" w:type="pct"/>
            <w:noWrap w:val="0"/>
            <w:vAlign w:val="center"/>
          </w:tcPr>
          <w:p w14:paraId="36DC0C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r w14:paraId="6EAE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 w:type="pct"/>
            <w:noWrap w:val="0"/>
            <w:vAlign w:val="center"/>
          </w:tcPr>
          <w:p w14:paraId="212FF34D">
            <w:pPr>
              <w:keepNext w:val="0"/>
              <w:keepLines w:val="0"/>
              <w:widowControl/>
              <w:numPr>
                <w:ilvl w:val="0"/>
                <w:numId w:val="7"/>
              </w:numPr>
              <w:suppressLineNumbers w:val="0"/>
              <w:ind w:left="425" w:leftChars="0" w:hanging="425"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10" w:type="pct"/>
            <w:noWrap w:val="0"/>
            <w:vAlign w:val="center"/>
          </w:tcPr>
          <w:p w14:paraId="49C81BF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五列木科</w:t>
            </w:r>
          </w:p>
        </w:tc>
        <w:tc>
          <w:tcPr>
            <w:tcW w:w="687" w:type="pct"/>
            <w:noWrap w:val="0"/>
            <w:vAlign w:val="center"/>
          </w:tcPr>
          <w:p w14:paraId="554AA5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柃属</w:t>
            </w:r>
          </w:p>
        </w:tc>
        <w:tc>
          <w:tcPr>
            <w:tcW w:w="1410" w:type="pct"/>
            <w:noWrap w:val="0"/>
            <w:vAlign w:val="center"/>
          </w:tcPr>
          <w:p w14:paraId="13ABF91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细枝柃</w:t>
            </w:r>
          </w:p>
          <w:p w14:paraId="64483C6C">
            <w:pPr>
              <w:keepNext w:val="0"/>
              <w:keepLines w:val="0"/>
              <w:widowControl/>
              <w:suppressLineNumbers w:val="0"/>
              <w:jc w:val="center"/>
              <w:textAlignment w:val="center"/>
              <w:rPr>
                <w:rFonts w:hint="default" w:ascii="Times New Roman" w:hAnsi="Times New Roman" w:eastAsia="宋体" w:cs="Times New Roman"/>
                <w:i/>
                <w:iCs/>
                <w:color w:val="000000"/>
                <w:sz w:val="21"/>
                <w:szCs w:val="21"/>
                <w:u w:val="none"/>
              </w:rPr>
            </w:pPr>
            <w:r>
              <w:rPr>
                <w:rFonts w:hint="default" w:ascii="Times New Roman" w:hAnsi="Times New Roman" w:eastAsia="宋体" w:cs="Times New Roman"/>
                <w:i/>
                <w:iCs/>
                <w:color w:val="000000"/>
                <w:kern w:val="0"/>
                <w:sz w:val="21"/>
                <w:szCs w:val="21"/>
                <w:u w:val="none"/>
                <w:lang w:val="en-US" w:eastAsia="zh-CN" w:bidi="ar"/>
              </w:rPr>
              <w:t xml:space="preserve">Eurya </w:t>
            </w:r>
            <w:r>
              <w:rPr>
                <w:rFonts w:hint="default" w:ascii="Times New Roman" w:hAnsi="Times New Roman" w:eastAsia="宋体" w:cs="Times New Roman"/>
                <w:i/>
                <w:iCs/>
                <w:color w:val="000000"/>
                <w:kern w:val="0"/>
                <w:sz w:val="21"/>
                <w:szCs w:val="21"/>
                <w:u w:val="none"/>
                <w:shd w:val="clear" w:fill="FFFFFF"/>
                <w:lang w:val="en-US" w:eastAsia="zh-CN" w:bidi="ar"/>
              </w:rPr>
              <w:t>loquaiana</w:t>
            </w:r>
          </w:p>
        </w:tc>
        <w:tc>
          <w:tcPr>
            <w:tcW w:w="511" w:type="pct"/>
            <w:noWrap w:val="0"/>
            <w:vAlign w:val="center"/>
          </w:tcPr>
          <w:p w14:paraId="2AED1C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LC</w:t>
            </w:r>
          </w:p>
        </w:tc>
        <w:tc>
          <w:tcPr>
            <w:tcW w:w="972" w:type="pct"/>
            <w:noWrap w:val="0"/>
            <w:vAlign w:val="center"/>
          </w:tcPr>
          <w:p w14:paraId="17A8A966">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乔木林林下分布</w:t>
            </w:r>
          </w:p>
        </w:tc>
        <w:tc>
          <w:tcPr>
            <w:tcW w:w="459" w:type="pct"/>
            <w:noWrap w:val="0"/>
            <w:vAlign w:val="center"/>
          </w:tcPr>
          <w:p w14:paraId="26ABDB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r>
    </w:tbl>
    <w:p w14:paraId="0604EFA1">
      <w:pPr>
        <w:adjustRightInd w:val="0"/>
        <w:snapToGrid w:val="0"/>
        <w:jc w:val="center"/>
        <w:textAlignment w:val="baseline"/>
        <w:rPr>
          <w:rFonts w:hint="default" w:ascii="Times New Roman" w:hAnsi="Times New Roman" w:eastAsia="宋体" w:cs="Times New Roman"/>
          <w:b/>
          <w:color w:val="auto"/>
          <w:sz w:val="26"/>
          <w:szCs w:val="26"/>
        </w:rPr>
      </w:pPr>
    </w:p>
    <w:p w14:paraId="1A2070C4">
      <w:pPr>
        <w:pStyle w:val="56"/>
        <w:rPr>
          <w:rFonts w:hint="default" w:ascii="Times New Roman" w:hAnsi="Times New Roman" w:eastAsia="宋体" w:cs="Times New Roman"/>
          <w:b/>
          <w:bCs/>
          <w:snapToGrid w:val="0"/>
          <w:color w:val="auto"/>
          <w:lang w:val="en-US" w:eastAsia="zh-CN"/>
        </w:rPr>
      </w:pPr>
      <w:r>
        <w:rPr>
          <w:rFonts w:hint="default" w:ascii="Times New Roman" w:hAnsi="Times New Roman" w:eastAsia="宋体" w:cs="Times New Roman"/>
          <w:b/>
          <w:bCs/>
          <w:snapToGrid w:val="0"/>
          <w:color w:val="auto"/>
          <w:lang w:eastAsia="zh-CN"/>
        </w:rPr>
        <w:t>（</w:t>
      </w:r>
      <w:r>
        <w:rPr>
          <w:rFonts w:hint="default" w:ascii="Times New Roman" w:hAnsi="Times New Roman" w:eastAsia="宋体" w:cs="Times New Roman"/>
          <w:b/>
          <w:bCs/>
          <w:snapToGrid w:val="0"/>
          <w:color w:val="auto"/>
          <w:lang w:val="en-US" w:eastAsia="zh-CN"/>
        </w:rPr>
        <w:t>6</w:t>
      </w:r>
      <w:r>
        <w:rPr>
          <w:rFonts w:hint="default" w:ascii="Times New Roman" w:hAnsi="Times New Roman" w:eastAsia="宋体" w:cs="Times New Roman"/>
          <w:b/>
          <w:bCs/>
          <w:snapToGrid w:val="0"/>
          <w:color w:val="auto"/>
          <w:lang w:eastAsia="zh-CN"/>
        </w:rPr>
        <w:t>）</w:t>
      </w:r>
      <w:r>
        <w:rPr>
          <w:rFonts w:hint="default" w:ascii="Times New Roman" w:hAnsi="Times New Roman" w:eastAsia="宋体" w:cs="Times New Roman"/>
          <w:b/>
          <w:bCs/>
          <w:snapToGrid w:val="0"/>
          <w:color w:val="auto"/>
          <w:lang w:val="en-US" w:eastAsia="zh-CN"/>
        </w:rPr>
        <w:t>外来入侵植物调查</w:t>
      </w:r>
    </w:p>
    <w:p w14:paraId="5A7C2839">
      <w:pPr>
        <w:spacing w:line="460" w:lineRule="exact"/>
        <w:ind w:firstLine="520" w:firstLineChars="200"/>
        <w:rPr>
          <w:rFonts w:hint="default" w:ascii="Times New Roman" w:hAnsi="Times New Roman" w:eastAsia="宋体" w:cs="Times New Roman"/>
          <w:snapToGrid w:val="0"/>
          <w:color w:val="auto"/>
          <w:sz w:val="26"/>
          <w:szCs w:val="26"/>
          <w:lang w:val="en-US" w:eastAsia="zh-CN"/>
        </w:rPr>
      </w:pPr>
      <w:r>
        <w:rPr>
          <w:rFonts w:hint="default" w:ascii="Times New Roman" w:hAnsi="Times New Roman" w:eastAsia="宋体" w:cs="Times New Roman"/>
          <w:snapToGrid w:val="0"/>
          <w:color w:val="auto"/>
          <w:sz w:val="26"/>
          <w:szCs w:val="26"/>
          <w:lang w:eastAsia="zh-CN"/>
        </w:rPr>
        <w:t>外来入侵植物依据《中国外来入侵物种名单（第一批）》（环发〔2003〕11号）、《中国外来入侵物种名单（第二批）》（环发〔2010〕4号）、《中国外来入侵物种名单（第三批）》（公告2014年第57号）、《中国自然生态系统外来入侵物种名单（第四批）》（公告2016年第78号）、《重点管理外来入侵物种名录》（国家林草局、农业农村部等六部门 第567号）确定。根据现场调查，本工程沿线区域已存在</w:t>
      </w:r>
      <w:r>
        <w:rPr>
          <w:rFonts w:hint="default" w:ascii="Times New Roman" w:hAnsi="Times New Roman" w:eastAsia="宋体" w:cs="Times New Roman"/>
          <w:snapToGrid w:val="0"/>
          <w:color w:val="auto"/>
          <w:sz w:val="26"/>
          <w:szCs w:val="26"/>
          <w:lang w:val="en-US" w:eastAsia="zh-CN"/>
        </w:rPr>
        <w:t>少量</w:t>
      </w:r>
      <w:r>
        <w:rPr>
          <w:rFonts w:hint="default" w:ascii="Times New Roman" w:hAnsi="Times New Roman" w:eastAsia="宋体" w:cs="Times New Roman"/>
          <w:snapToGrid w:val="0"/>
          <w:color w:val="auto"/>
          <w:sz w:val="26"/>
          <w:szCs w:val="26"/>
          <w:lang w:eastAsia="zh-CN"/>
        </w:rPr>
        <w:t>入侵种的分布，但未造成成片入侵状况，</w:t>
      </w:r>
      <w:r>
        <w:rPr>
          <w:rFonts w:hint="default" w:ascii="Times New Roman" w:hAnsi="Times New Roman" w:eastAsia="宋体" w:cs="Times New Roman"/>
          <w:snapToGrid w:val="0"/>
          <w:color w:val="auto"/>
          <w:sz w:val="26"/>
          <w:szCs w:val="26"/>
          <w:lang w:val="en-US" w:eastAsia="zh-CN"/>
        </w:rPr>
        <w:t>在路旁、林下等环境中零星分布，</w:t>
      </w:r>
      <w:r>
        <w:rPr>
          <w:rFonts w:hint="default" w:ascii="Times New Roman" w:hAnsi="Times New Roman" w:eastAsia="宋体" w:cs="Times New Roman"/>
          <w:snapToGrid w:val="0"/>
          <w:color w:val="auto"/>
          <w:sz w:val="26"/>
          <w:szCs w:val="26"/>
          <w:lang w:eastAsia="zh-CN"/>
        </w:rPr>
        <w:t>主要物种有空心莲子草、鬼针草（三叶鬼针草）、苏门白酒草、藿香蓟、小蓬草等</w:t>
      </w:r>
      <w:r>
        <w:rPr>
          <w:rFonts w:hint="default" w:ascii="Times New Roman" w:hAnsi="Times New Roman" w:eastAsia="宋体" w:cs="Times New Roman"/>
          <w:snapToGrid w:val="0"/>
          <w:color w:val="auto"/>
          <w:sz w:val="26"/>
          <w:szCs w:val="26"/>
          <w:lang w:val="en-US" w:eastAsia="zh-CN"/>
        </w:rPr>
        <w:t>5种，尚未发现上述物种对当地生态系统和本土物种产生不利影响。</w:t>
      </w:r>
    </w:p>
    <w:p w14:paraId="1F5507AC">
      <w:pPr>
        <w:keepNext w:val="0"/>
        <w:keepLines w:val="0"/>
        <w:pageBreakBefore w:val="0"/>
        <w:widowControl/>
        <w:kinsoku/>
        <w:wordWrap/>
        <w:overflowPunct/>
        <w:topLinePunct w:val="0"/>
        <w:autoSpaceDE/>
        <w:autoSpaceDN/>
        <w:bidi w:val="0"/>
        <w:adjustRightInd w:val="0"/>
        <w:snapToGrid w:val="0"/>
        <w:spacing w:line="500" w:lineRule="exact"/>
        <w:textAlignment w:val="auto"/>
        <w:outlineLvl w:val="3"/>
        <w:rPr>
          <w:rFonts w:hint="default" w:ascii="Times New Roman" w:hAnsi="Times New Roman" w:eastAsia="宋体" w:cs="Times New Roman"/>
          <w:b/>
          <w:color w:val="auto"/>
          <w:sz w:val="26"/>
          <w:szCs w:val="26"/>
          <w:lang w:val="en-US" w:eastAsia="zh-CN"/>
        </w:rPr>
      </w:pPr>
      <w:r>
        <w:rPr>
          <w:rFonts w:hint="default" w:ascii="Times New Roman" w:hAnsi="Times New Roman" w:eastAsia="宋体" w:cs="Times New Roman"/>
          <w:b/>
          <w:color w:val="auto"/>
          <w:sz w:val="26"/>
          <w:szCs w:val="26"/>
        </w:rPr>
        <w:t>4.3.</w:t>
      </w:r>
      <w:r>
        <w:rPr>
          <w:rFonts w:hint="default" w:ascii="Times New Roman" w:hAnsi="Times New Roman" w:eastAsia="宋体" w:cs="Times New Roman"/>
          <w:b/>
          <w:color w:val="auto"/>
          <w:sz w:val="26"/>
          <w:szCs w:val="26"/>
          <w:lang w:val="en-US" w:eastAsia="zh-CN"/>
        </w:rPr>
        <w:t>5.2</w:t>
      </w:r>
      <w:r>
        <w:rPr>
          <w:rFonts w:hint="default" w:ascii="Times New Roman" w:hAnsi="Times New Roman" w:eastAsia="宋体" w:cs="Times New Roman"/>
          <w:b/>
          <w:color w:val="auto"/>
          <w:sz w:val="26"/>
          <w:szCs w:val="26"/>
        </w:rPr>
        <w:t xml:space="preserve"> 动物资源</w:t>
      </w:r>
      <w:r>
        <w:rPr>
          <w:rFonts w:hint="default" w:ascii="Times New Roman" w:hAnsi="Times New Roman" w:eastAsia="宋体" w:cs="Times New Roman"/>
          <w:b/>
          <w:color w:val="auto"/>
          <w:sz w:val="26"/>
          <w:szCs w:val="26"/>
          <w:lang w:val="en-US" w:eastAsia="zh-CN"/>
        </w:rPr>
        <w:t>现状</w:t>
      </w:r>
    </w:p>
    <w:p w14:paraId="11C67942">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default" w:ascii="Times New Roman" w:hAnsi="Times New Roman" w:eastAsia="宋体" w:cs="Times New Roman"/>
          <w:b/>
          <w:bCs/>
          <w:snapToGrid w:val="0"/>
          <w:color w:val="auto"/>
          <w:kern w:val="0"/>
          <w:sz w:val="26"/>
          <w:szCs w:val="26"/>
          <w:lang w:val="en-US" w:eastAsia="zh-CN"/>
        </w:rPr>
      </w:pPr>
      <w:r>
        <w:rPr>
          <w:rFonts w:hint="default" w:ascii="Times New Roman" w:hAnsi="Times New Roman" w:eastAsia="宋体" w:cs="Times New Roman"/>
          <w:b/>
          <w:bCs/>
          <w:snapToGrid w:val="0"/>
          <w:color w:val="auto"/>
          <w:kern w:val="0"/>
          <w:sz w:val="26"/>
          <w:szCs w:val="26"/>
          <w:lang w:val="en-US" w:eastAsia="zh-CN"/>
        </w:rPr>
        <w:t>（1）样线布设原则</w:t>
      </w:r>
    </w:p>
    <w:p w14:paraId="33196AD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ascii="Times New Roman" w:hAnsi="Times New Roman" w:eastAsia="宋体" w:cs="Times New Roman"/>
          <w:snapToGrid w:val="0"/>
          <w:color w:val="auto"/>
          <w:kern w:val="0"/>
          <w:sz w:val="26"/>
          <w:szCs w:val="26"/>
          <w:lang w:val="en-US" w:eastAsia="zh-CN"/>
        </w:rPr>
      </w:pPr>
      <w:r>
        <w:rPr>
          <w:rFonts w:hint="default" w:ascii="Times New Roman" w:hAnsi="Times New Roman" w:eastAsia="宋体" w:cs="Times New Roman"/>
          <w:snapToGrid w:val="0"/>
          <w:color w:val="auto"/>
          <w:kern w:val="0"/>
          <w:sz w:val="26"/>
          <w:szCs w:val="26"/>
          <w:lang w:val="en-US" w:eastAsia="zh-CN"/>
        </w:rPr>
        <w:t>本项目评价范围内野生动物资源调查原则主要按照《环境影响评价技术导则一生态影响》（HJ 19-2022）要求，结合《生物多样性观测技术导则陆生哺乳动物（HJ 710.3-2014）</w:t>
      </w:r>
      <w:r>
        <w:rPr>
          <w:rFonts w:hint="default" w:ascii="Times New Roman" w:hAnsi="Times New Roman" w:eastAsia="宋体" w:cs="Times New Roman"/>
          <w:snapToGrid w:val="0"/>
          <w:color w:val="auto"/>
          <w:kern w:val="0"/>
          <w:sz w:val="26"/>
          <w:szCs w:val="26"/>
          <w:shd w:val="clear" w:fill="FFFFFF"/>
          <w:lang w:val="en-US" w:eastAsia="zh-CN"/>
        </w:rPr>
        <w:t>》、《</w:t>
      </w:r>
      <w:r>
        <w:rPr>
          <w:rFonts w:hint="default" w:ascii="Times New Roman" w:hAnsi="Times New Roman" w:eastAsia="宋体" w:cs="Times New Roman"/>
          <w:snapToGrid w:val="0"/>
          <w:color w:val="auto"/>
          <w:kern w:val="0"/>
          <w:sz w:val="26"/>
          <w:szCs w:val="26"/>
          <w:lang w:val="en-US" w:eastAsia="zh-CN"/>
        </w:rPr>
        <w:t>生物多样性观测技术导则鸟类（HJ 710.4-2014）</w:t>
      </w:r>
      <w:r>
        <w:rPr>
          <w:rFonts w:hint="default" w:ascii="Times New Roman" w:hAnsi="Times New Roman" w:eastAsia="宋体" w:cs="Times New Roman"/>
          <w:snapToGrid w:val="0"/>
          <w:color w:val="auto"/>
          <w:kern w:val="0"/>
          <w:sz w:val="26"/>
          <w:szCs w:val="26"/>
          <w:shd w:val="clear" w:fill="FFFFFF"/>
          <w:lang w:val="en-US" w:eastAsia="zh-CN"/>
        </w:rPr>
        <w:t>》、《</w:t>
      </w:r>
      <w:r>
        <w:rPr>
          <w:rFonts w:hint="default" w:ascii="Times New Roman" w:hAnsi="Times New Roman" w:eastAsia="宋体" w:cs="Times New Roman"/>
          <w:snapToGrid w:val="0"/>
          <w:color w:val="auto"/>
          <w:kern w:val="0"/>
          <w:sz w:val="26"/>
          <w:szCs w:val="26"/>
          <w:lang w:val="en-US" w:eastAsia="zh-CN"/>
        </w:rPr>
        <w:t>生物多样性观测技术导则爬行动物（HJ 710.5-2014）</w:t>
      </w:r>
      <w:r>
        <w:rPr>
          <w:rFonts w:hint="default" w:ascii="Times New Roman" w:hAnsi="Times New Roman" w:eastAsia="宋体" w:cs="Times New Roman"/>
          <w:snapToGrid w:val="0"/>
          <w:color w:val="auto"/>
          <w:kern w:val="0"/>
          <w:sz w:val="26"/>
          <w:szCs w:val="26"/>
          <w:shd w:val="clear" w:fill="FFFFFF"/>
          <w:lang w:val="en-US" w:eastAsia="zh-CN"/>
        </w:rPr>
        <w:t>》、《</w:t>
      </w:r>
      <w:r>
        <w:rPr>
          <w:rFonts w:hint="default" w:ascii="Times New Roman" w:hAnsi="Times New Roman" w:eastAsia="宋体" w:cs="Times New Roman"/>
          <w:snapToGrid w:val="0"/>
          <w:color w:val="auto"/>
          <w:kern w:val="0"/>
          <w:sz w:val="26"/>
          <w:szCs w:val="26"/>
          <w:lang w:val="en-US" w:eastAsia="zh-CN"/>
        </w:rPr>
        <w:t>生物多样性观测技术导则两栖动物（HJ 710.6-2014）》等确定，调查方法主要通过资料查询、访问调查和实地调查等方法开展调查工作。结合（HJ 710.3-2014）附录B、2017年生态环境部发布的《县域陆生哺乳动物多样性调查与评估技术规定》附录A生境类型表中的第一层次划分结果，将生境类型分为森林、灌丛、草地、湿地、农田、城镇、荒漠、冰川/永久积雪、裸地、其他等10种。</w:t>
      </w:r>
    </w:p>
    <w:p w14:paraId="0B5D1588">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rPr>
          <w:rFonts w:hint="default" w:ascii="Times New Roman" w:hAnsi="Times New Roman" w:eastAsia="宋体" w:cs="Times New Roman"/>
          <w:b/>
          <w:bCs/>
          <w:snapToGrid w:val="0"/>
          <w:color w:val="auto"/>
          <w:kern w:val="0"/>
          <w:sz w:val="26"/>
          <w:szCs w:val="26"/>
          <w:lang w:val="en-US" w:eastAsia="zh-CN"/>
        </w:rPr>
      </w:pPr>
      <w:r>
        <w:rPr>
          <w:rFonts w:hint="default" w:ascii="Times New Roman" w:hAnsi="Times New Roman" w:eastAsia="宋体" w:cs="Times New Roman"/>
          <w:b/>
          <w:bCs/>
          <w:snapToGrid w:val="0"/>
          <w:color w:val="auto"/>
          <w:kern w:val="0"/>
          <w:sz w:val="26"/>
          <w:szCs w:val="26"/>
          <w:lang w:val="en-US" w:eastAsia="zh-CN"/>
        </w:rPr>
        <w:t>（2）动物样线调查</w:t>
      </w:r>
    </w:p>
    <w:p w14:paraId="2A3B0B39">
      <w:pPr>
        <w:spacing w:line="480" w:lineRule="exact"/>
        <w:ind w:firstLine="520" w:firstLineChars="200"/>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snapToGrid w:val="0"/>
          <w:color w:val="auto"/>
          <w:sz w:val="26"/>
          <w:szCs w:val="26"/>
        </w:rPr>
        <w:t>经现场调查、访问及查阅资料，本项目</w:t>
      </w:r>
      <w:r>
        <w:rPr>
          <w:rFonts w:hint="default" w:ascii="Times New Roman" w:hAnsi="Times New Roman" w:eastAsia="宋体" w:cs="Times New Roman"/>
          <w:snapToGrid w:val="0"/>
          <w:color w:val="auto"/>
          <w:sz w:val="26"/>
          <w:szCs w:val="26"/>
          <w:lang w:val="en-US" w:eastAsia="zh-CN"/>
        </w:rPr>
        <w:t>管道</w:t>
      </w:r>
      <w:r>
        <w:rPr>
          <w:rFonts w:hint="default" w:ascii="Times New Roman" w:hAnsi="Times New Roman" w:eastAsia="宋体" w:cs="Times New Roman"/>
          <w:snapToGrid w:val="0"/>
          <w:color w:val="auto"/>
          <w:sz w:val="26"/>
          <w:szCs w:val="26"/>
        </w:rPr>
        <w:t>沿线多数地区人类活动较为频繁，现有土地开发利用程度较高，人类活动对当地野生动物影响较大。</w:t>
      </w:r>
      <w:r>
        <w:rPr>
          <w:rFonts w:hint="default" w:ascii="Times New Roman" w:hAnsi="Times New Roman" w:eastAsia="宋体" w:cs="Times New Roman"/>
          <w:snapToGrid w:val="0"/>
          <w:color w:val="auto"/>
          <w:kern w:val="0"/>
          <w:sz w:val="26"/>
          <w:szCs w:val="26"/>
          <w:lang w:val="en-US" w:eastAsia="zh-CN"/>
        </w:rPr>
        <w:t>本次评价范围生境类型有森林、灌丛、草地、湿地、农田、城镇这6种，结合评价范围内野生动物生境类型的特点，以评价区的农田、湿地、森林3种生境类型为主要调查区域，兼顾灌丛、城镇、草地生境，共布设4条样线，重点布设于评价区内的工程</w:t>
      </w:r>
      <w:r>
        <w:rPr>
          <w:rFonts w:hint="default" w:ascii="Times New Roman" w:hAnsi="Times New Roman" w:eastAsia="宋体" w:cs="Times New Roman"/>
          <w:snapToGrid w:val="0"/>
          <w:color w:val="auto"/>
          <w:kern w:val="0"/>
          <w:sz w:val="26"/>
          <w:szCs w:val="26"/>
          <w:shd w:val="clear" w:fill="FFFFFF"/>
          <w:lang w:val="en-US" w:eastAsia="zh-CN"/>
        </w:rPr>
        <w:t>施工占</w:t>
      </w:r>
      <w:r>
        <w:rPr>
          <w:rFonts w:hint="default" w:ascii="Times New Roman" w:hAnsi="Times New Roman" w:eastAsia="宋体" w:cs="Times New Roman"/>
          <w:snapToGrid w:val="0"/>
          <w:color w:val="auto"/>
          <w:kern w:val="0"/>
          <w:sz w:val="26"/>
          <w:szCs w:val="26"/>
          <w:lang w:val="en-US" w:eastAsia="zh-CN"/>
        </w:rPr>
        <w:t>地周边等地及森林植被状况较好的区域，观测野生动物及其活动痕迹（如粪便、卧迹、足迹链、尿迹等）。</w:t>
      </w:r>
      <w:r>
        <w:rPr>
          <w:rFonts w:hint="default" w:ascii="Times New Roman" w:hAnsi="Times New Roman" w:eastAsia="宋体" w:cs="Times New Roman"/>
          <w:color w:val="auto"/>
          <w:sz w:val="26"/>
          <w:szCs w:val="26"/>
          <w:highlight w:val="none"/>
        </w:rPr>
        <w:t>样线具体点位和长度结合生境以及道路可达性进行设置，观测时行进速度大概为2-3km/h，样线长度为</w:t>
      </w:r>
      <w:r>
        <w:rPr>
          <w:rFonts w:hint="default" w:ascii="Times New Roman" w:hAnsi="Times New Roman" w:eastAsia="宋体" w:cs="Times New Roman"/>
          <w:color w:val="auto"/>
          <w:sz w:val="26"/>
          <w:szCs w:val="26"/>
          <w:highlight w:val="none"/>
          <w:lang w:val="en-US" w:eastAsia="zh-CN"/>
        </w:rPr>
        <w:t>0.7</w:t>
      </w:r>
      <w:r>
        <w:rPr>
          <w:rFonts w:hint="default" w:ascii="Times New Roman" w:hAnsi="Times New Roman" w:eastAsia="宋体" w:cs="Times New Roman"/>
          <w:color w:val="auto"/>
          <w:sz w:val="26"/>
          <w:szCs w:val="26"/>
          <w:highlight w:val="none"/>
        </w:rPr>
        <w:t>~</w:t>
      </w:r>
      <w:r>
        <w:rPr>
          <w:rFonts w:hint="default" w:ascii="Times New Roman" w:hAnsi="Times New Roman" w:eastAsia="宋体" w:cs="Times New Roman"/>
          <w:color w:val="auto"/>
          <w:sz w:val="26"/>
          <w:szCs w:val="26"/>
          <w:highlight w:val="none"/>
          <w:lang w:val="en-US" w:eastAsia="zh-CN"/>
        </w:rPr>
        <w:t>1.2km</w:t>
      </w:r>
      <w:r>
        <w:rPr>
          <w:rFonts w:hint="default" w:ascii="Times New Roman" w:hAnsi="Times New Roman" w:eastAsia="宋体" w:cs="Times New Roman"/>
          <w:color w:val="auto"/>
          <w:sz w:val="26"/>
          <w:szCs w:val="26"/>
          <w:highlight w:val="none"/>
        </w:rPr>
        <w:t>。样线设置具体如下表所示。</w:t>
      </w:r>
    </w:p>
    <w:p w14:paraId="368E95E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6"/>
          <w:szCs w:val="26"/>
          <w:highlight w:val="none"/>
          <w:lang w:val="en-US" w:eastAsia="zh-CN"/>
        </w:rPr>
      </w:pPr>
      <w:r>
        <w:rPr>
          <w:rFonts w:hint="default" w:ascii="Times New Roman" w:hAnsi="Times New Roman" w:eastAsia="宋体" w:cs="Times New Roman"/>
          <w:b/>
          <w:bCs w:val="0"/>
          <w:color w:val="auto"/>
          <w:sz w:val="26"/>
          <w:szCs w:val="26"/>
          <w:highlight w:val="none"/>
          <w:lang w:val="en-US" w:eastAsia="zh-CN"/>
        </w:rPr>
        <w:t>表4.3-1</w:t>
      </w:r>
      <w:r>
        <w:rPr>
          <w:rFonts w:hint="eastAsia" w:ascii="Times New Roman" w:hAnsi="Times New Roman" w:cs="Times New Roman"/>
          <w:b/>
          <w:bCs w:val="0"/>
          <w:color w:val="auto"/>
          <w:sz w:val="26"/>
          <w:szCs w:val="26"/>
          <w:highlight w:val="none"/>
          <w:lang w:val="en-US" w:eastAsia="zh-CN"/>
        </w:rPr>
        <w:t>6</w:t>
      </w:r>
      <w:r>
        <w:rPr>
          <w:rFonts w:hint="default" w:ascii="Times New Roman" w:hAnsi="Times New Roman" w:eastAsia="宋体" w:cs="Times New Roman"/>
          <w:b/>
          <w:bCs w:val="0"/>
          <w:color w:val="auto"/>
          <w:sz w:val="26"/>
          <w:szCs w:val="26"/>
          <w:highlight w:val="none"/>
          <w:lang w:val="en-US" w:eastAsia="zh-CN"/>
        </w:rPr>
        <w:t xml:space="preserve">  调查样线信息汇总表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712"/>
        <w:gridCol w:w="1185"/>
        <w:gridCol w:w="1875"/>
        <w:gridCol w:w="1290"/>
        <w:gridCol w:w="899"/>
        <w:gridCol w:w="1426"/>
      </w:tblGrid>
      <w:tr w14:paraId="3E51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noWrap/>
            <w:vAlign w:val="center"/>
          </w:tcPr>
          <w:p w14:paraId="3A96DA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956" w:type="pct"/>
            <w:noWrap/>
            <w:vAlign w:val="center"/>
          </w:tcPr>
          <w:p w14:paraId="45548E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起点经纬度</w:t>
            </w:r>
          </w:p>
        </w:tc>
        <w:tc>
          <w:tcPr>
            <w:tcW w:w="662" w:type="pct"/>
            <w:noWrap/>
            <w:vAlign w:val="center"/>
          </w:tcPr>
          <w:p w14:paraId="72EBBB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起点海拔</w:t>
            </w:r>
          </w:p>
        </w:tc>
        <w:tc>
          <w:tcPr>
            <w:tcW w:w="1047" w:type="pct"/>
            <w:noWrap/>
            <w:vAlign w:val="center"/>
          </w:tcPr>
          <w:p w14:paraId="2EE92E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终点经纬度</w:t>
            </w:r>
          </w:p>
        </w:tc>
        <w:tc>
          <w:tcPr>
            <w:tcW w:w="720" w:type="pct"/>
            <w:noWrap/>
            <w:vAlign w:val="center"/>
          </w:tcPr>
          <w:p w14:paraId="2EB7AF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终点海拔</w:t>
            </w:r>
          </w:p>
        </w:tc>
        <w:tc>
          <w:tcPr>
            <w:tcW w:w="502" w:type="pct"/>
            <w:noWrap/>
            <w:vAlign w:val="center"/>
          </w:tcPr>
          <w:p w14:paraId="7AB198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长度</w:t>
            </w:r>
          </w:p>
        </w:tc>
        <w:tc>
          <w:tcPr>
            <w:tcW w:w="797" w:type="pct"/>
            <w:noWrap/>
            <w:vAlign w:val="center"/>
          </w:tcPr>
          <w:p w14:paraId="71D4B2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类型</w:t>
            </w:r>
          </w:p>
        </w:tc>
      </w:tr>
      <w:tr w14:paraId="7D1A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noWrap/>
            <w:vAlign w:val="center"/>
          </w:tcPr>
          <w:p w14:paraId="1CAD7E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56" w:type="pct"/>
            <w:noWrap/>
            <w:vAlign w:val="center"/>
          </w:tcPr>
          <w:p w14:paraId="31886C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color w:val="auto"/>
                <w:vertAlign w:val="baseline"/>
                <w:lang w:val="en-US" w:eastAsia="zh-CN"/>
              </w:rPr>
              <w:t>***</w:t>
            </w:r>
          </w:p>
        </w:tc>
        <w:tc>
          <w:tcPr>
            <w:tcW w:w="662" w:type="pct"/>
            <w:noWrap/>
            <w:vAlign w:val="center"/>
          </w:tcPr>
          <w:p w14:paraId="1E4064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712</w:t>
            </w:r>
          </w:p>
        </w:tc>
        <w:tc>
          <w:tcPr>
            <w:tcW w:w="1047" w:type="pct"/>
            <w:noWrap/>
            <w:vAlign w:val="center"/>
          </w:tcPr>
          <w:p w14:paraId="50D53E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color w:val="auto"/>
                <w:vertAlign w:val="baseline"/>
                <w:lang w:val="en-US" w:eastAsia="zh-CN"/>
              </w:rPr>
              <w:t>***</w:t>
            </w:r>
          </w:p>
        </w:tc>
        <w:tc>
          <w:tcPr>
            <w:tcW w:w="720" w:type="pct"/>
            <w:noWrap/>
            <w:vAlign w:val="center"/>
          </w:tcPr>
          <w:p w14:paraId="356F66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702</w:t>
            </w:r>
          </w:p>
        </w:tc>
        <w:tc>
          <w:tcPr>
            <w:tcW w:w="502" w:type="pct"/>
            <w:noWrap/>
            <w:vAlign w:val="center"/>
          </w:tcPr>
          <w:p w14:paraId="604DC0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752</w:t>
            </w:r>
          </w:p>
        </w:tc>
        <w:tc>
          <w:tcPr>
            <w:tcW w:w="797" w:type="pct"/>
            <w:noWrap/>
            <w:vAlign w:val="center"/>
          </w:tcPr>
          <w:p w14:paraId="46672B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湿地-农田-草地-森林</w:t>
            </w:r>
          </w:p>
        </w:tc>
      </w:tr>
      <w:tr w14:paraId="2057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noWrap/>
            <w:vAlign w:val="center"/>
          </w:tcPr>
          <w:p w14:paraId="058B54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956" w:type="pct"/>
            <w:noWrap/>
            <w:vAlign w:val="center"/>
          </w:tcPr>
          <w:p w14:paraId="30451E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color w:val="auto"/>
                <w:vertAlign w:val="baseline"/>
                <w:lang w:val="en-US" w:eastAsia="zh-CN"/>
              </w:rPr>
              <w:t>***</w:t>
            </w:r>
          </w:p>
        </w:tc>
        <w:tc>
          <w:tcPr>
            <w:tcW w:w="662" w:type="pct"/>
            <w:noWrap/>
            <w:vAlign w:val="center"/>
          </w:tcPr>
          <w:p w14:paraId="71FC88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696</w:t>
            </w:r>
          </w:p>
        </w:tc>
        <w:tc>
          <w:tcPr>
            <w:tcW w:w="1047" w:type="pct"/>
            <w:noWrap/>
            <w:vAlign w:val="center"/>
          </w:tcPr>
          <w:p w14:paraId="60170C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color w:val="auto"/>
                <w:vertAlign w:val="baseline"/>
                <w:lang w:val="en-US" w:eastAsia="zh-CN"/>
              </w:rPr>
              <w:t>***</w:t>
            </w:r>
          </w:p>
        </w:tc>
        <w:tc>
          <w:tcPr>
            <w:tcW w:w="720" w:type="pct"/>
            <w:noWrap/>
            <w:vAlign w:val="center"/>
          </w:tcPr>
          <w:p w14:paraId="44EBA4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640</w:t>
            </w:r>
          </w:p>
        </w:tc>
        <w:tc>
          <w:tcPr>
            <w:tcW w:w="502" w:type="pct"/>
            <w:noWrap/>
            <w:vAlign w:val="center"/>
          </w:tcPr>
          <w:p w14:paraId="4015D5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894</w:t>
            </w:r>
          </w:p>
        </w:tc>
        <w:tc>
          <w:tcPr>
            <w:tcW w:w="797" w:type="pct"/>
            <w:noWrap/>
            <w:vAlign w:val="center"/>
          </w:tcPr>
          <w:p w14:paraId="73928A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农田-城镇-湿地-灌丛</w:t>
            </w:r>
          </w:p>
        </w:tc>
      </w:tr>
      <w:tr w14:paraId="34D9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noWrap/>
            <w:vAlign w:val="center"/>
          </w:tcPr>
          <w:p w14:paraId="03DB0C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956" w:type="pct"/>
            <w:noWrap/>
            <w:vAlign w:val="center"/>
          </w:tcPr>
          <w:p w14:paraId="4AFC7A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color w:val="auto"/>
                <w:vertAlign w:val="baseline"/>
                <w:lang w:val="en-US" w:eastAsia="zh-CN"/>
              </w:rPr>
              <w:t>***</w:t>
            </w:r>
          </w:p>
        </w:tc>
        <w:tc>
          <w:tcPr>
            <w:tcW w:w="662" w:type="pct"/>
            <w:noWrap/>
            <w:vAlign w:val="center"/>
          </w:tcPr>
          <w:p w14:paraId="5349FE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684</w:t>
            </w:r>
          </w:p>
        </w:tc>
        <w:tc>
          <w:tcPr>
            <w:tcW w:w="1047" w:type="pct"/>
            <w:noWrap/>
            <w:vAlign w:val="center"/>
          </w:tcPr>
          <w:p w14:paraId="3EC056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color w:val="auto"/>
                <w:vertAlign w:val="baseline"/>
                <w:lang w:val="en-US" w:eastAsia="zh-CN"/>
              </w:rPr>
              <w:t>***</w:t>
            </w:r>
          </w:p>
        </w:tc>
        <w:tc>
          <w:tcPr>
            <w:tcW w:w="720" w:type="pct"/>
            <w:noWrap/>
            <w:vAlign w:val="center"/>
          </w:tcPr>
          <w:p w14:paraId="7FB904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702</w:t>
            </w:r>
          </w:p>
        </w:tc>
        <w:tc>
          <w:tcPr>
            <w:tcW w:w="502" w:type="pct"/>
            <w:noWrap/>
            <w:vAlign w:val="center"/>
          </w:tcPr>
          <w:p w14:paraId="4B3F5D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1240</w:t>
            </w:r>
          </w:p>
        </w:tc>
        <w:tc>
          <w:tcPr>
            <w:tcW w:w="797" w:type="pct"/>
            <w:noWrap/>
            <w:vAlign w:val="center"/>
          </w:tcPr>
          <w:p w14:paraId="4786AD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森林-城镇-农田-湿地</w:t>
            </w:r>
          </w:p>
        </w:tc>
      </w:tr>
      <w:tr w14:paraId="519C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noWrap/>
            <w:vAlign w:val="center"/>
          </w:tcPr>
          <w:p w14:paraId="271903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956" w:type="pct"/>
            <w:noWrap/>
            <w:vAlign w:val="center"/>
          </w:tcPr>
          <w:p w14:paraId="3668BD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color w:val="auto"/>
                <w:vertAlign w:val="baseline"/>
                <w:lang w:val="en-US" w:eastAsia="zh-CN"/>
              </w:rPr>
              <w:t>***</w:t>
            </w:r>
          </w:p>
        </w:tc>
        <w:tc>
          <w:tcPr>
            <w:tcW w:w="662" w:type="pct"/>
            <w:noWrap/>
            <w:vAlign w:val="center"/>
          </w:tcPr>
          <w:p w14:paraId="7FD6F5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689</w:t>
            </w:r>
          </w:p>
        </w:tc>
        <w:tc>
          <w:tcPr>
            <w:tcW w:w="1047" w:type="pct"/>
            <w:noWrap/>
            <w:vAlign w:val="center"/>
          </w:tcPr>
          <w:p w14:paraId="4086CD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color w:val="auto"/>
                <w:vertAlign w:val="baseline"/>
                <w:lang w:val="en-US" w:eastAsia="zh-CN"/>
              </w:rPr>
              <w:t>***</w:t>
            </w:r>
          </w:p>
        </w:tc>
        <w:tc>
          <w:tcPr>
            <w:tcW w:w="720" w:type="pct"/>
            <w:noWrap/>
            <w:vAlign w:val="center"/>
          </w:tcPr>
          <w:p w14:paraId="6654C1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670</w:t>
            </w:r>
          </w:p>
        </w:tc>
        <w:tc>
          <w:tcPr>
            <w:tcW w:w="502" w:type="pct"/>
            <w:noWrap/>
            <w:vAlign w:val="center"/>
          </w:tcPr>
          <w:p w14:paraId="650E15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1078</w:t>
            </w:r>
          </w:p>
        </w:tc>
        <w:tc>
          <w:tcPr>
            <w:tcW w:w="797" w:type="pct"/>
            <w:noWrap/>
            <w:vAlign w:val="center"/>
          </w:tcPr>
          <w:p w14:paraId="283BFA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森林-灌丛</w:t>
            </w:r>
          </w:p>
        </w:tc>
      </w:tr>
    </w:tbl>
    <w:p w14:paraId="096EC1A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FF0000"/>
          <w:sz w:val="21"/>
          <w:szCs w:val="21"/>
          <w:highlight w:val="none"/>
        </w:rPr>
      </w:pPr>
    </w:p>
    <w:p w14:paraId="29486FBF">
      <w:pPr>
        <w:spacing w:line="460" w:lineRule="exact"/>
        <w:ind w:firstLine="522" w:firstLineChars="200"/>
        <w:rPr>
          <w:rFonts w:hint="default" w:ascii="Times New Roman" w:hAnsi="Times New Roman" w:eastAsia="宋体" w:cs="Times New Roman"/>
          <w:b/>
          <w:bCs/>
          <w:snapToGrid w:val="0"/>
          <w:color w:val="auto"/>
          <w:sz w:val="26"/>
          <w:szCs w:val="26"/>
          <w:lang w:eastAsia="zh-CN"/>
        </w:rPr>
      </w:pPr>
      <w:r>
        <w:rPr>
          <w:rFonts w:hint="default" w:ascii="Times New Roman" w:hAnsi="Times New Roman" w:eastAsia="宋体" w:cs="Times New Roman"/>
          <w:b/>
          <w:bCs/>
          <w:snapToGrid w:val="0"/>
          <w:color w:val="auto"/>
          <w:sz w:val="26"/>
          <w:szCs w:val="26"/>
          <w:lang w:eastAsia="zh-CN"/>
        </w:rPr>
        <w:t>（</w:t>
      </w:r>
      <w:r>
        <w:rPr>
          <w:rFonts w:hint="default" w:ascii="Times New Roman" w:hAnsi="Times New Roman" w:eastAsia="宋体" w:cs="Times New Roman"/>
          <w:b/>
          <w:bCs/>
          <w:snapToGrid w:val="0"/>
          <w:color w:val="auto"/>
          <w:sz w:val="26"/>
          <w:szCs w:val="26"/>
          <w:lang w:val="en-US" w:eastAsia="zh-CN"/>
        </w:rPr>
        <w:t>3</w:t>
      </w:r>
      <w:r>
        <w:rPr>
          <w:rFonts w:hint="default" w:ascii="Times New Roman" w:hAnsi="Times New Roman" w:eastAsia="宋体" w:cs="Times New Roman"/>
          <w:b/>
          <w:bCs/>
          <w:snapToGrid w:val="0"/>
          <w:color w:val="auto"/>
          <w:sz w:val="26"/>
          <w:szCs w:val="26"/>
          <w:lang w:eastAsia="zh-CN"/>
        </w:rPr>
        <w:t>）</w:t>
      </w:r>
      <w:r>
        <w:rPr>
          <w:rFonts w:hint="default" w:ascii="Times New Roman" w:hAnsi="Times New Roman" w:eastAsia="宋体" w:cs="Times New Roman"/>
          <w:b/>
          <w:bCs/>
          <w:snapToGrid w:val="0"/>
          <w:color w:val="auto"/>
          <w:sz w:val="26"/>
          <w:szCs w:val="26"/>
        </w:rPr>
        <w:t>陆生动物资源现状</w:t>
      </w:r>
      <w:r>
        <w:rPr>
          <w:rFonts w:hint="default" w:ascii="Times New Roman" w:hAnsi="Times New Roman" w:eastAsia="宋体" w:cs="Times New Roman"/>
          <w:b/>
          <w:bCs/>
          <w:snapToGrid w:val="0"/>
          <w:color w:val="auto"/>
          <w:sz w:val="26"/>
          <w:szCs w:val="26"/>
          <w:lang w:val="en-US" w:eastAsia="zh-CN"/>
        </w:rPr>
        <w:t>分析</w:t>
      </w:r>
    </w:p>
    <w:p w14:paraId="6809E460">
      <w:pPr>
        <w:spacing w:line="460" w:lineRule="exact"/>
        <w:ind w:firstLine="522" w:firstLineChars="200"/>
        <w:rPr>
          <w:rFonts w:hint="default" w:ascii="Times New Roman" w:hAnsi="Times New Roman" w:eastAsia="宋体" w:cs="Times New Roman"/>
          <w:b/>
          <w:bCs/>
          <w:snapToGrid w:val="0"/>
          <w:color w:val="auto"/>
          <w:sz w:val="26"/>
          <w:szCs w:val="26"/>
        </w:rPr>
      </w:pPr>
      <w:r>
        <w:rPr>
          <w:rFonts w:hint="default" w:ascii="Times New Roman" w:hAnsi="Times New Roman" w:eastAsia="宋体" w:cs="Times New Roman"/>
          <w:b/>
          <w:bCs/>
          <w:snapToGrid w:val="0"/>
          <w:color w:val="auto"/>
          <w:sz w:val="26"/>
          <w:szCs w:val="26"/>
          <w:lang w:val="en-US" w:eastAsia="zh-CN"/>
        </w:rPr>
        <w:t>①</w:t>
      </w:r>
      <w:r>
        <w:rPr>
          <w:rFonts w:hint="default" w:ascii="Times New Roman" w:hAnsi="Times New Roman" w:eastAsia="宋体" w:cs="Times New Roman"/>
          <w:b/>
          <w:bCs/>
          <w:snapToGrid w:val="0"/>
          <w:color w:val="auto"/>
          <w:sz w:val="26"/>
          <w:szCs w:val="26"/>
        </w:rPr>
        <w:t>动物区划</w:t>
      </w:r>
    </w:p>
    <w:p w14:paraId="4F6D74B7">
      <w:pPr>
        <w:spacing w:line="460" w:lineRule="exact"/>
        <w:ind w:firstLine="520" w:firstLineChars="200"/>
        <w:rPr>
          <w:rFonts w:hint="default" w:ascii="Times New Roman" w:hAnsi="Times New Roman" w:eastAsia="宋体" w:cs="Times New Roman"/>
          <w:snapToGrid w:val="0"/>
          <w:color w:val="auto"/>
          <w:sz w:val="26"/>
          <w:szCs w:val="26"/>
          <w:lang w:val="en-US" w:eastAsia="zh-CN"/>
        </w:rPr>
      </w:pPr>
      <w:r>
        <w:rPr>
          <w:rFonts w:hint="default" w:ascii="Times New Roman" w:hAnsi="Times New Roman" w:eastAsia="宋体" w:cs="Times New Roman"/>
          <w:snapToGrid w:val="0"/>
          <w:color w:val="auto"/>
          <w:sz w:val="26"/>
          <w:szCs w:val="26"/>
          <w:lang w:val="en-US" w:eastAsia="zh-CN"/>
        </w:rPr>
        <w:t>按《中国动物地理》（张荣祖）所提出的“中国动物地理区划”，本项目所在地区属于东洋界-中印亚界-华中区-西部山地高原亚区。本亚区包括秦岭、淮阳山地西部、四川盆地、云贵高原的东部和西江上游的南岭山地，西部和西南部与横断山区相连。自然条件主要是海拔较高，地形较崎岖，气候除四川盆地外，亦比较温凉。动物区系复杂，不少喜马拉雅横断山区型成分分布至本区。</w:t>
      </w:r>
      <w:r>
        <w:rPr>
          <w:rFonts w:hint="default" w:ascii="Times New Roman" w:hAnsi="Times New Roman" w:eastAsia="宋体" w:cs="Times New Roman"/>
          <w:color w:val="auto"/>
          <w:sz w:val="26"/>
          <w:szCs w:val="26"/>
          <w:highlight w:val="none"/>
        </w:rPr>
        <w:t>尚有一些为本亚区所特有和主要分布于本亚区的种，如秦巴北鲵（</w:t>
      </w:r>
      <w:r>
        <w:rPr>
          <w:rFonts w:hint="default" w:ascii="Times New Roman" w:hAnsi="Times New Roman" w:eastAsia="宋体" w:cs="Times New Roman"/>
          <w:i/>
          <w:iCs/>
          <w:color w:val="auto"/>
          <w:sz w:val="26"/>
          <w:szCs w:val="26"/>
          <w:highlight w:val="none"/>
          <w:shd w:val="clear" w:fill="FFFFFF"/>
        </w:rPr>
        <w:t>Ranodon</w:t>
      </w:r>
      <w:r>
        <w:rPr>
          <w:rFonts w:hint="default" w:ascii="Times New Roman" w:hAnsi="Times New Roman" w:eastAsia="宋体" w:cs="Times New Roman"/>
          <w:i/>
          <w:iCs/>
          <w:color w:val="auto"/>
          <w:sz w:val="26"/>
          <w:szCs w:val="26"/>
          <w:highlight w:val="none"/>
        </w:rPr>
        <w:t xml:space="preserve"> </w:t>
      </w:r>
      <w:r>
        <w:rPr>
          <w:rFonts w:hint="default" w:ascii="Times New Roman" w:hAnsi="Times New Roman" w:eastAsia="宋体" w:cs="Times New Roman"/>
          <w:i/>
          <w:iCs/>
          <w:color w:val="auto"/>
          <w:sz w:val="26"/>
          <w:szCs w:val="26"/>
          <w:highlight w:val="none"/>
          <w:shd w:val="clear" w:fill="FFFFFF"/>
        </w:rPr>
        <w:t>tsinpaensis</w:t>
      </w:r>
      <w:r>
        <w:rPr>
          <w:rFonts w:hint="default" w:ascii="Times New Roman" w:hAnsi="Times New Roman" w:eastAsia="宋体" w:cs="Times New Roman"/>
          <w:color w:val="auto"/>
          <w:sz w:val="26"/>
          <w:szCs w:val="26"/>
          <w:highlight w:val="none"/>
        </w:rPr>
        <w:t>）、巫山北鲵（</w:t>
      </w:r>
      <w:r>
        <w:rPr>
          <w:rFonts w:hint="default" w:ascii="Times New Roman" w:hAnsi="Times New Roman" w:eastAsia="宋体" w:cs="Times New Roman"/>
          <w:i/>
          <w:iCs/>
          <w:color w:val="auto"/>
          <w:sz w:val="26"/>
          <w:szCs w:val="26"/>
          <w:highlight w:val="none"/>
          <w:shd w:val="clear" w:fill="FFFFFF"/>
        </w:rPr>
        <w:t>Ranodon</w:t>
      </w:r>
      <w:r>
        <w:rPr>
          <w:rFonts w:hint="default" w:ascii="Times New Roman" w:hAnsi="Times New Roman" w:eastAsia="宋体" w:cs="Times New Roman"/>
          <w:i/>
          <w:iCs/>
          <w:color w:val="auto"/>
          <w:sz w:val="26"/>
          <w:szCs w:val="26"/>
          <w:highlight w:val="none"/>
        </w:rPr>
        <w:t xml:space="preserve"> </w:t>
      </w:r>
      <w:r>
        <w:rPr>
          <w:rFonts w:hint="default" w:ascii="Times New Roman" w:hAnsi="Times New Roman" w:eastAsia="宋体" w:cs="Times New Roman"/>
          <w:i/>
          <w:iCs/>
          <w:color w:val="auto"/>
          <w:sz w:val="26"/>
          <w:szCs w:val="26"/>
          <w:highlight w:val="none"/>
          <w:shd w:val="clear" w:fill="FFFFFF"/>
        </w:rPr>
        <w:t>shihi</w:t>
      </w:r>
      <w:r>
        <w:rPr>
          <w:rFonts w:hint="default" w:ascii="Times New Roman" w:hAnsi="Times New Roman" w:eastAsia="宋体" w:cs="Times New Roman"/>
          <w:color w:val="auto"/>
          <w:sz w:val="26"/>
          <w:szCs w:val="26"/>
          <w:highlight w:val="none"/>
        </w:rPr>
        <w:t>）、华西雨蛙（</w:t>
      </w:r>
      <w:r>
        <w:rPr>
          <w:rFonts w:hint="default" w:ascii="Times New Roman" w:hAnsi="Times New Roman" w:eastAsia="宋体" w:cs="Times New Roman"/>
          <w:i/>
          <w:iCs/>
          <w:color w:val="auto"/>
          <w:sz w:val="26"/>
          <w:szCs w:val="26"/>
          <w:highlight w:val="none"/>
        </w:rPr>
        <w:t>Hyla annectans</w:t>
      </w:r>
      <w:r>
        <w:rPr>
          <w:rFonts w:hint="default" w:ascii="Times New Roman" w:hAnsi="Times New Roman" w:eastAsia="宋体" w:cs="Times New Roman"/>
          <w:color w:val="auto"/>
          <w:sz w:val="26"/>
          <w:szCs w:val="26"/>
          <w:highlight w:val="none"/>
        </w:rPr>
        <w:t>）、菜花铁烙头（</w:t>
      </w:r>
      <w:r>
        <w:rPr>
          <w:rFonts w:hint="default" w:ascii="Times New Roman" w:hAnsi="Times New Roman" w:eastAsia="宋体" w:cs="Times New Roman"/>
          <w:i/>
          <w:iCs/>
          <w:color w:val="auto"/>
          <w:sz w:val="26"/>
          <w:szCs w:val="26"/>
          <w:highlight w:val="none"/>
        </w:rPr>
        <w:t xml:space="preserve">Trimeresurus </w:t>
      </w:r>
      <w:r>
        <w:rPr>
          <w:rFonts w:hint="default" w:ascii="Times New Roman" w:hAnsi="Times New Roman" w:eastAsia="宋体" w:cs="Times New Roman"/>
          <w:i/>
          <w:iCs/>
          <w:color w:val="auto"/>
          <w:sz w:val="26"/>
          <w:szCs w:val="26"/>
          <w:highlight w:val="none"/>
          <w:shd w:val="clear" w:fill="FFFFFF"/>
        </w:rPr>
        <w:t>jerdonii</w:t>
      </w:r>
      <w:r>
        <w:rPr>
          <w:rFonts w:hint="default" w:ascii="Times New Roman" w:hAnsi="Times New Roman" w:eastAsia="宋体" w:cs="Times New Roman"/>
          <w:color w:val="auto"/>
          <w:sz w:val="26"/>
          <w:szCs w:val="26"/>
          <w:highlight w:val="none"/>
        </w:rPr>
        <w:t>）、四川金丝猴（</w:t>
      </w:r>
      <w:r>
        <w:rPr>
          <w:rFonts w:hint="default" w:ascii="Times New Roman" w:hAnsi="Times New Roman" w:eastAsia="宋体" w:cs="Times New Roman"/>
          <w:i/>
          <w:iCs/>
          <w:color w:val="auto"/>
          <w:sz w:val="26"/>
          <w:szCs w:val="26"/>
          <w:highlight w:val="none"/>
        </w:rPr>
        <w:t xml:space="preserve">Rhinopithecus </w:t>
      </w:r>
      <w:r>
        <w:rPr>
          <w:rFonts w:hint="default" w:ascii="Times New Roman" w:hAnsi="Times New Roman" w:eastAsia="宋体" w:cs="Times New Roman"/>
          <w:i/>
          <w:iCs/>
          <w:color w:val="auto"/>
          <w:sz w:val="26"/>
          <w:szCs w:val="26"/>
          <w:highlight w:val="none"/>
          <w:shd w:val="clear" w:fill="FFFFFF"/>
        </w:rPr>
        <w:t>roxellana</w:t>
      </w:r>
      <w:r>
        <w:rPr>
          <w:rFonts w:hint="default" w:ascii="Times New Roman" w:hAnsi="Times New Roman" w:eastAsia="宋体" w:cs="Times New Roman"/>
          <w:color w:val="auto"/>
          <w:sz w:val="26"/>
          <w:szCs w:val="26"/>
          <w:highlight w:val="none"/>
        </w:rPr>
        <w:t>）、黔金丝猴（</w:t>
      </w:r>
      <w:r>
        <w:rPr>
          <w:rFonts w:hint="default" w:ascii="Times New Roman" w:hAnsi="Times New Roman" w:eastAsia="宋体" w:cs="Times New Roman"/>
          <w:i/>
          <w:iCs/>
          <w:color w:val="auto"/>
          <w:sz w:val="26"/>
          <w:szCs w:val="26"/>
          <w:highlight w:val="none"/>
        </w:rPr>
        <w:t xml:space="preserve">Rhinopithecus </w:t>
      </w:r>
      <w:r>
        <w:rPr>
          <w:rFonts w:hint="default" w:ascii="Times New Roman" w:hAnsi="Times New Roman" w:eastAsia="宋体" w:cs="Times New Roman"/>
          <w:i/>
          <w:iCs/>
          <w:color w:val="auto"/>
          <w:sz w:val="26"/>
          <w:szCs w:val="26"/>
          <w:highlight w:val="none"/>
          <w:shd w:val="clear" w:fill="FFFFFF"/>
        </w:rPr>
        <w:t>brelichi</w:t>
      </w:r>
      <w:r>
        <w:rPr>
          <w:rFonts w:hint="default" w:ascii="Times New Roman" w:hAnsi="Times New Roman" w:eastAsia="宋体" w:cs="Times New Roman"/>
          <w:color w:val="auto"/>
          <w:sz w:val="26"/>
          <w:szCs w:val="26"/>
          <w:highlight w:val="none"/>
        </w:rPr>
        <w:t>）、豪猪（</w:t>
      </w:r>
      <w:r>
        <w:rPr>
          <w:rFonts w:hint="default" w:ascii="Times New Roman" w:hAnsi="Times New Roman" w:eastAsia="宋体" w:cs="Times New Roman"/>
          <w:i/>
          <w:iCs/>
          <w:color w:val="auto"/>
          <w:sz w:val="26"/>
          <w:szCs w:val="26"/>
          <w:highlight w:val="none"/>
        </w:rPr>
        <w:t>Hystrix hodgsoni</w:t>
      </w:r>
      <w:r>
        <w:rPr>
          <w:rFonts w:hint="default" w:ascii="Times New Roman" w:hAnsi="Times New Roman" w:eastAsia="宋体" w:cs="Times New Roman"/>
          <w:color w:val="auto"/>
          <w:sz w:val="26"/>
          <w:szCs w:val="26"/>
          <w:highlight w:val="none"/>
        </w:rPr>
        <w:t>）、金鸡等。喜马拉雅-横断山区型成分的渗入主要在秦岭部分，如峨山掌突蟾（</w:t>
      </w:r>
      <w:r>
        <w:rPr>
          <w:rFonts w:hint="default" w:ascii="Times New Roman" w:hAnsi="Times New Roman" w:eastAsia="宋体" w:cs="Times New Roman"/>
          <w:i/>
          <w:iCs/>
          <w:color w:val="auto"/>
          <w:sz w:val="26"/>
          <w:szCs w:val="26"/>
          <w:highlight w:val="none"/>
          <w:shd w:val="clear" w:fill="FFFFFF"/>
        </w:rPr>
        <w:t>Leptobrachella</w:t>
      </w:r>
      <w:r>
        <w:rPr>
          <w:rFonts w:hint="default" w:ascii="Times New Roman" w:hAnsi="Times New Roman" w:eastAsia="宋体" w:cs="Times New Roman"/>
          <w:i/>
          <w:iCs/>
          <w:color w:val="auto"/>
          <w:sz w:val="26"/>
          <w:szCs w:val="26"/>
          <w:highlight w:val="none"/>
        </w:rPr>
        <w:t xml:space="preserve"> </w:t>
      </w:r>
      <w:r>
        <w:rPr>
          <w:rFonts w:hint="default" w:ascii="Times New Roman" w:hAnsi="Times New Roman" w:eastAsia="宋体" w:cs="Times New Roman"/>
          <w:i/>
          <w:iCs/>
          <w:color w:val="auto"/>
          <w:sz w:val="26"/>
          <w:szCs w:val="26"/>
          <w:highlight w:val="none"/>
          <w:shd w:val="clear" w:fill="FFFFFF"/>
        </w:rPr>
        <w:t>oshanensis</w:t>
      </w:r>
      <w:r>
        <w:rPr>
          <w:rFonts w:hint="default" w:ascii="Times New Roman" w:hAnsi="Times New Roman" w:eastAsia="宋体" w:cs="Times New Roman"/>
          <w:color w:val="auto"/>
          <w:sz w:val="26"/>
          <w:szCs w:val="26"/>
          <w:highlight w:val="none"/>
        </w:rPr>
        <w:t>）、棘皮湍蛙（</w:t>
      </w:r>
      <w:r>
        <w:rPr>
          <w:rFonts w:hint="default" w:ascii="Times New Roman" w:hAnsi="Times New Roman" w:eastAsia="宋体" w:cs="Times New Roman"/>
          <w:i/>
          <w:iCs/>
          <w:color w:val="auto"/>
          <w:sz w:val="26"/>
          <w:szCs w:val="26"/>
          <w:highlight w:val="none"/>
          <w:shd w:val="clear" w:fill="FFFFFF"/>
        </w:rPr>
        <w:t>Amolops</w:t>
      </w:r>
      <w:r>
        <w:rPr>
          <w:rFonts w:hint="default" w:ascii="Times New Roman" w:hAnsi="Times New Roman" w:eastAsia="宋体" w:cs="Times New Roman"/>
          <w:i/>
          <w:iCs/>
          <w:color w:val="auto"/>
          <w:sz w:val="26"/>
          <w:szCs w:val="26"/>
          <w:highlight w:val="none"/>
        </w:rPr>
        <w:t xml:space="preserve"> granulosus</w:t>
      </w:r>
      <w:r>
        <w:rPr>
          <w:rFonts w:hint="default" w:ascii="Times New Roman" w:hAnsi="Times New Roman" w:eastAsia="宋体" w:cs="Times New Roman"/>
          <w:color w:val="auto"/>
          <w:sz w:val="26"/>
          <w:szCs w:val="26"/>
          <w:highlight w:val="none"/>
        </w:rPr>
        <w:t>）、几种龙蜥、血雉（</w:t>
      </w:r>
      <w:r>
        <w:rPr>
          <w:rFonts w:hint="default" w:ascii="Times New Roman" w:hAnsi="Times New Roman" w:eastAsia="宋体" w:cs="Times New Roman"/>
          <w:i/>
          <w:iCs/>
          <w:color w:val="auto"/>
          <w:sz w:val="26"/>
          <w:szCs w:val="26"/>
          <w:highlight w:val="none"/>
        </w:rPr>
        <w:t>Ithaginis cruentus</w:t>
      </w:r>
      <w:r>
        <w:rPr>
          <w:rFonts w:hint="default" w:ascii="Times New Roman" w:hAnsi="Times New Roman" w:eastAsia="宋体" w:cs="Times New Roman"/>
          <w:color w:val="auto"/>
          <w:sz w:val="26"/>
          <w:szCs w:val="26"/>
          <w:highlight w:val="none"/>
        </w:rPr>
        <w:t>）、画眉科中的一些种类，羚牛（</w:t>
      </w:r>
      <w:r>
        <w:rPr>
          <w:rFonts w:hint="default" w:ascii="Times New Roman" w:hAnsi="Times New Roman" w:eastAsia="宋体" w:cs="Times New Roman"/>
          <w:i/>
          <w:iCs/>
          <w:color w:val="auto"/>
          <w:sz w:val="26"/>
          <w:szCs w:val="26"/>
          <w:highlight w:val="none"/>
        </w:rPr>
        <w:t>Budorcas taxicolor</w:t>
      </w:r>
      <w:r>
        <w:rPr>
          <w:rFonts w:hint="default" w:ascii="Times New Roman" w:hAnsi="Times New Roman" w:eastAsia="宋体" w:cs="Times New Roman"/>
          <w:color w:val="auto"/>
          <w:sz w:val="26"/>
          <w:szCs w:val="26"/>
          <w:highlight w:val="none"/>
        </w:rPr>
        <w:t>）、小熊猫（</w:t>
      </w:r>
      <w:r>
        <w:rPr>
          <w:rFonts w:hint="default" w:ascii="Times New Roman" w:hAnsi="Times New Roman" w:eastAsia="宋体" w:cs="Times New Roman"/>
          <w:i/>
          <w:iCs/>
          <w:color w:val="auto"/>
          <w:sz w:val="26"/>
          <w:szCs w:val="26"/>
          <w:highlight w:val="none"/>
        </w:rPr>
        <w:t>Ailurus</w:t>
      </w:r>
      <w:r>
        <w:rPr>
          <w:rFonts w:hint="default" w:ascii="Times New Roman" w:hAnsi="Times New Roman" w:eastAsia="宋体" w:cs="Times New Roman"/>
          <w:color w:val="auto"/>
          <w:sz w:val="26"/>
          <w:szCs w:val="26"/>
          <w:highlight w:val="none"/>
        </w:rPr>
        <w:t xml:space="preserve"> </w:t>
      </w:r>
      <w:r>
        <w:rPr>
          <w:rFonts w:hint="default" w:ascii="Times New Roman" w:hAnsi="Times New Roman" w:eastAsia="宋体" w:cs="Times New Roman"/>
          <w:i/>
          <w:iCs/>
          <w:color w:val="auto"/>
          <w:sz w:val="26"/>
          <w:szCs w:val="26"/>
          <w:highlight w:val="none"/>
        </w:rPr>
        <w:t>fulgens）</w:t>
      </w:r>
      <w:r>
        <w:rPr>
          <w:rFonts w:hint="default" w:ascii="Times New Roman" w:hAnsi="Times New Roman" w:eastAsia="宋体" w:cs="Times New Roman"/>
          <w:color w:val="auto"/>
          <w:sz w:val="26"/>
          <w:szCs w:val="26"/>
          <w:highlight w:val="none"/>
        </w:rPr>
        <w:t>、绒鼠、西(云)南兔（</w:t>
      </w:r>
      <w:r>
        <w:rPr>
          <w:rFonts w:hint="default" w:ascii="Times New Roman" w:hAnsi="Times New Roman" w:eastAsia="宋体" w:cs="Times New Roman"/>
          <w:i/>
          <w:iCs/>
          <w:color w:val="auto"/>
          <w:sz w:val="26"/>
          <w:szCs w:val="26"/>
          <w:highlight w:val="none"/>
        </w:rPr>
        <w:t>Lepus comus</w:t>
      </w:r>
      <w:r>
        <w:rPr>
          <w:rFonts w:hint="default" w:ascii="Times New Roman" w:hAnsi="Times New Roman" w:eastAsia="宋体" w:cs="Times New Roman"/>
          <w:color w:val="auto"/>
          <w:sz w:val="26"/>
          <w:szCs w:val="26"/>
          <w:highlight w:val="none"/>
        </w:rPr>
        <w:t>）和藏</w:t>
      </w:r>
      <w:r>
        <w:rPr>
          <w:rFonts w:hint="default" w:ascii="Times New Roman" w:hAnsi="Times New Roman" w:eastAsia="宋体" w:cs="Times New Roman"/>
          <w:color w:val="auto"/>
          <w:sz w:val="26"/>
          <w:szCs w:val="26"/>
          <w:highlight w:val="none"/>
          <w:lang w:eastAsia="zh-CN"/>
        </w:rPr>
        <w:t>鼠兔</w:t>
      </w:r>
      <w:r>
        <w:rPr>
          <w:rFonts w:hint="default" w:ascii="Times New Roman" w:hAnsi="Times New Roman" w:eastAsia="宋体" w:cs="Times New Roman"/>
          <w:color w:val="auto"/>
          <w:sz w:val="26"/>
          <w:szCs w:val="26"/>
          <w:highlight w:val="none"/>
        </w:rPr>
        <w:t>等。另有一些鸟兽为与东部丘平原所共有，但常有不同亚种分化，如毛冠鹿（</w:t>
      </w:r>
      <w:r>
        <w:rPr>
          <w:rFonts w:hint="default" w:ascii="Times New Roman" w:hAnsi="Times New Roman" w:eastAsia="宋体" w:cs="Times New Roman"/>
          <w:i/>
          <w:iCs/>
          <w:color w:val="auto"/>
          <w:sz w:val="26"/>
          <w:szCs w:val="26"/>
          <w:highlight w:val="none"/>
        </w:rPr>
        <w:t>Elaphodus cephalophus</w:t>
      </w:r>
      <w:r>
        <w:rPr>
          <w:rFonts w:hint="default" w:ascii="Times New Roman" w:hAnsi="Times New Roman" w:eastAsia="宋体" w:cs="Times New Roman"/>
          <w:color w:val="auto"/>
          <w:sz w:val="26"/>
          <w:szCs w:val="26"/>
          <w:highlight w:val="none"/>
        </w:rPr>
        <w:t>）、中华竹鼠（</w:t>
      </w:r>
      <w:r>
        <w:rPr>
          <w:rFonts w:hint="default" w:ascii="Times New Roman" w:hAnsi="Times New Roman" w:eastAsia="宋体" w:cs="Times New Roman"/>
          <w:i/>
          <w:iCs/>
          <w:color w:val="auto"/>
          <w:sz w:val="26"/>
          <w:szCs w:val="26"/>
          <w:highlight w:val="none"/>
        </w:rPr>
        <w:t>Rhizomys sinensis</w:t>
      </w:r>
      <w:r>
        <w:rPr>
          <w:rFonts w:hint="default" w:ascii="Times New Roman" w:hAnsi="Times New Roman" w:eastAsia="宋体" w:cs="Times New Roman"/>
          <w:color w:val="auto"/>
          <w:sz w:val="26"/>
          <w:szCs w:val="26"/>
          <w:highlight w:val="none"/>
        </w:rPr>
        <w:t>）和画眉亚科的一些种。</w:t>
      </w:r>
    </w:p>
    <w:p w14:paraId="335C2F54">
      <w:pPr>
        <w:spacing w:line="460" w:lineRule="exact"/>
        <w:ind w:firstLine="522" w:firstLineChars="200"/>
        <w:rPr>
          <w:rFonts w:hint="default" w:ascii="Times New Roman" w:hAnsi="Times New Roman" w:eastAsia="宋体" w:cs="Times New Roman"/>
          <w:b/>
          <w:bCs/>
          <w:snapToGrid w:val="0"/>
          <w:color w:val="auto"/>
          <w:sz w:val="26"/>
          <w:szCs w:val="26"/>
        </w:rPr>
      </w:pPr>
      <w:r>
        <w:rPr>
          <w:rFonts w:hint="default" w:ascii="Times New Roman" w:hAnsi="Times New Roman" w:eastAsia="宋体" w:cs="Times New Roman"/>
          <w:b/>
          <w:bCs/>
          <w:snapToGrid w:val="0"/>
          <w:color w:val="auto"/>
          <w:sz w:val="26"/>
          <w:szCs w:val="26"/>
          <w:lang w:val="en-US" w:eastAsia="zh-CN"/>
        </w:rPr>
        <w:t>②</w:t>
      </w:r>
      <w:r>
        <w:rPr>
          <w:rFonts w:hint="default" w:ascii="Times New Roman" w:hAnsi="Times New Roman" w:eastAsia="宋体" w:cs="Times New Roman"/>
          <w:b/>
          <w:bCs/>
          <w:snapToGrid w:val="0"/>
          <w:color w:val="auto"/>
          <w:sz w:val="26"/>
          <w:szCs w:val="26"/>
        </w:rPr>
        <w:t>动物物种组成</w:t>
      </w:r>
    </w:p>
    <w:p w14:paraId="5EFE5A5A">
      <w:pPr>
        <w:spacing w:line="460" w:lineRule="exact"/>
        <w:ind w:firstLine="520" w:firstLineChars="200"/>
        <w:rPr>
          <w:rFonts w:hint="default" w:ascii="Times New Roman" w:hAnsi="Times New Roman" w:eastAsia="宋体" w:cs="Times New Roman"/>
          <w:snapToGrid w:val="0"/>
          <w:color w:val="auto"/>
          <w:sz w:val="26"/>
          <w:szCs w:val="26"/>
          <w:lang w:val="en-US" w:eastAsia="zh-CN"/>
        </w:rPr>
      </w:pPr>
      <w:r>
        <w:rPr>
          <w:rFonts w:hint="default" w:ascii="Times New Roman" w:hAnsi="Times New Roman" w:eastAsia="宋体" w:cs="Times New Roman"/>
          <w:color w:val="auto"/>
          <w:sz w:val="26"/>
          <w:szCs w:val="26"/>
        </w:rPr>
        <w:t>根据</w:t>
      </w:r>
      <w:r>
        <w:rPr>
          <w:rFonts w:hint="default" w:ascii="Times New Roman" w:hAnsi="Times New Roman" w:eastAsia="宋体" w:cs="Times New Roman"/>
          <w:snapToGrid w:val="0"/>
          <w:color w:val="auto"/>
          <w:sz w:val="26"/>
          <w:szCs w:val="26"/>
        </w:rPr>
        <w:t>现场调查、访问及查阅资料，</w:t>
      </w:r>
      <w:r>
        <w:rPr>
          <w:rFonts w:hint="default" w:ascii="Times New Roman" w:hAnsi="Times New Roman" w:eastAsia="宋体" w:cs="Times New Roman"/>
          <w:color w:val="auto"/>
          <w:sz w:val="26"/>
          <w:szCs w:val="26"/>
        </w:rPr>
        <w:t>管线沿线人为活动较频繁，地表植被多为</w:t>
      </w:r>
      <w:r>
        <w:rPr>
          <w:rFonts w:hint="default" w:ascii="Times New Roman" w:hAnsi="Times New Roman" w:eastAsia="宋体" w:cs="Times New Roman"/>
          <w:color w:val="auto"/>
          <w:sz w:val="26"/>
          <w:szCs w:val="26"/>
          <w:lang w:val="en-US" w:eastAsia="zh-CN"/>
        </w:rPr>
        <w:t>人工马尾松林和</w:t>
      </w:r>
      <w:r>
        <w:rPr>
          <w:rFonts w:hint="default" w:ascii="Times New Roman" w:hAnsi="Times New Roman" w:eastAsia="宋体" w:cs="Times New Roman"/>
          <w:color w:val="auto"/>
          <w:sz w:val="26"/>
          <w:szCs w:val="26"/>
        </w:rPr>
        <w:t>农田植被，</w:t>
      </w:r>
      <w:r>
        <w:rPr>
          <w:rFonts w:hint="default" w:ascii="Times New Roman" w:hAnsi="Times New Roman" w:eastAsia="宋体" w:cs="Times New Roman"/>
          <w:snapToGrid w:val="0"/>
          <w:color w:val="auto"/>
          <w:sz w:val="26"/>
          <w:szCs w:val="26"/>
        </w:rPr>
        <w:t>项目用地范围及周边以鸟类居多，兽类、爬行类、两栖类较少，且多为和人类关系较为密切或适应了人类影响的种类，</w:t>
      </w:r>
      <w:r>
        <w:rPr>
          <w:rFonts w:hint="default" w:ascii="Times New Roman" w:hAnsi="Times New Roman" w:eastAsia="宋体" w:cs="Times New Roman"/>
          <w:color w:val="auto"/>
          <w:sz w:val="26"/>
          <w:szCs w:val="26"/>
        </w:rPr>
        <w:t>常见野生动物主要有</w:t>
      </w:r>
      <w:r>
        <w:rPr>
          <w:rFonts w:hint="default" w:ascii="Times New Roman" w:hAnsi="Times New Roman" w:eastAsia="宋体" w:cs="Times New Roman"/>
          <w:snapToGrid w:val="0"/>
          <w:color w:val="auto"/>
          <w:sz w:val="26"/>
          <w:szCs w:val="26"/>
        </w:rPr>
        <w:t>麻雀（</w:t>
      </w:r>
      <w:r>
        <w:rPr>
          <w:rFonts w:hint="default" w:ascii="Times New Roman" w:hAnsi="Times New Roman" w:eastAsia="宋体" w:cs="Times New Roman"/>
          <w:i/>
          <w:snapToGrid w:val="0"/>
          <w:color w:val="auto"/>
          <w:sz w:val="26"/>
          <w:szCs w:val="26"/>
        </w:rPr>
        <w:t>Passer montanus</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lang w:val="en-US" w:eastAsia="zh-CN"/>
        </w:rPr>
        <w:t>珠颈斑鸠（</w:t>
      </w:r>
      <w:r>
        <w:rPr>
          <w:rFonts w:hint="default" w:ascii="Times New Roman" w:hAnsi="Times New Roman" w:eastAsia="宋体" w:cs="Times New Roman"/>
          <w:i/>
          <w:iCs/>
          <w:snapToGrid w:val="0"/>
          <w:color w:val="auto"/>
          <w:sz w:val="26"/>
          <w:szCs w:val="26"/>
          <w:shd w:val="clear" w:fill="FFFFFF"/>
          <w:lang w:val="en-US" w:eastAsia="zh-CN"/>
        </w:rPr>
        <w:t>Spilopelia</w:t>
      </w:r>
      <w:r>
        <w:rPr>
          <w:rFonts w:hint="default" w:ascii="Times New Roman" w:hAnsi="Times New Roman" w:eastAsia="宋体" w:cs="Times New Roman"/>
          <w:i/>
          <w:iCs/>
          <w:snapToGrid w:val="0"/>
          <w:color w:val="auto"/>
          <w:sz w:val="26"/>
          <w:szCs w:val="26"/>
          <w:lang w:val="en-US" w:eastAsia="zh-CN"/>
        </w:rPr>
        <w:t xml:space="preserve"> chinensis</w:t>
      </w:r>
      <w:r>
        <w:rPr>
          <w:rFonts w:hint="default" w:ascii="Times New Roman" w:hAnsi="Times New Roman" w:eastAsia="宋体" w:cs="Times New Roman"/>
          <w:snapToGrid w:val="0"/>
          <w:color w:val="auto"/>
          <w:sz w:val="26"/>
          <w:szCs w:val="26"/>
          <w:lang w:val="en-US" w:eastAsia="zh-CN"/>
        </w:rPr>
        <w:t>）、黄臀鹎（</w:t>
      </w:r>
      <w:r>
        <w:rPr>
          <w:rFonts w:hint="default" w:ascii="Times New Roman" w:hAnsi="Times New Roman" w:eastAsia="宋体" w:cs="Times New Roman"/>
          <w:i/>
          <w:iCs/>
          <w:snapToGrid w:val="0"/>
          <w:color w:val="auto"/>
          <w:sz w:val="26"/>
          <w:szCs w:val="26"/>
          <w:lang w:val="en-US" w:eastAsia="zh-CN"/>
        </w:rPr>
        <w:t xml:space="preserve">Pycnonotus </w:t>
      </w:r>
      <w:r>
        <w:rPr>
          <w:rFonts w:hint="default" w:ascii="Times New Roman" w:hAnsi="Times New Roman" w:eastAsia="宋体" w:cs="Times New Roman"/>
          <w:i/>
          <w:iCs/>
          <w:snapToGrid w:val="0"/>
          <w:color w:val="auto"/>
          <w:sz w:val="26"/>
          <w:szCs w:val="26"/>
          <w:shd w:val="clear" w:fill="FFFFFF"/>
          <w:lang w:val="en-US" w:eastAsia="zh-CN"/>
        </w:rPr>
        <w:t>xanthorrhous</w:t>
      </w:r>
      <w:r>
        <w:rPr>
          <w:rFonts w:hint="default" w:ascii="Times New Roman" w:hAnsi="Times New Roman" w:eastAsia="宋体" w:cs="Times New Roman"/>
          <w:snapToGrid w:val="0"/>
          <w:color w:val="auto"/>
          <w:sz w:val="26"/>
          <w:szCs w:val="26"/>
          <w:lang w:val="en-US" w:eastAsia="zh-CN"/>
        </w:rPr>
        <w:t>）、乌鸫（</w:t>
      </w:r>
      <w:r>
        <w:rPr>
          <w:rFonts w:hint="default" w:ascii="Times New Roman" w:hAnsi="Times New Roman" w:eastAsia="宋体" w:cs="Times New Roman"/>
          <w:i/>
          <w:iCs/>
          <w:snapToGrid w:val="0"/>
          <w:color w:val="auto"/>
          <w:sz w:val="26"/>
          <w:szCs w:val="26"/>
          <w:lang w:val="en-US" w:eastAsia="zh-CN"/>
        </w:rPr>
        <w:t xml:space="preserve">Turdus </w:t>
      </w:r>
      <w:r>
        <w:rPr>
          <w:rFonts w:hint="default" w:ascii="Times New Roman" w:hAnsi="Times New Roman" w:eastAsia="宋体" w:cs="Times New Roman"/>
          <w:i/>
          <w:iCs/>
          <w:snapToGrid w:val="0"/>
          <w:color w:val="auto"/>
          <w:sz w:val="26"/>
          <w:szCs w:val="26"/>
          <w:shd w:val="clear" w:fill="FFFFFF"/>
          <w:lang w:val="en-US" w:eastAsia="zh-CN"/>
        </w:rPr>
        <w:t>mandarinus</w:t>
      </w:r>
      <w:r>
        <w:rPr>
          <w:rFonts w:hint="default" w:ascii="Times New Roman" w:hAnsi="Times New Roman" w:eastAsia="宋体" w:cs="Times New Roman"/>
          <w:snapToGrid w:val="0"/>
          <w:color w:val="auto"/>
          <w:sz w:val="26"/>
          <w:szCs w:val="26"/>
          <w:lang w:val="en-US" w:eastAsia="zh-CN"/>
        </w:rPr>
        <w:t>）、</w:t>
      </w:r>
      <w:r>
        <w:rPr>
          <w:rFonts w:hint="default" w:ascii="Times New Roman" w:hAnsi="Times New Roman" w:eastAsia="宋体" w:cs="Times New Roman"/>
          <w:color w:val="auto"/>
          <w:sz w:val="26"/>
          <w:szCs w:val="26"/>
        </w:rPr>
        <w:t>家燕</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i/>
          <w:iCs/>
          <w:snapToGrid w:val="0"/>
          <w:color w:val="auto"/>
          <w:sz w:val="26"/>
          <w:szCs w:val="26"/>
        </w:rPr>
        <w:t>Hirundo rustica</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color w:val="auto"/>
          <w:sz w:val="26"/>
          <w:szCs w:val="26"/>
        </w:rPr>
        <w:t>、</w:t>
      </w:r>
      <w:r>
        <w:rPr>
          <w:rFonts w:hint="default" w:ascii="Times New Roman" w:hAnsi="Times New Roman" w:eastAsia="宋体" w:cs="Times New Roman"/>
          <w:snapToGrid w:val="0"/>
          <w:color w:val="auto"/>
          <w:sz w:val="26"/>
          <w:szCs w:val="26"/>
        </w:rPr>
        <w:t>褐家鼠（</w:t>
      </w:r>
      <w:r>
        <w:rPr>
          <w:rFonts w:hint="default" w:ascii="Times New Roman" w:hAnsi="Times New Roman" w:eastAsia="宋体" w:cs="Times New Roman"/>
          <w:i/>
          <w:iCs/>
          <w:snapToGrid w:val="0"/>
          <w:color w:val="auto"/>
          <w:sz w:val="26"/>
          <w:szCs w:val="26"/>
        </w:rPr>
        <w:t>Rattus norvegicus</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val="en-US" w:eastAsia="zh-CN"/>
        </w:rPr>
        <w:t>乌梢蛇</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i/>
          <w:iCs/>
          <w:snapToGrid w:val="0"/>
          <w:color w:val="auto"/>
          <w:sz w:val="26"/>
          <w:szCs w:val="26"/>
        </w:rPr>
        <w:t xml:space="preserve">Ptyas </w:t>
      </w:r>
      <w:r>
        <w:rPr>
          <w:rFonts w:hint="default" w:ascii="Times New Roman" w:hAnsi="Times New Roman" w:eastAsia="宋体" w:cs="Times New Roman"/>
          <w:i/>
          <w:iCs/>
          <w:snapToGrid w:val="0"/>
          <w:color w:val="auto"/>
          <w:sz w:val="26"/>
          <w:szCs w:val="26"/>
          <w:shd w:val="clear" w:fill="FFFFFF"/>
        </w:rPr>
        <w:t>dhumnades</w:t>
      </w:r>
      <w:r>
        <w:rPr>
          <w:rFonts w:hint="default" w:ascii="Times New Roman" w:hAnsi="Times New Roman" w:eastAsia="宋体" w:cs="Times New Roman"/>
          <w:snapToGrid w:val="0"/>
          <w:color w:val="auto"/>
          <w:sz w:val="26"/>
          <w:szCs w:val="26"/>
        </w:rPr>
        <w:t>）等。</w:t>
      </w:r>
      <w:r>
        <w:rPr>
          <w:rFonts w:hint="default" w:ascii="Times New Roman" w:hAnsi="Times New Roman" w:eastAsia="宋体" w:cs="Times New Roman"/>
          <w:snapToGrid w:val="0"/>
          <w:color w:val="auto"/>
          <w:sz w:val="26"/>
          <w:szCs w:val="26"/>
          <w:lang w:val="en-US" w:eastAsia="zh-CN"/>
        </w:rPr>
        <w:t>评价区内陆生脊椎动物共有61种，分别隶属于10目32科，动物名录见附录。</w:t>
      </w:r>
    </w:p>
    <w:p w14:paraId="3C9E3FF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6"/>
          <w:szCs w:val="26"/>
          <w:highlight w:val="none"/>
          <w:lang w:val="en-US" w:eastAsia="zh-CN"/>
        </w:rPr>
      </w:pPr>
    </w:p>
    <w:p w14:paraId="258AA23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6"/>
          <w:szCs w:val="26"/>
          <w:highlight w:val="none"/>
          <w:lang w:val="en-US" w:eastAsia="zh-CN"/>
        </w:rPr>
      </w:pPr>
      <w:r>
        <w:rPr>
          <w:rFonts w:hint="default" w:ascii="Times New Roman" w:hAnsi="Times New Roman" w:eastAsia="宋体" w:cs="Times New Roman"/>
          <w:b/>
          <w:bCs w:val="0"/>
          <w:color w:val="auto"/>
          <w:sz w:val="26"/>
          <w:szCs w:val="26"/>
          <w:highlight w:val="none"/>
          <w:lang w:val="en-US" w:eastAsia="zh-CN"/>
        </w:rPr>
        <w:t>表4.3-1</w:t>
      </w:r>
      <w:r>
        <w:rPr>
          <w:rFonts w:hint="eastAsia" w:ascii="Times New Roman" w:hAnsi="Times New Roman" w:cs="Times New Roman"/>
          <w:b/>
          <w:bCs w:val="0"/>
          <w:color w:val="auto"/>
          <w:sz w:val="26"/>
          <w:szCs w:val="26"/>
          <w:highlight w:val="none"/>
          <w:lang w:val="en-US" w:eastAsia="zh-CN"/>
        </w:rPr>
        <w:t>7</w:t>
      </w:r>
      <w:r>
        <w:rPr>
          <w:rFonts w:hint="default" w:ascii="Times New Roman" w:hAnsi="Times New Roman" w:eastAsia="宋体" w:cs="Times New Roman"/>
          <w:b/>
          <w:bCs w:val="0"/>
          <w:color w:val="auto"/>
          <w:sz w:val="26"/>
          <w:szCs w:val="26"/>
          <w:highlight w:val="none"/>
          <w:lang w:val="en-US" w:eastAsia="zh-CN"/>
        </w:rPr>
        <w:t xml:space="preserve"> 陆生脊椎动物统计表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719"/>
        <w:gridCol w:w="1737"/>
        <w:gridCol w:w="1776"/>
        <w:gridCol w:w="2136"/>
      </w:tblGrid>
      <w:tr w14:paraId="4EB5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879" w:type="pct"/>
            <w:noWrap w:val="0"/>
            <w:vAlign w:val="center"/>
          </w:tcPr>
          <w:p w14:paraId="07FD16B1">
            <w:pPr>
              <w:pStyle w:val="122"/>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类群</w:t>
            </w:r>
          </w:p>
        </w:tc>
        <w:tc>
          <w:tcPr>
            <w:tcW w:w="961" w:type="pct"/>
            <w:noWrap w:val="0"/>
            <w:vAlign w:val="center"/>
          </w:tcPr>
          <w:p w14:paraId="3208B8C1">
            <w:pPr>
              <w:pStyle w:val="122"/>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目</w:t>
            </w:r>
          </w:p>
        </w:tc>
        <w:tc>
          <w:tcPr>
            <w:tcW w:w="971" w:type="pct"/>
            <w:noWrap w:val="0"/>
            <w:vAlign w:val="center"/>
          </w:tcPr>
          <w:p w14:paraId="7B72036E">
            <w:pPr>
              <w:pStyle w:val="122"/>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科</w:t>
            </w:r>
          </w:p>
        </w:tc>
        <w:tc>
          <w:tcPr>
            <w:tcW w:w="993" w:type="pct"/>
            <w:noWrap w:val="0"/>
            <w:vAlign w:val="center"/>
          </w:tcPr>
          <w:p w14:paraId="691F4686">
            <w:pPr>
              <w:pStyle w:val="122"/>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种</w:t>
            </w:r>
          </w:p>
        </w:tc>
        <w:tc>
          <w:tcPr>
            <w:tcW w:w="1194" w:type="pct"/>
            <w:noWrap w:val="0"/>
            <w:vAlign w:val="center"/>
          </w:tcPr>
          <w:p w14:paraId="0BE13CEE">
            <w:pPr>
              <w:pStyle w:val="122"/>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国家</w:t>
            </w:r>
            <w:r>
              <w:rPr>
                <w:rFonts w:hint="default" w:ascii="Times New Roman" w:hAnsi="Times New Roman" w:eastAsia="宋体" w:cs="Times New Roman"/>
                <w:b/>
                <w:bCs/>
                <w:color w:val="auto"/>
                <w:szCs w:val="22"/>
                <w:highlight w:val="none"/>
                <w:lang w:eastAsia="zh-CN"/>
              </w:rPr>
              <w:t>、</w:t>
            </w:r>
            <w:r>
              <w:rPr>
                <w:rFonts w:hint="default" w:ascii="Times New Roman" w:hAnsi="Times New Roman" w:eastAsia="宋体" w:cs="Times New Roman"/>
                <w:b/>
                <w:bCs/>
                <w:color w:val="auto"/>
                <w:szCs w:val="22"/>
                <w:highlight w:val="none"/>
                <w:lang w:val="en-US" w:eastAsia="zh-CN"/>
              </w:rPr>
              <w:t>市级</w:t>
            </w:r>
            <w:r>
              <w:rPr>
                <w:rFonts w:hint="default" w:ascii="Times New Roman" w:hAnsi="Times New Roman" w:eastAsia="宋体" w:cs="Times New Roman"/>
                <w:b/>
                <w:bCs/>
                <w:color w:val="auto"/>
                <w:szCs w:val="22"/>
                <w:highlight w:val="none"/>
              </w:rPr>
              <w:t>重点保护野生动物</w:t>
            </w:r>
          </w:p>
        </w:tc>
      </w:tr>
      <w:tr w14:paraId="48DF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9" w:type="pct"/>
            <w:noWrap w:val="0"/>
            <w:vAlign w:val="center"/>
          </w:tcPr>
          <w:p w14:paraId="0CD7D021">
            <w:pPr>
              <w:pStyle w:val="12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两栖类</w:t>
            </w:r>
          </w:p>
        </w:tc>
        <w:tc>
          <w:tcPr>
            <w:tcW w:w="961" w:type="pct"/>
            <w:noWrap w:val="0"/>
            <w:vAlign w:val="center"/>
          </w:tcPr>
          <w:p w14:paraId="0347F9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1" w:type="pct"/>
            <w:noWrap w:val="0"/>
            <w:vAlign w:val="center"/>
          </w:tcPr>
          <w:p w14:paraId="16CBEE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993" w:type="pct"/>
            <w:noWrap w:val="0"/>
            <w:vAlign w:val="center"/>
          </w:tcPr>
          <w:p w14:paraId="75DEE1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1194" w:type="pct"/>
            <w:noWrap w:val="0"/>
            <w:vAlign w:val="center"/>
          </w:tcPr>
          <w:p w14:paraId="7D51999E">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14:paraId="0C82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9" w:type="pct"/>
            <w:noWrap w:val="0"/>
            <w:vAlign w:val="center"/>
          </w:tcPr>
          <w:p w14:paraId="7E1D3549">
            <w:pPr>
              <w:pStyle w:val="12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爬行类</w:t>
            </w:r>
          </w:p>
        </w:tc>
        <w:tc>
          <w:tcPr>
            <w:tcW w:w="961" w:type="pct"/>
            <w:noWrap w:val="0"/>
            <w:vAlign w:val="center"/>
          </w:tcPr>
          <w:p w14:paraId="7E8A8BF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71" w:type="pct"/>
            <w:noWrap w:val="0"/>
            <w:vAlign w:val="center"/>
          </w:tcPr>
          <w:p w14:paraId="04186E2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993" w:type="pct"/>
            <w:noWrap w:val="0"/>
            <w:vAlign w:val="center"/>
          </w:tcPr>
          <w:p w14:paraId="18CDA4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w:t>
            </w:r>
          </w:p>
        </w:tc>
        <w:tc>
          <w:tcPr>
            <w:tcW w:w="1194" w:type="pct"/>
            <w:noWrap w:val="0"/>
            <w:vAlign w:val="center"/>
          </w:tcPr>
          <w:p w14:paraId="6DF7783E">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3种（市级）</w:t>
            </w:r>
          </w:p>
        </w:tc>
      </w:tr>
      <w:tr w14:paraId="0194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9" w:type="pct"/>
            <w:noWrap w:val="0"/>
            <w:vAlign w:val="center"/>
          </w:tcPr>
          <w:p w14:paraId="033DB08D">
            <w:pPr>
              <w:pStyle w:val="12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兽类</w:t>
            </w:r>
          </w:p>
        </w:tc>
        <w:tc>
          <w:tcPr>
            <w:tcW w:w="961" w:type="pct"/>
            <w:noWrap w:val="0"/>
            <w:vAlign w:val="center"/>
          </w:tcPr>
          <w:p w14:paraId="6341D2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971" w:type="pct"/>
            <w:noWrap w:val="0"/>
            <w:vAlign w:val="center"/>
          </w:tcPr>
          <w:p w14:paraId="23CCDA6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993" w:type="pct"/>
            <w:noWrap w:val="0"/>
            <w:vAlign w:val="center"/>
          </w:tcPr>
          <w:p w14:paraId="65378EF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194" w:type="pct"/>
            <w:noWrap w:val="0"/>
            <w:vAlign w:val="center"/>
          </w:tcPr>
          <w:p w14:paraId="5E618847">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14:paraId="2781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9" w:type="pct"/>
            <w:noWrap w:val="0"/>
            <w:vAlign w:val="center"/>
          </w:tcPr>
          <w:p w14:paraId="59C06BC1">
            <w:pPr>
              <w:pStyle w:val="12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鸟类</w:t>
            </w:r>
          </w:p>
        </w:tc>
        <w:tc>
          <w:tcPr>
            <w:tcW w:w="961" w:type="pct"/>
            <w:noWrap w:val="0"/>
            <w:vAlign w:val="center"/>
          </w:tcPr>
          <w:p w14:paraId="3EEE87B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971" w:type="pct"/>
            <w:noWrap w:val="0"/>
            <w:vAlign w:val="center"/>
          </w:tcPr>
          <w:p w14:paraId="5E7B6E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993" w:type="pct"/>
            <w:noWrap w:val="0"/>
            <w:vAlign w:val="center"/>
          </w:tcPr>
          <w:p w14:paraId="02B52FB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42</w:t>
            </w:r>
          </w:p>
        </w:tc>
        <w:tc>
          <w:tcPr>
            <w:tcW w:w="1194" w:type="pct"/>
            <w:noWrap w:val="0"/>
            <w:vAlign w:val="center"/>
          </w:tcPr>
          <w:p w14:paraId="10E9DC89">
            <w:pPr>
              <w:pStyle w:val="122"/>
              <w:rPr>
                <w:rFonts w:hint="default" w:ascii="Times New Roman" w:hAnsi="Times New Roman" w:eastAsia="宋体" w:cs="Times New Roman"/>
                <w:color w:val="auto"/>
                <w:sz w:val="21"/>
                <w:szCs w:val="21"/>
                <w:highlight w:val="none"/>
                <w:lang w:eastAsia="zh-CN"/>
              </w:rPr>
            </w:pPr>
          </w:p>
        </w:tc>
      </w:tr>
      <w:tr w14:paraId="3A95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9" w:type="pct"/>
            <w:noWrap w:val="0"/>
            <w:vAlign w:val="center"/>
          </w:tcPr>
          <w:p w14:paraId="3B781697">
            <w:pPr>
              <w:pStyle w:val="12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961" w:type="pct"/>
            <w:noWrap w:val="0"/>
            <w:vAlign w:val="center"/>
          </w:tcPr>
          <w:p w14:paraId="60AD7CF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71" w:type="pct"/>
            <w:noWrap w:val="0"/>
            <w:vAlign w:val="center"/>
          </w:tcPr>
          <w:p w14:paraId="722529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993" w:type="pct"/>
            <w:noWrap w:val="0"/>
            <w:vAlign w:val="center"/>
          </w:tcPr>
          <w:p w14:paraId="725D98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59</w:t>
            </w:r>
          </w:p>
        </w:tc>
        <w:tc>
          <w:tcPr>
            <w:tcW w:w="1194" w:type="pct"/>
            <w:noWrap w:val="0"/>
            <w:vAlign w:val="center"/>
          </w:tcPr>
          <w:p w14:paraId="44D3D626">
            <w:pPr>
              <w:pStyle w:val="12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r>
    </w:tbl>
    <w:p w14:paraId="6CA20DEE">
      <w:pPr>
        <w:rPr>
          <w:rFonts w:hint="default" w:ascii="Times New Roman" w:hAnsi="Times New Roman" w:eastAsia="宋体" w:cs="Times New Roman"/>
          <w:color w:val="auto"/>
          <w:lang w:val="en-US" w:eastAsia="zh-CN"/>
        </w:rPr>
      </w:pPr>
    </w:p>
    <w:p w14:paraId="6927747C">
      <w:pPr>
        <w:spacing w:line="460" w:lineRule="exact"/>
        <w:ind w:firstLine="520" w:firstLineChars="200"/>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rPr>
        <w:t>（1）两栖类</w:t>
      </w:r>
    </w:p>
    <w:p w14:paraId="3D08F22D">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snapToGrid w:val="0"/>
          <w:color w:val="auto"/>
          <w:sz w:val="26"/>
          <w:szCs w:val="26"/>
        </w:rPr>
        <w:t>通过调查和查阅文献发现，本次评价范围两栖类以</w:t>
      </w:r>
      <w:r>
        <w:rPr>
          <w:rFonts w:hint="default" w:ascii="Times New Roman" w:hAnsi="Times New Roman" w:eastAsia="宋体" w:cs="Times New Roman"/>
          <w:snapToGrid w:val="0"/>
          <w:color w:val="auto"/>
          <w:sz w:val="26"/>
          <w:szCs w:val="26"/>
          <w:lang w:val="en-US" w:eastAsia="zh-CN"/>
        </w:rPr>
        <w:t>东洋</w:t>
      </w:r>
      <w:r>
        <w:rPr>
          <w:rFonts w:hint="default" w:ascii="Times New Roman" w:hAnsi="Times New Roman" w:eastAsia="宋体" w:cs="Times New Roman"/>
          <w:snapToGrid w:val="0"/>
          <w:color w:val="auto"/>
          <w:sz w:val="26"/>
          <w:szCs w:val="26"/>
        </w:rPr>
        <w:t>种为主，主要包括华西雨蛙（</w:t>
      </w:r>
      <w:r>
        <w:rPr>
          <w:rFonts w:hint="default" w:ascii="Times New Roman" w:hAnsi="Times New Roman" w:eastAsia="宋体" w:cs="Times New Roman"/>
          <w:i/>
          <w:iCs/>
          <w:snapToGrid w:val="0"/>
          <w:color w:val="auto"/>
          <w:sz w:val="26"/>
          <w:szCs w:val="26"/>
        </w:rPr>
        <w:t>Hyla annectans</w:t>
      </w:r>
      <w:r>
        <w:rPr>
          <w:rFonts w:hint="default" w:ascii="Times New Roman" w:hAnsi="Times New Roman" w:eastAsia="宋体" w:cs="Times New Roman"/>
          <w:snapToGrid w:val="0"/>
          <w:color w:val="auto"/>
          <w:sz w:val="26"/>
          <w:szCs w:val="26"/>
        </w:rPr>
        <w:t>）、饰纹姬蛙（</w:t>
      </w:r>
      <w:r>
        <w:rPr>
          <w:rFonts w:hint="default" w:ascii="Times New Roman" w:hAnsi="Times New Roman" w:eastAsia="宋体" w:cs="Times New Roman"/>
          <w:i/>
          <w:iCs/>
          <w:snapToGrid w:val="0"/>
          <w:color w:val="auto"/>
          <w:sz w:val="26"/>
          <w:szCs w:val="26"/>
        </w:rPr>
        <w:t xml:space="preserve">Microhyla </w:t>
      </w:r>
      <w:r>
        <w:rPr>
          <w:rFonts w:hint="default" w:ascii="Times New Roman" w:hAnsi="Times New Roman" w:eastAsia="宋体" w:cs="Times New Roman"/>
          <w:i/>
          <w:iCs/>
          <w:snapToGrid w:val="0"/>
          <w:color w:val="auto"/>
          <w:sz w:val="26"/>
          <w:szCs w:val="26"/>
          <w:shd w:val="clear" w:fill="FFFFFF"/>
        </w:rPr>
        <w:t>fissipes</w:t>
      </w:r>
      <w:r>
        <w:rPr>
          <w:rFonts w:hint="default" w:ascii="Times New Roman" w:hAnsi="Times New Roman" w:eastAsia="宋体" w:cs="Times New Roman"/>
          <w:snapToGrid w:val="0"/>
          <w:color w:val="auto"/>
          <w:sz w:val="26"/>
          <w:szCs w:val="26"/>
        </w:rPr>
        <w:t>）等</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主要栖息在水库水塘和</w:t>
      </w:r>
      <w:r>
        <w:rPr>
          <w:rFonts w:hint="default" w:ascii="Times New Roman" w:hAnsi="Times New Roman" w:eastAsia="宋体" w:cs="Times New Roman"/>
          <w:color w:val="auto"/>
          <w:sz w:val="26"/>
          <w:szCs w:val="26"/>
          <w:lang w:val="en-US" w:eastAsia="zh-CN"/>
        </w:rPr>
        <w:t>稻田等</w:t>
      </w:r>
      <w:r>
        <w:rPr>
          <w:rFonts w:hint="default" w:ascii="Times New Roman" w:hAnsi="Times New Roman" w:eastAsia="宋体" w:cs="Times New Roman"/>
          <w:color w:val="auto"/>
          <w:sz w:val="26"/>
          <w:szCs w:val="26"/>
        </w:rPr>
        <w:t>附近。</w:t>
      </w:r>
    </w:p>
    <w:p w14:paraId="2076DCD9">
      <w:pPr>
        <w:spacing w:line="460" w:lineRule="exact"/>
        <w:ind w:firstLine="520" w:firstLineChars="200"/>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lang w:val="en-US" w:eastAsia="zh-CN"/>
        </w:rPr>
        <w:t>2）</w:t>
      </w:r>
      <w:r>
        <w:rPr>
          <w:rFonts w:hint="default" w:ascii="Times New Roman" w:hAnsi="Times New Roman" w:eastAsia="宋体" w:cs="Times New Roman"/>
          <w:snapToGrid w:val="0"/>
          <w:color w:val="auto"/>
          <w:sz w:val="26"/>
          <w:szCs w:val="26"/>
        </w:rPr>
        <w:t>爬行类</w:t>
      </w:r>
    </w:p>
    <w:p w14:paraId="2AD43A02">
      <w:pPr>
        <w:spacing w:line="460" w:lineRule="exact"/>
        <w:ind w:firstLine="520" w:firstLineChars="200"/>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rPr>
        <w:t>本项目评价区内爬行类以东洋种为主。主要包括蹼趾壁虎</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i/>
          <w:iCs/>
          <w:snapToGrid w:val="0"/>
          <w:color w:val="auto"/>
          <w:sz w:val="26"/>
          <w:szCs w:val="26"/>
          <w:lang w:eastAsia="zh-CN"/>
        </w:rPr>
        <w:t xml:space="preserve">Gekko </w:t>
      </w:r>
      <w:r>
        <w:rPr>
          <w:rFonts w:hint="default" w:ascii="Times New Roman" w:hAnsi="Times New Roman" w:eastAsia="宋体" w:cs="Times New Roman"/>
          <w:i/>
          <w:iCs/>
          <w:snapToGrid w:val="0"/>
          <w:color w:val="auto"/>
          <w:sz w:val="26"/>
          <w:szCs w:val="26"/>
          <w:shd w:val="clear" w:fill="FFFFFF"/>
          <w:lang w:eastAsia="zh-CN"/>
        </w:rPr>
        <w:t>subpalmatus</w:t>
      </w:r>
      <w:r>
        <w:rPr>
          <w:rFonts w:hint="default" w:ascii="Times New Roman" w:hAnsi="Times New Roman" w:eastAsia="宋体" w:cs="Times New Roman"/>
          <w:snapToGrid w:val="0"/>
          <w:color w:val="auto"/>
          <w:sz w:val="26"/>
          <w:szCs w:val="26"/>
          <w:lang w:eastAsia="zh-CN"/>
        </w:rPr>
        <w:t>）北草蜥（</w:t>
      </w:r>
      <w:r>
        <w:rPr>
          <w:rFonts w:hint="default" w:ascii="Times New Roman" w:hAnsi="Times New Roman" w:eastAsia="宋体" w:cs="Times New Roman"/>
          <w:i/>
          <w:iCs/>
          <w:snapToGrid w:val="0"/>
          <w:color w:val="auto"/>
          <w:sz w:val="26"/>
          <w:szCs w:val="26"/>
          <w:lang w:eastAsia="zh-CN"/>
        </w:rPr>
        <w:t>Takydromus septentrionalis</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rPr>
        <w:t>乌梢蛇（</w:t>
      </w:r>
      <w:r>
        <w:rPr>
          <w:rFonts w:hint="default" w:ascii="Times New Roman" w:hAnsi="Times New Roman" w:eastAsia="宋体" w:cs="Times New Roman"/>
          <w:i/>
          <w:snapToGrid w:val="0"/>
          <w:color w:val="auto"/>
          <w:sz w:val="26"/>
          <w:szCs w:val="26"/>
          <w:shd w:val="clear" w:fill="FFFFFF"/>
        </w:rPr>
        <w:t>Zaocys</w:t>
      </w:r>
      <w:r>
        <w:rPr>
          <w:rFonts w:hint="default" w:ascii="Times New Roman" w:hAnsi="Times New Roman" w:eastAsia="宋体" w:cs="Times New Roman"/>
          <w:i/>
          <w:snapToGrid w:val="0"/>
          <w:color w:val="auto"/>
          <w:sz w:val="26"/>
          <w:szCs w:val="26"/>
        </w:rPr>
        <w:t xml:space="preserve"> </w:t>
      </w:r>
      <w:r>
        <w:rPr>
          <w:rFonts w:hint="default" w:ascii="Times New Roman" w:hAnsi="Times New Roman" w:eastAsia="宋体" w:cs="Times New Roman"/>
          <w:i/>
          <w:snapToGrid w:val="0"/>
          <w:color w:val="auto"/>
          <w:sz w:val="26"/>
          <w:szCs w:val="26"/>
          <w:shd w:val="clear" w:fill="FFFFFF"/>
        </w:rPr>
        <w:t>dhumnades</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color w:val="auto"/>
          <w:sz w:val="26"/>
          <w:szCs w:val="26"/>
        </w:rPr>
        <w:t>王锦蛇（</w:t>
      </w:r>
      <w:r>
        <w:rPr>
          <w:rFonts w:hint="default" w:ascii="Times New Roman" w:hAnsi="Times New Roman" w:eastAsia="宋体" w:cs="Times New Roman"/>
          <w:i/>
          <w:iCs/>
          <w:color w:val="auto"/>
          <w:sz w:val="26"/>
          <w:szCs w:val="26"/>
        </w:rPr>
        <w:t>Elaphe carinata</w:t>
      </w:r>
      <w:r>
        <w:rPr>
          <w:rFonts w:hint="default" w:ascii="Times New Roman" w:hAnsi="Times New Roman" w:eastAsia="宋体" w:cs="Times New Roman"/>
          <w:iCs/>
          <w:color w:val="auto"/>
          <w:sz w:val="26"/>
          <w:szCs w:val="26"/>
        </w:rPr>
        <w:t>）</w:t>
      </w:r>
      <w:r>
        <w:rPr>
          <w:rFonts w:hint="default" w:ascii="Times New Roman" w:hAnsi="Times New Roman" w:eastAsia="宋体" w:cs="Times New Roman"/>
          <w:iCs/>
          <w:color w:val="auto"/>
          <w:sz w:val="26"/>
          <w:szCs w:val="26"/>
          <w:lang w:eastAsia="zh-CN"/>
        </w:rPr>
        <w:t>、</w:t>
      </w:r>
      <w:r>
        <w:rPr>
          <w:rFonts w:hint="default" w:ascii="Times New Roman" w:hAnsi="Times New Roman" w:eastAsia="宋体" w:cs="Times New Roman"/>
          <w:color w:val="auto"/>
          <w:sz w:val="26"/>
          <w:szCs w:val="26"/>
        </w:rPr>
        <w:t>黑眉锦蛇</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i/>
          <w:iCs/>
          <w:color w:val="auto"/>
          <w:sz w:val="26"/>
          <w:szCs w:val="26"/>
          <w:lang w:eastAsia="zh-CN"/>
        </w:rPr>
        <w:t xml:space="preserve">Elaphe </w:t>
      </w:r>
      <w:r>
        <w:rPr>
          <w:rFonts w:hint="default" w:ascii="Times New Roman" w:hAnsi="Times New Roman" w:eastAsia="宋体" w:cs="Times New Roman"/>
          <w:i/>
          <w:iCs/>
          <w:color w:val="auto"/>
          <w:sz w:val="26"/>
          <w:szCs w:val="26"/>
          <w:shd w:val="clear" w:fill="FFFFFF"/>
          <w:lang w:eastAsia="zh-CN"/>
        </w:rPr>
        <w:t>taeniurua</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snapToGrid w:val="0"/>
          <w:color w:val="auto"/>
          <w:sz w:val="26"/>
          <w:szCs w:val="26"/>
        </w:rPr>
        <w:t>等。</w:t>
      </w:r>
    </w:p>
    <w:p w14:paraId="1B436418">
      <w:pPr>
        <w:spacing w:line="460" w:lineRule="exact"/>
        <w:ind w:firstLine="520" w:firstLineChars="200"/>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lang w:val="en-US" w:eastAsia="zh-CN"/>
        </w:rPr>
        <w:t>3</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rPr>
        <w:t>兽类</w:t>
      </w:r>
    </w:p>
    <w:p w14:paraId="7C1F024D">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snapToGrid w:val="0"/>
          <w:color w:val="auto"/>
          <w:sz w:val="26"/>
          <w:szCs w:val="26"/>
        </w:rPr>
        <w:t>项目周边人类活动频繁，经现场调查、走访及文献资料查阅，用地范围及周边常见的兽类多为啮齿目，大型兽类较为稀少。主要包括褐家鼠（</w:t>
      </w:r>
      <w:r>
        <w:rPr>
          <w:rFonts w:hint="default" w:ascii="Times New Roman" w:hAnsi="Times New Roman" w:eastAsia="宋体" w:cs="Times New Roman"/>
          <w:i/>
          <w:iCs/>
          <w:snapToGrid w:val="0"/>
          <w:color w:val="auto"/>
          <w:sz w:val="26"/>
          <w:szCs w:val="26"/>
        </w:rPr>
        <w:t>Rattus norvegicus</w:t>
      </w:r>
      <w:r>
        <w:rPr>
          <w:rFonts w:hint="default" w:ascii="Times New Roman" w:hAnsi="Times New Roman" w:eastAsia="宋体" w:cs="Times New Roman"/>
          <w:snapToGrid w:val="0"/>
          <w:color w:val="auto"/>
          <w:sz w:val="26"/>
          <w:szCs w:val="26"/>
        </w:rPr>
        <w:t>）、小家鼠（</w:t>
      </w:r>
      <w:r>
        <w:rPr>
          <w:rFonts w:hint="default" w:ascii="Times New Roman" w:hAnsi="Times New Roman" w:eastAsia="宋体" w:cs="Times New Roman"/>
          <w:i/>
          <w:iCs/>
          <w:snapToGrid w:val="0"/>
          <w:color w:val="auto"/>
          <w:sz w:val="26"/>
          <w:szCs w:val="26"/>
        </w:rPr>
        <w:t>Mus musculus</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color w:val="auto"/>
          <w:sz w:val="26"/>
          <w:szCs w:val="26"/>
        </w:rPr>
        <w:t>主要分布在居民居住处。</w:t>
      </w:r>
    </w:p>
    <w:p w14:paraId="11E8F16B">
      <w:pPr>
        <w:spacing w:line="460" w:lineRule="exact"/>
        <w:ind w:firstLine="520" w:firstLineChars="200"/>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val="en-US" w:eastAsia="zh-CN"/>
        </w:rPr>
        <w:t>4</w:t>
      </w:r>
      <w:r>
        <w:rPr>
          <w:rFonts w:hint="default" w:ascii="Times New Roman" w:hAnsi="Times New Roman" w:eastAsia="宋体" w:cs="Times New Roman"/>
          <w:snapToGrid w:val="0"/>
          <w:color w:val="auto"/>
          <w:sz w:val="26"/>
          <w:szCs w:val="26"/>
        </w:rPr>
        <w:t>）鸟类</w:t>
      </w:r>
    </w:p>
    <w:p w14:paraId="1C3A265F">
      <w:pPr>
        <w:spacing w:line="460" w:lineRule="exact"/>
        <w:ind w:firstLine="520" w:firstLineChars="200"/>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rPr>
        <w:t>根据现场调查、文献资料查阅，项目周边的鸟类主要有麻雀（</w:t>
      </w:r>
      <w:r>
        <w:rPr>
          <w:rFonts w:hint="default" w:ascii="Times New Roman" w:hAnsi="Times New Roman" w:eastAsia="宋体" w:cs="Times New Roman"/>
          <w:i/>
          <w:snapToGrid w:val="0"/>
          <w:color w:val="auto"/>
          <w:sz w:val="26"/>
          <w:szCs w:val="26"/>
        </w:rPr>
        <w:t>Passer montanus</w:t>
      </w:r>
      <w:r>
        <w:rPr>
          <w:rFonts w:hint="default" w:ascii="Times New Roman" w:hAnsi="Times New Roman" w:eastAsia="宋体" w:cs="Times New Roman"/>
          <w:snapToGrid w:val="0"/>
          <w:color w:val="auto"/>
          <w:sz w:val="26"/>
          <w:szCs w:val="26"/>
        </w:rPr>
        <w:t>）</w:t>
      </w:r>
      <w:r>
        <w:rPr>
          <w:rFonts w:hint="default"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lang w:val="en-US" w:eastAsia="zh-CN"/>
        </w:rPr>
        <w:t>珠颈斑鸠（</w:t>
      </w:r>
      <w:r>
        <w:rPr>
          <w:rFonts w:hint="default" w:ascii="Times New Roman" w:hAnsi="Times New Roman" w:eastAsia="宋体" w:cs="Times New Roman"/>
          <w:i/>
          <w:iCs/>
          <w:snapToGrid w:val="0"/>
          <w:color w:val="auto"/>
          <w:sz w:val="26"/>
          <w:szCs w:val="26"/>
          <w:shd w:val="clear" w:fill="FFFFFF"/>
          <w:lang w:val="en-US" w:eastAsia="zh-CN"/>
        </w:rPr>
        <w:t>Spilopelia</w:t>
      </w:r>
      <w:r>
        <w:rPr>
          <w:rFonts w:hint="default" w:ascii="Times New Roman" w:hAnsi="Times New Roman" w:eastAsia="宋体" w:cs="Times New Roman"/>
          <w:i/>
          <w:iCs/>
          <w:snapToGrid w:val="0"/>
          <w:color w:val="auto"/>
          <w:sz w:val="26"/>
          <w:szCs w:val="26"/>
          <w:lang w:val="en-US" w:eastAsia="zh-CN"/>
        </w:rPr>
        <w:t xml:space="preserve"> chinensis</w:t>
      </w:r>
      <w:r>
        <w:rPr>
          <w:rFonts w:hint="default" w:ascii="Times New Roman" w:hAnsi="Times New Roman" w:eastAsia="宋体" w:cs="Times New Roman"/>
          <w:snapToGrid w:val="0"/>
          <w:color w:val="auto"/>
          <w:sz w:val="26"/>
          <w:szCs w:val="26"/>
          <w:lang w:val="en-US" w:eastAsia="zh-CN"/>
        </w:rPr>
        <w:t>）、黄臀鹎（</w:t>
      </w:r>
      <w:r>
        <w:rPr>
          <w:rFonts w:hint="default" w:ascii="Times New Roman" w:hAnsi="Times New Roman" w:eastAsia="宋体" w:cs="Times New Roman"/>
          <w:i/>
          <w:iCs/>
          <w:snapToGrid w:val="0"/>
          <w:color w:val="auto"/>
          <w:sz w:val="26"/>
          <w:szCs w:val="26"/>
          <w:lang w:val="en-US" w:eastAsia="zh-CN"/>
        </w:rPr>
        <w:t xml:space="preserve">Pycnonotus </w:t>
      </w:r>
      <w:r>
        <w:rPr>
          <w:rFonts w:hint="default" w:ascii="Times New Roman" w:hAnsi="Times New Roman" w:eastAsia="宋体" w:cs="Times New Roman"/>
          <w:i/>
          <w:iCs/>
          <w:snapToGrid w:val="0"/>
          <w:color w:val="auto"/>
          <w:sz w:val="26"/>
          <w:szCs w:val="26"/>
          <w:shd w:val="clear" w:fill="FFFFFF"/>
          <w:lang w:val="en-US" w:eastAsia="zh-CN"/>
        </w:rPr>
        <w:t>xanthorrhous</w:t>
      </w:r>
      <w:r>
        <w:rPr>
          <w:rFonts w:hint="default" w:ascii="Times New Roman" w:hAnsi="Times New Roman" w:eastAsia="宋体" w:cs="Times New Roman"/>
          <w:snapToGrid w:val="0"/>
          <w:color w:val="auto"/>
          <w:sz w:val="26"/>
          <w:szCs w:val="26"/>
          <w:lang w:val="en-US" w:eastAsia="zh-CN"/>
        </w:rPr>
        <w:t>）、乌鸫（</w:t>
      </w:r>
      <w:r>
        <w:rPr>
          <w:rFonts w:hint="default" w:ascii="Times New Roman" w:hAnsi="Times New Roman" w:eastAsia="宋体" w:cs="Times New Roman"/>
          <w:i/>
          <w:iCs/>
          <w:snapToGrid w:val="0"/>
          <w:color w:val="auto"/>
          <w:sz w:val="26"/>
          <w:szCs w:val="26"/>
          <w:lang w:val="en-US" w:eastAsia="zh-CN"/>
        </w:rPr>
        <w:t xml:space="preserve">Turdus </w:t>
      </w:r>
      <w:r>
        <w:rPr>
          <w:rFonts w:hint="default" w:ascii="Times New Roman" w:hAnsi="Times New Roman" w:eastAsia="宋体" w:cs="Times New Roman"/>
          <w:i/>
          <w:iCs/>
          <w:snapToGrid w:val="0"/>
          <w:color w:val="auto"/>
          <w:sz w:val="26"/>
          <w:szCs w:val="26"/>
          <w:shd w:val="clear" w:fill="FFFFFF"/>
          <w:lang w:val="en-US" w:eastAsia="zh-CN"/>
        </w:rPr>
        <w:t>mandarinus</w:t>
      </w:r>
      <w:r>
        <w:rPr>
          <w:rFonts w:hint="default" w:ascii="Times New Roman" w:hAnsi="Times New Roman" w:eastAsia="宋体" w:cs="Times New Roman"/>
          <w:snapToGrid w:val="0"/>
          <w:color w:val="auto"/>
          <w:sz w:val="26"/>
          <w:szCs w:val="26"/>
          <w:lang w:val="en-US" w:eastAsia="zh-CN"/>
        </w:rPr>
        <w:t>）、</w:t>
      </w:r>
      <w:r>
        <w:rPr>
          <w:rFonts w:hint="default" w:ascii="Times New Roman" w:hAnsi="Times New Roman" w:eastAsia="宋体" w:cs="Times New Roman"/>
          <w:snapToGrid w:val="0"/>
          <w:color w:val="auto"/>
          <w:sz w:val="26"/>
          <w:szCs w:val="26"/>
        </w:rPr>
        <w:t>白鹭（</w:t>
      </w:r>
      <w:r>
        <w:rPr>
          <w:rFonts w:hint="default" w:ascii="Times New Roman" w:hAnsi="Times New Roman" w:eastAsia="宋体" w:cs="Times New Roman"/>
          <w:i/>
          <w:iCs/>
          <w:snapToGrid w:val="0"/>
          <w:color w:val="auto"/>
          <w:sz w:val="26"/>
          <w:szCs w:val="26"/>
        </w:rPr>
        <w:t>Little Egret</w:t>
      </w:r>
      <w:r>
        <w:rPr>
          <w:rFonts w:hint="default" w:ascii="Times New Roman" w:hAnsi="Times New Roman" w:eastAsia="宋体" w:cs="Times New Roman"/>
          <w:snapToGrid w:val="0"/>
          <w:color w:val="auto"/>
          <w:sz w:val="26"/>
          <w:szCs w:val="26"/>
        </w:rPr>
        <w:t>）等。其中</w:t>
      </w:r>
      <w:r>
        <w:rPr>
          <w:rFonts w:hint="default" w:ascii="Times New Roman" w:hAnsi="Times New Roman" w:eastAsia="宋体" w:cs="Times New Roman"/>
          <w:color w:val="auto"/>
          <w:sz w:val="26"/>
          <w:szCs w:val="26"/>
        </w:rPr>
        <w:t>白鹭等分布在评价区内</w:t>
      </w:r>
      <w:r>
        <w:rPr>
          <w:rFonts w:hint="default" w:ascii="Times New Roman" w:hAnsi="Times New Roman" w:eastAsia="宋体" w:cs="Times New Roman"/>
          <w:color w:val="auto"/>
          <w:sz w:val="26"/>
          <w:szCs w:val="26"/>
          <w:lang w:val="en-US" w:eastAsia="zh-CN"/>
        </w:rPr>
        <w:t>水库</w:t>
      </w:r>
      <w:r>
        <w:rPr>
          <w:rFonts w:hint="default" w:ascii="Times New Roman" w:hAnsi="Times New Roman" w:eastAsia="宋体" w:cs="Times New Roman"/>
          <w:color w:val="auto"/>
          <w:sz w:val="26"/>
          <w:szCs w:val="26"/>
        </w:rPr>
        <w:t>生境，</w:t>
      </w:r>
      <w:r>
        <w:rPr>
          <w:rFonts w:hint="default" w:ascii="Times New Roman" w:hAnsi="Times New Roman" w:eastAsia="宋体" w:cs="Times New Roman"/>
          <w:snapToGrid w:val="0"/>
          <w:color w:val="auto"/>
          <w:sz w:val="26"/>
          <w:szCs w:val="26"/>
        </w:rPr>
        <w:t>麻雀</w:t>
      </w:r>
      <w:r>
        <w:rPr>
          <w:rFonts w:hint="default" w:ascii="Times New Roman" w:hAnsi="Times New Roman" w:eastAsia="宋体" w:cs="Times New Roman"/>
          <w:color w:val="auto"/>
          <w:lang w:eastAsia="zh-CN"/>
        </w:rPr>
        <w:t>、</w:t>
      </w:r>
      <w:r>
        <w:rPr>
          <w:rFonts w:hint="default" w:ascii="Times New Roman" w:hAnsi="Times New Roman" w:eastAsia="宋体" w:cs="Times New Roman"/>
          <w:snapToGrid w:val="0"/>
          <w:color w:val="auto"/>
          <w:sz w:val="26"/>
          <w:szCs w:val="26"/>
          <w:lang w:val="en-US" w:eastAsia="zh-CN"/>
        </w:rPr>
        <w:t>珠颈斑鸠</w:t>
      </w:r>
      <w:r>
        <w:rPr>
          <w:rFonts w:hint="default" w:ascii="Times New Roman" w:hAnsi="Times New Roman" w:eastAsia="宋体" w:cs="Times New Roman"/>
          <w:color w:val="auto"/>
          <w:lang w:eastAsia="zh-CN"/>
        </w:rPr>
        <w:t>、</w:t>
      </w:r>
      <w:r>
        <w:rPr>
          <w:rFonts w:hint="default" w:ascii="Times New Roman" w:hAnsi="Times New Roman" w:eastAsia="宋体" w:cs="Times New Roman"/>
          <w:snapToGrid w:val="0"/>
          <w:color w:val="auto"/>
          <w:sz w:val="26"/>
          <w:szCs w:val="26"/>
          <w:lang w:val="en-US" w:eastAsia="zh-CN"/>
        </w:rPr>
        <w:t>黄臀鹎</w:t>
      </w:r>
      <w:r>
        <w:rPr>
          <w:rFonts w:hint="default" w:ascii="Times New Roman" w:hAnsi="Times New Roman" w:eastAsia="宋体" w:cs="Times New Roman"/>
          <w:color w:val="auto"/>
          <w:lang w:eastAsia="zh-CN"/>
        </w:rPr>
        <w:t>、</w:t>
      </w:r>
      <w:r>
        <w:rPr>
          <w:rFonts w:hint="default" w:ascii="Times New Roman" w:hAnsi="Times New Roman" w:eastAsia="宋体" w:cs="Times New Roman"/>
          <w:snapToGrid w:val="0"/>
          <w:color w:val="auto"/>
          <w:sz w:val="26"/>
          <w:szCs w:val="26"/>
          <w:shd w:val="clear" w:fill="FFFFFF"/>
          <w:lang w:val="en-US" w:eastAsia="zh-CN"/>
        </w:rPr>
        <w:t>乌鸫</w:t>
      </w:r>
      <w:r>
        <w:rPr>
          <w:rFonts w:hint="default" w:ascii="Times New Roman" w:hAnsi="Times New Roman" w:eastAsia="宋体" w:cs="Times New Roman"/>
          <w:color w:val="auto"/>
          <w:sz w:val="26"/>
          <w:szCs w:val="26"/>
          <w:shd w:val="clear" w:fill="FFFFFF"/>
        </w:rPr>
        <w:t>等</w:t>
      </w:r>
      <w:r>
        <w:rPr>
          <w:rFonts w:hint="default" w:ascii="Times New Roman" w:hAnsi="Times New Roman" w:eastAsia="宋体" w:cs="Times New Roman"/>
          <w:color w:val="auto"/>
          <w:sz w:val="26"/>
          <w:szCs w:val="26"/>
        </w:rPr>
        <w:t>分布在评价区内灌丛、竹林</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村落等</w:t>
      </w:r>
      <w:r>
        <w:rPr>
          <w:rFonts w:hint="default" w:ascii="Times New Roman" w:hAnsi="Times New Roman" w:eastAsia="宋体" w:cs="Times New Roman"/>
          <w:color w:val="auto"/>
          <w:sz w:val="26"/>
          <w:szCs w:val="26"/>
        </w:rPr>
        <w:t>生境。</w:t>
      </w:r>
    </w:p>
    <w:p w14:paraId="7E12165F">
      <w:pPr>
        <w:spacing w:line="460" w:lineRule="exact"/>
        <w:ind w:firstLine="520" w:firstLineChars="200"/>
        <w:rPr>
          <w:rFonts w:hint="default" w:ascii="Times New Roman" w:hAnsi="Times New Roman" w:eastAsia="宋体" w:cs="Times New Roman"/>
          <w:snapToGrid w:val="0"/>
          <w:color w:val="auto"/>
          <w:sz w:val="26"/>
          <w:szCs w:val="26"/>
        </w:rPr>
      </w:pPr>
      <w:r>
        <w:rPr>
          <w:rFonts w:hint="default" w:ascii="Times New Roman" w:hAnsi="Times New Roman" w:eastAsia="宋体" w:cs="Times New Roman"/>
          <w:snapToGrid w:val="0"/>
          <w:color w:val="auto"/>
          <w:sz w:val="26"/>
          <w:szCs w:val="26"/>
        </w:rPr>
        <w:t>（5）珍稀保护动物资源</w:t>
      </w:r>
    </w:p>
    <w:p w14:paraId="5A2C7EF4">
      <w:pPr>
        <w:tabs>
          <w:tab w:val="left" w:pos="1425"/>
        </w:tabs>
        <w:spacing w:line="480" w:lineRule="exact"/>
        <w:ind w:firstLine="520" w:firstLineChars="200"/>
        <w:rPr>
          <w:rFonts w:hint="default" w:ascii="Times New Roman" w:hAnsi="Times New Roman" w:eastAsia="宋体" w:cs="Times New Roman"/>
          <w:color w:val="auto"/>
          <w:sz w:val="26"/>
          <w:highlight w:val="none"/>
          <w:lang w:bidi="ar"/>
        </w:rPr>
      </w:pPr>
      <w:r>
        <w:rPr>
          <w:rFonts w:hint="default" w:ascii="Times New Roman" w:hAnsi="Times New Roman" w:eastAsia="宋体" w:cs="Times New Roman"/>
          <w:color w:val="auto"/>
          <w:sz w:val="26"/>
          <w:szCs w:val="28"/>
        </w:rPr>
        <w:t>《国家重点保护野生动物名录》（中国国家林业和草原局 农业农村部公告，2021年第3号）、《中国生物多样性红色名录—脊椎动物卷（2020）》（中华人民共和国生态环境部 中国科学院公告，2023年第15号）、《重庆市重点保护野生动物名录》（重庆市林业局 重庆市农业农村委员会公告，渝林规范〔2023〕2号）等文献资料，</w:t>
      </w:r>
      <w:bookmarkStart w:id="298" w:name="_Toc45551085"/>
      <w:bookmarkStart w:id="299" w:name="_Toc60144400"/>
      <w:bookmarkStart w:id="300" w:name="_Toc3670"/>
      <w:r>
        <w:rPr>
          <w:rFonts w:hint="default" w:ascii="Times New Roman" w:hAnsi="Times New Roman" w:eastAsia="宋体" w:cs="Times New Roman"/>
          <w:color w:val="auto"/>
          <w:sz w:val="26"/>
          <w:highlight w:val="none"/>
          <w:lang w:bidi="ar"/>
        </w:rPr>
        <w:t>评价区内无国家重点保护动物分布；分布有重庆市重点保护野生动物</w:t>
      </w:r>
      <w:r>
        <w:rPr>
          <w:rFonts w:hint="default" w:ascii="Times New Roman" w:hAnsi="Times New Roman" w:eastAsia="宋体" w:cs="Times New Roman"/>
          <w:color w:val="auto"/>
          <w:sz w:val="26"/>
          <w:highlight w:val="none"/>
          <w:lang w:val="en-US" w:eastAsia="zh-CN" w:bidi="ar"/>
        </w:rPr>
        <w:t>3</w:t>
      </w:r>
      <w:r>
        <w:rPr>
          <w:rFonts w:hint="default" w:ascii="Times New Roman" w:hAnsi="Times New Roman" w:eastAsia="宋体" w:cs="Times New Roman"/>
          <w:color w:val="auto"/>
          <w:sz w:val="26"/>
          <w:highlight w:val="none"/>
          <w:lang w:bidi="ar"/>
        </w:rPr>
        <w:t>种（乌梢蛇</w:t>
      </w:r>
      <w:r>
        <w:rPr>
          <w:rFonts w:hint="default" w:ascii="Times New Roman" w:hAnsi="Times New Roman" w:eastAsia="宋体" w:cs="Times New Roman"/>
          <w:color w:val="auto"/>
          <w:sz w:val="26"/>
          <w:highlight w:val="none"/>
          <w:lang w:eastAsia="zh-CN" w:bidi="ar"/>
        </w:rPr>
        <w:t>、</w:t>
      </w:r>
      <w:r>
        <w:rPr>
          <w:rFonts w:hint="default" w:ascii="Times New Roman" w:hAnsi="Times New Roman" w:eastAsia="宋体" w:cs="Times New Roman"/>
          <w:color w:val="auto"/>
          <w:sz w:val="26"/>
          <w:highlight w:val="none"/>
          <w:lang w:val="en-US" w:eastAsia="zh-CN" w:bidi="ar"/>
        </w:rPr>
        <w:t>黑眉锦蛇、王锦蛇</w:t>
      </w:r>
      <w:r>
        <w:rPr>
          <w:rFonts w:hint="default" w:ascii="Times New Roman" w:hAnsi="Times New Roman" w:eastAsia="宋体" w:cs="Times New Roman"/>
          <w:color w:val="auto"/>
          <w:sz w:val="26"/>
          <w:highlight w:val="none"/>
          <w:lang w:bidi="ar"/>
        </w:rPr>
        <w:t>）</w:t>
      </w:r>
      <w:r>
        <w:rPr>
          <w:rFonts w:hint="default" w:ascii="Times New Roman" w:hAnsi="Times New Roman" w:eastAsia="宋体" w:cs="Times New Roman"/>
          <w:color w:val="auto"/>
          <w:sz w:val="26"/>
          <w:highlight w:val="none"/>
          <w:lang w:val="en-US" w:eastAsia="zh-CN" w:bidi="ar"/>
        </w:rPr>
        <w:t>且为</w:t>
      </w:r>
      <w:r>
        <w:rPr>
          <w:rFonts w:hint="default" w:ascii="Times New Roman" w:hAnsi="Times New Roman" w:eastAsia="宋体" w:cs="Times New Roman"/>
          <w:color w:val="auto"/>
          <w:sz w:val="26"/>
          <w:highlight w:val="none"/>
          <w:lang w:bidi="ar"/>
        </w:rPr>
        <w:t>易危物种，在评价范围内灌丛、林缘地带、池塘等地出没；中国特有种</w:t>
      </w:r>
      <w:r>
        <w:rPr>
          <w:rFonts w:hint="default" w:ascii="Times New Roman" w:hAnsi="Times New Roman" w:eastAsia="宋体" w:cs="Times New Roman"/>
          <w:color w:val="auto"/>
          <w:sz w:val="26"/>
          <w:highlight w:val="none"/>
          <w:lang w:val="en-US" w:eastAsia="zh-CN" w:bidi="ar"/>
        </w:rPr>
        <w:t>2</w:t>
      </w:r>
      <w:r>
        <w:rPr>
          <w:rFonts w:hint="default" w:ascii="Times New Roman" w:hAnsi="Times New Roman" w:eastAsia="宋体" w:cs="Times New Roman"/>
          <w:color w:val="auto"/>
          <w:sz w:val="26"/>
          <w:highlight w:val="none"/>
          <w:lang w:bidi="ar"/>
        </w:rPr>
        <w:t>种：蹼趾壁虎</w:t>
      </w:r>
      <w:r>
        <w:rPr>
          <w:rFonts w:hint="default" w:ascii="Times New Roman" w:hAnsi="Times New Roman" w:eastAsia="宋体" w:cs="Times New Roman"/>
          <w:color w:val="auto"/>
          <w:sz w:val="26"/>
          <w:highlight w:val="none"/>
          <w:lang w:eastAsia="zh-CN" w:bidi="ar"/>
        </w:rPr>
        <w:t>、北草蜥</w:t>
      </w:r>
      <w:r>
        <w:rPr>
          <w:rFonts w:hint="default" w:ascii="Times New Roman" w:hAnsi="Times New Roman" w:eastAsia="宋体" w:cs="Times New Roman"/>
          <w:color w:val="auto"/>
          <w:sz w:val="26"/>
          <w:highlight w:val="none"/>
          <w:lang w:bidi="ar"/>
        </w:rPr>
        <w:t>，在评价范围内池塘内出没。由于项目占地范围内主要为耕地及人工林，人为活动干扰较大，本次实地调查过程中在占地范围内未发现保护动物实体及栖息地分布。</w:t>
      </w:r>
    </w:p>
    <w:p w14:paraId="6CB00D5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6"/>
          <w:szCs w:val="26"/>
          <w:highlight w:val="none"/>
          <w:lang w:val="en-US" w:eastAsia="zh-CN"/>
        </w:rPr>
      </w:pPr>
      <w:r>
        <w:rPr>
          <w:rFonts w:hint="default" w:ascii="Times New Roman" w:hAnsi="Times New Roman" w:eastAsia="宋体" w:cs="Times New Roman"/>
          <w:b/>
          <w:bCs w:val="0"/>
          <w:color w:val="auto"/>
          <w:sz w:val="26"/>
          <w:szCs w:val="26"/>
          <w:highlight w:val="none"/>
          <w:lang w:val="en-US" w:eastAsia="zh-CN"/>
        </w:rPr>
        <w:t>表</w:t>
      </w:r>
      <w:r>
        <w:rPr>
          <w:rFonts w:hint="eastAsia" w:ascii="Times New Roman" w:hAnsi="Times New Roman" w:eastAsia="宋体" w:cs="Times New Roman"/>
          <w:b/>
          <w:bCs w:val="0"/>
          <w:color w:val="auto"/>
          <w:sz w:val="26"/>
          <w:szCs w:val="26"/>
          <w:highlight w:val="none"/>
          <w:lang w:val="en-US" w:eastAsia="zh-CN"/>
        </w:rPr>
        <w:t>4</w:t>
      </w:r>
      <w:r>
        <w:rPr>
          <w:rFonts w:hint="default" w:ascii="Times New Roman" w:hAnsi="Times New Roman" w:eastAsia="宋体" w:cs="Times New Roman"/>
          <w:b/>
          <w:bCs w:val="0"/>
          <w:color w:val="auto"/>
          <w:sz w:val="26"/>
          <w:szCs w:val="26"/>
          <w:highlight w:val="none"/>
          <w:lang w:val="en-US" w:eastAsia="zh-CN"/>
        </w:rPr>
        <w:t>.3-</w:t>
      </w:r>
      <w:r>
        <w:rPr>
          <w:rFonts w:hint="eastAsia" w:ascii="Times New Roman" w:hAnsi="Times New Roman" w:eastAsia="宋体" w:cs="Times New Roman"/>
          <w:b/>
          <w:bCs w:val="0"/>
          <w:color w:val="auto"/>
          <w:sz w:val="26"/>
          <w:szCs w:val="26"/>
          <w:highlight w:val="none"/>
          <w:lang w:val="en-US" w:eastAsia="zh-CN"/>
        </w:rPr>
        <w:t>8</w:t>
      </w:r>
      <w:r>
        <w:rPr>
          <w:rFonts w:hint="default" w:ascii="Times New Roman" w:hAnsi="Times New Roman" w:eastAsia="宋体" w:cs="Times New Roman"/>
          <w:b/>
          <w:bCs w:val="0"/>
          <w:color w:val="auto"/>
          <w:sz w:val="26"/>
          <w:szCs w:val="26"/>
          <w:highlight w:val="none"/>
          <w:lang w:val="en-US" w:eastAsia="zh-CN"/>
        </w:rPr>
        <w:t xml:space="preserve">  重要野生动物调查结果统计表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2096"/>
        <w:gridCol w:w="1523"/>
        <w:gridCol w:w="661"/>
        <w:gridCol w:w="1050"/>
        <w:gridCol w:w="1034"/>
        <w:gridCol w:w="900"/>
        <w:gridCol w:w="1246"/>
      </w:tblGrid>
      <w:tr w14:paraId="46AB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F1DBAB7">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序号</w:t>
            </w:r>
          </w:p>
        </w:tc>
        <w:tc>
          <w:tcPr>
            <w:tcW w:w="2096" w:type="dxa"/>
            <w:tcBorders>
              <w:top w:val="single" w:color="auto" w:sz="4" w:space="0"/>
              <w:left w:val="single" w:color="auto" w:sz="4" w:space="0"/>
              <w:bottom w:val="single" w:color="auto" w:sz="4" w:space="0"/>
              <w:right w:val="single" w:color="auto" w:sz="4" w:space="0"/>
            </w:tcBorders>
            <w:noWrap w:val="0"/>
            <w:vAlign w:val="center"/>
          </w:tcPr>
          <w:p w14:paraId="3AD572B3">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物种名称（中文名/拉丁名）</w:t>
            </w:r>
          </w:p>
        </w:tc>
        <w:tc>
          <w:tcPr>
            <w:tcW w:w="1523" w:type="dxa"/>
            <w:tcBorders>
              <w:top w:val="single" w:color="auto" w:sz="4" w:space="0"/>
              <w:left w:val="single" w:color="auto" w:sz="4" w:space="0"/>
              <w:bottom w:val="single" w:color="auto" w:sz="4" w:space="0"/>
              <w:right w:val="single" w:color="auto" w:sz="4" w:space="0"/>
            </w:tcBorders>
            <w:noWrap w:val="0"/>
            <w:vAlign w:val="center"/>
          </w:tcPr>
          <w:p w14:paraId="423A3A15">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保护级别</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6559D5CD">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濒危等级</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EF57F22">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特有种（是/否）</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06EA53C">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分布区域</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0686B8A3">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资料来源</w:t>
            </w:r>
          </w:p>
        </w:tc>
        <w:tc>
          <w:tcPr>
            <w:tcW w:w="1246" w:type="dxa"/>
            <w:tcBorders>
              <w:top w:val="single" w:color="auto" w:sz="4" w:space="0"/>
              <w:left w:val="single" w:color="auto" w:sz="4" w:space="0"/>
              <w:bottom w:val="single" w:color="auto" w:sz="4" w:space="0"/>
              <w:right w:val="single" w:color="auto" w:sz="4" w:space="0"/>
            </w:tcBorders>
            <w:noWrap w:val="0"/>
            <w:vAlign w:val="center"/>
          </w:tcPr>
          <w:p w14:paraId="68D1E897">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工程占用情况（是/否）</w:t>
            </w:r>
          </w:p>
        </w:tc>
      </w:tr>
      <w:tr w14:paraId="5253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5C64922E">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1</w:t>
            </w:r>
          </w:p>
        </w:tc>
        <w:tc>
          <w:tcPr>
            <w:tcW w:w="2096" w:type="dxa"/>
            <w:tcBorders>
              <w:top w:val="single" w:color="auto" w:sz="4" w:space="0"/>
              <w:left w:val="single" w:color="auto" w:sz="4" w:space="0"/>
              <w:bottom w:val="single" w:color="auto" w:sz="4" w:space="0"/>
              <w:right w:val="single" w:color="auto" w:sz="4" w:space="0"/>
            </w:tcBorders>
            <w:noWrap w:val="0"/>
            <w:vAlign w:val="center"/>
          </w:tcPr>
          <w:p w14:paraId="184C5A61">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乌梢蛇/</w:t>
            </w:r>
            <w:r>
              <w:rPr>
                <w:rFonts w:hint="default" w:ascii="Times New Roman" w:hAnsi="Times New Roman" w:eastAsia="宋体" w:cs="Times New Roman"/>
                <w:i/>
                <w:iCs/>
                <w:color w:val="auto"/>
                <w:sz w:val="22"/>
                <w:highlight w:val="none"/>
              </w:rPr>
              <w:t xml:space="preserve"> </w:t>
            </w:r>
            <w:r>
              <w:rPr>
                <w:rFonts w:hint="default" w:ascii="Times New Roman" w:hAnsi="Times New Roman" w:eastAsia="宋体" w:cs="Times New Roman"/>
                <w:i/>
                <w:iCs/>
                <w:color w:val="auto"/>
                <w:sz w:val="22"/>
                <w:highlight w:val="none"/>
                <w:shd w:val="clear" w:fill="FFFFFF"/>
              </w:rPr>
              <w:t>Zaocys</w:t>
            </w:r>
            <w:r>
              <w:rPr>
                <w:rFonts w:hint="default" w:ascii="Times New Roman" w:hAnsi="Times New Roman" w:eastAsia="宋体" w:cs="Times New Roman"/>
                <w:i/>
                <w:iCs/>
                <w:color w:val="auto"/>
                <w:sz w:val="22"/>
                <w:highlight w:val="none"/>
              </w:rPr>
              <w:t xml:space="preserve"> </w:t>
            </w:r>
            <w:r>
              <w:rPr>
                <w:rFonts w:hint="default" w:ascii="Times New Roman" w:hAnsi="Times New Roman" w:eastAsia="宋体" w:cs="Times New Roman"/>
                <w:i/>
                <w:iCs/>
                <w:color w:val="auto"/>
                <w:sz w:val="22"/>
                <w:highlight w:val="none"/>
                <w:shd w:val="clear" w:fill="FFFFFF"/>
              </w:rPr>
              <w:t>dhumnades</w:t>
            </w:r>
          </w:p>
        </w:tc>
        <w:tc>
          <w:tcPr>
            <w:tcW w:w="1523" w:type="dxa"/>
            <w:tcBorders>
              <w:top w:val="single" w:color="auto" w:sz="4" w:space="0"/>
              <w:left w:val="single" w:color="auto" w:sz="4" w:space="0"/>
              <w:bottom w:val="single" w:color="auto" w:sz="4" w:space="0"/>
              <w:right w:val="single" w:color="auto" w:sz="4" w:space="0"/>
            </w:tcBorders>
            <w:noWrap w:val="0"/>
            <w:vAlign w:val="center"/>
          </w:tcPr>
          <w:p w14:paraId="50166C39">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市级</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5D58D9A8">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VU</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3F49C966">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否</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7F37BF21">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陆栖型</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26D5040">
            <w:pPr>
              <w:adjustRightInd w:val="0"/>
              <w:snapToGrid w:val="0"/>
              <w:jc w:val="center"/>
              <w:rPr>
                <w:rFonts w:hint="default" w:ascii="Times New Roman" w:hAnsi="Times New Roman" w:eastAsia="宋体" w:cs="Times New Roman"/>
                <w:color w:val="auto"/>
                <w:sz w:val="22"/>
                <w:highlight w:val="none"/>
                <w:lang w:val="en-US" w:eastAsia="zh-CN"/>
              </w:rPr>
            </w:pPr>
            <w:r>
              <w:rPr>
                <w:rFonts w:hint="default" w:ascii="Times New Roman" w:hAnsi="Times New Roman" w:eastAsia="宋体" w:cs="Times New Roman"/>
                <w:color w:val="auto"/>
                <w:sz w:val="22"/>
                <w:highlight w:val="none"/>
                <w:lang w:val="en-US" w:eastAsia="zh-CN"/>
              </w:rPr>
              <w:t>访问、资料</w:t>
            </w:r>
          </w:p>
        </w:tc>
        <w:tc>
          <w:tcPr>
            <w:tcW w:w="1246" w:type="dxa"/>
            <w:tcBorders>
              <w:top w:val="single" w:color="auto" w:sz="4" w:space="0"/>
              <w:left w:val="single" w:color="auto" w:sz="4" w:space="0"/>
              <w:bottom w:val="single" w:color="auto" w:sz="4" w:space="0"/>
              <w:right w:val="single" w:color="auto" w:sz="4" w:space="0"/>
            </w:tcBorders>
            <w:noWrap w:val="0"/>
            <w:vAlign w:val="center"/>
          </w:tcPr>
          <w:p w14:paraId="6B7A499B">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否</w:t>
            </w:r>
          </w:p>
        </w:tc>
      </w:tr>
      <w:tr w14:paraId="04C0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28BB16CF">
            <w:pPr>
              <w:adjustRightInd w:val="0"/>
              <w:snapToGrid w:val="0"/>
              <w:jc w:val="center"/>
              <w:rPr>
                <w:rFonts w:hint="default" w:ascii="Times New Roman" w:hAnsi="Times New Roman" w:eastAsia="宋体" w:cs="Times New Roman"/>
                <w:color w:val="auto"/>
                <w:sz w:val="22"/>
                <w:szCs w:val="24"/>
                <w:highlight w:val="none"/>
                <w:lang w:val="en-US" w:eastAsia="zh-CN" w:bidi="ar-SA"/>
              </w:rPr>
            </w:pPr>
            <w:r>
              <w:rPr>
                <w:rFonts w:hint="default" w:ascii="Times New Roman" w:hAnsi="Times New Roman" w:eastAsia="宋体" w:cs="Times New Roman"/>
                <w:color w:val="auto"/>
                <w:sz w:val="22"/>
                <w:highlight w:val="none"/>
              </w:rPr>
              <w:t>2</w:t>
            </w:r>
          </w:p>
        </w:tc>
        <w:tc>
          <w:tcPr>
            <w:tcW w:w="2096" w:type="dxa"/>
            <w:tcBorders>
              <w:top w:val="single" w:color="auto" w:sz="4" w:space="0"/>
              <w:left w:val="single" w:color="auto" w:sz="4" w:space="0"/>
              <w:bottom w:val="single" w:color="auto" w:sz="4" w:space="0"/>
              <w:right w:val="single" w:color="auto" w:sz="4" w:space="0"/>
            </w:tcBorders>
            <w:noWrap w:val="0"/>
            <w:vAlign w:val="center"/>
          </w:tcPr>
          <w:p w14:paraId="45820F9D">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王锦蛇</w:t>
            </w:r>
            <w:r>
              <w:rPr>
                <w:rFonts w:hint="default" w:ascii="Times New Roman" w:hAnsi="Times New Roman" w:eastAsia="宋体" w:cs="Times New Roman"/>
                <w:color w:val="auto"/>
                <w:sz w:val="26"/>
                <w:szCs w:val="26"/>
                <w:lang w:val="en-US" w:eastAsia="zh-CN"/>
              </w:rPr>
              <w:t>/</w:t>
            </w:r>
            <w:r>
              <w:rPr>
                <w:rFonts w:hint="default" w:ascii="Times New Roman" w:hAnsi="Times New Roman" w:eastAsia="宋体" w:cs="Times New Roman"/>
                <w:i/>
                <w:iCs/>
                <w:color w:val="auto"/>
                <w:sz w:val="22"/>
                <w:highlight w:val="none"/>
              </w:rPr>
              <w:t>Elaphe carinata</w:t>
            </w:r>
          </w:p>
        </w:tc>
        <w:tc>
          <w:tcPr>
            <w:tcW w:w="1523" w:type="dxa"/>
            <w:tcBorders>
              <w:top w:val="single" w:color="auto" w:sz="4" w:space="0"/>
              <w:left w:val="single" w:color="auto" w:sz="4" w:space="0"/>
              <w:bottom w:val="single" w:color="auto" w:sz="4" w:space="0"/>
              <w:right w:val="single" w:color="auto" w:sz="4" w:space="0"/>
            </w:tcBorders>
            <w:noWrap w:val="0"/>
            <w:vAlign w:val="center"/>
          </w:tcPr>
          <w:p w14:paraId="44E6E48E">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市级</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523454DE">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VU</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75E13B9F">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否</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BAA91C4">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陆栖型</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9D9973A">
            <w:pPr>
              <w:adjustRightInd w:val="0"/>
              <w:snapToGrid w:val="0"/>
              <w:jc w:val="center"/>
              <w:rPr>
                <w:rFonts w:hint="default" w:ascii="Times New Roman" w:hAnsi="Times New Roman" w:eastAsia="宋体" w:cs="Times New Roman"/>
                <w:color w:val="auto"/>
                <w:sz w:val="22"/>
                <w:highlight w:val="none"/>
                <w:lang w:val="en-US" w:eastAsia="zh-CN"/>
              </w:rPr>
            </w:pPr>
            <w:r>
              <w:rPr>
                <w:rFonts w:hint="default" w:ascii="Times New Roman" w:hAnsi="Times New Roman" w:eastAsia="宋体" w:cs="Times New Roman"/>
                <w:color w:val="auto"/>
                <w:sz w:val="22"/>
                <w:highlight w:val="none"/>
                <w:lang w:val="en-US" w:eastAsia="zh-CN"/>
              </w:rPr>
              <w:t>访问、资料</w:t>
            </w:r>
          </w:p>
        </w:tc>
        <w:tc>
          <w:tcPr>
            <w:tcW w:w="1246" w:type="dxa"/>
            <w:tcBorders>
              <w:top w:val="single" w:color="auto" w:sz="4" w:space="0"/>
              <w:left w:val="single" w:color="auto" w:sz="4" w:space="0"/>
              <w:bottom w:val="single" w:color="auto" w:sz="4" w:space="0"/>
              <w:right w:val="single" w:color="auto" w:sz="4" w:space="0"/>
            </w:tcBorders>
            <w:noWrap w:val="0"/>
            <w:vAlign w:val="center"/>
          </w:tcPr>
          <w:p w14:paraId="41D5DCA7">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否</w:t>
            </w:r>
          </w:p>
        </w:tc>
      </w:tr>
      <w:tr w14:paraId="7987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4F0DE805">
            <w:pPr>
              <w:adjustRightInd w:val="0"/>
              <w:snapToGrid w:val="0"/>
              <w:jc w:val="center"/>
              <w:rPr>
                <w:rFonts w:hint="default" w:ascii="Times New Roman" w:hAnsi="Times New Roman" w:eastAsia="宋体" w:cs="Times New Roman"/>
                <w:color w:val="auto"/>
                <w:sz w:val="22"/>
                <w:szCs w:val="24"/>
                <w:highlight w:val="none"/>
                <w:lang w:val="en-US" w:eastAsia="zh-CN" w:bidi="ar-SA"/>
              </w:rPr>
            </w:pPr>
            <w:r>
              <w:rPr>
                <w:rFonts w:hint="default" w:ascii="Times New Roman" w:hAnsi="Times New Roman" w:eastAsia="宋体" w:cs="Times New Roman"/>
                <w:color w:val="auto"/>
                <w:sz w:val="22"/>
                <w:highlight w:val="none"/>
              </w:rPr>
              <w:t>3</w:t>
            </w:r>
          </w:p>
        </w:tc>
        <w:tc>
          <w:tcPr>
            <w:tcW w:w="2096" w:type="dxa"/>
            <w:tcBorders>
              <w:top w:val="single" w:color="auto" w:sz="4" w:space="0"/>
              <w:left w:val="single" w:color="auto" w:sz="4" w:space="0"/>
              <w:bottom w:val="single" w:color="auto" w:sz="4" w:space="0"/>
              <w:right w:val="single" w:color="auto" w:sz="4" w:space="0"/>
            </w:tcBorders>
            <w:noWrap w:val="0"/>
            <w:vAlign w:val="center"/>
          </w:tcPr>
          <w:p w14:paraId="161FBDA7">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黑眉锦蛇</w:t>
            </w:r>
            <w:r>
              <w:rPr>
                <w:rFonts w:hint="default" w:ascii="Times New Roman" w:hAnsi="Times New Roman" w:eastAsia="宋体" w:cs="Times New Roman"/>
                <w:color w:val="auto"/>
                <w:sz w:val="26"/>
                <w:szCs w:val="26"/>
                <w:lang w:val="en-US" w:eastAsia="zh-CN"/>
              </w:rPr>
              <w:t>/</w:t>
            </w:r>
            <w:r>
              <w:rPr>
                <w:rFonts w:hint="default" w:ascii="Times New Roman" w:hAnsi="Times New Roman" w:eastAsia="宋体" w:cs="Times New Roman"/>
                <w:i/>
                <w:iCs/>
                <w:color w:val="auto"/>
                <w:sz w:val="22"/>
                <w:highlight w:val="none"/>
                <w:lang w:eastAsia="zh-CN"/>
              </w:rPr>
              <w:t xml:space="preserve">Elaphe </w:t>
            </w:r>
            <w:r>
              <w:rPr>
                <w:rFonts w:hint="default" w:ascii="Times New Roman" w:hAnsi="Times New Roman" w:eastAsia="宋体" w:cs="Times New Roman"/>
                <w:i/>
                <w:iCs/>
                <w:color w:val="auto"/>
                <w:sz w:val="22"/>
                <w:highlight w:val="none"/>
                <w:shd w:val="clear" w:fill="FFFFFF"/>
                <w:lang w:eastAsia="zh-CN"/>
              </w:rPr>
              <w:t>taeniurua</w:t>
            </w:r>
          </w:p>
        </w:tc>
        <w:tc>
          <w:tcPr>
            <w:tcW w:w="1523" w:type="dxa"/>
            <w:tcBorders>
              <w:top w:val="single" w:color="auto" w:sz="4" w:space="0"/>
              <w:left w:val="single" w:color="auto" w:sz="4" w:space="0"/>
              <w:bottom w:val="single" w:color="auto" w:sz="4" w:space="0"/>
              <w:right w:val="single" w:color="auto" w:sz="4" w:space="0"/>
            </w:tcBorders>
            <w:noWrap w:val="0"/>
            <w:vAlign w:val="center"/>
          </w:tcPr>
          <w:p w14:paraId="23DAB672">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市级</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3E52C7A9">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VU</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0E496CB7">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否</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45DF36A0">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陆栖型</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06DC77E1">
            <w:pPr>
              <w:adjustRightInd w:val="0"/>
              <w:snapToGrid w:val="0"/>
              <w:jc w:val="center"/>
              <w:rPr>
                <w:rFonts w:hint="default" w:ascii="Times New Roman" w:hAnsi="Times New Roman" w:eastAsia="宋体" w:cs="Times New Roman"/>
                <w:color w:val="auto"/>
                <w:sz w:val="22"/>
                <w:highlight w:val="none"/>
                <w:lang w:val="en-US" w:eastAsia="zh-CN"/>
              </w:rPr>
            </w:pPr>
            <w:r>
              <w:rPr>
                <w:rFonts w:hint="default" w:ascii="Times New Roman" w:hAnsi="Times New Roman" w:eastAsia="宋体" w:cs="Times New Roman"/>
                <w:color w:val="auto"/>
                <w:sz w:val="22"/>
                <w:highlight w:val="none"/>
                <w:lang w:val="en-US" w:eastAsia="zh-CN"/>
              </w:rPr>
              <w:t>访问、资料</w:t>
            </w:r>
          </w:p>
        </w:tc>
        <w:tc>
          <w:tcPr>
            <w:tcW w:w="1246" w:type="dxa"/>
            <w:tcBorders>
              <w:top w:val="single" w:color="auto" w:sz="4" w:space="0"/>
              <w:left w:val="single" w:color="auto" w:sz="4" w:space="0"/>
              <w:bottom w:val="single" w:color="auto" w:sz="4" w:space="0"/>
              <w:right w:val="single" w:color="auto" w:sz="4" w:space="0"/>
            </w:tcBorders>
            <w:noWrap w:val="0"/>
            <w:vAlign w:val="center"/>
          </w:tcPr>
          <w:p w14:paraId="2D865A71">
            <w:pPr>
              <w:adjustRightInd w:val="0"/>
              <w:snapToGrid w:val="0"/>
              <w:jc w:val="center"/>
              <w:rPr>
                <w:rFonts w:hint="default" w:ascii="Times New Roman" w:hAnsi="Times New Roman" w:eastAsia="宋体" w:cs="Times New Roman"/>
                <w:color w:val="auto"/>
                <w:sz w:val="22"/>
                <w:highlight w:val="none"/>
              </w:rPr>
            </w:pPr>
            <w:r>
              <w:rPr>
                <w:rFonts w:hint="default" w:ascii="Times New Roman" w:hAnsi="Times New Roman" w:eastAsia="宋体" w:cs="Times New Roman"/>
                <w:color w:val="auto"/>
                <w:sz w:val="22"/>
                <w:highlight w:val="none"/>
              </w:rPr>
              <w:t>否</w:t>
            </w:r>
          </w:p>
        </w:tc>
      </w:tr>
      <w:tr w14:paraId="5F48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19E6C2F">
            <w:pPr>
              <w:adjustRightInd w:val="0"/>
              <w:snapToGrid w:val="0"/>
              <w:jc w:val="center"/>
              <w:rPr>
                <w:rFonts w:hint="default" w:ascii="Times New Roman" w:hAnsi="Times New Roman" w:eastAsia="宋体" w:cs="Times New Roman"/>
                <w:color w:val="auto"/>
                <w:sz w:val="22"/>
                <w:highlight w:val="none"/>
                <w:lang w:val="en-US" w:eastAsia="zh-CN"/>
              </w:rPr>
            </w:pPr>
            <w:r>
              <w:rPr>
                <w:rFonts w:hint="default" w:ascii="Times New Roman" w:hAnsi="Times New Roman" w:eastAsia="宋体" w:cs="Times New Roman"/>
                <w:color w:val="auto"/>
                <w:sz w:val="22"/>
                <w:highlight w:val="none"/>
                <w:lang w:val="en-US" w:eastAsia="zh-CN"/>
              </w:rPr>
              <w:t>4</w:t>
            </w:r>
          </w:p>
        </w:tc>
        <w:tc>
          <w:tcPr>
            <w:tcW w:w="2096" w:type="dxa"/>
            <w:tcBorders>
              <w:top w:val="single" w:color="auto" w:sz="4" w:space="0"/>
              <w:left w:val="single" w:color="auto" w:sz="4" w:space="0"/>
              <w:bottom w:val="single" w:color="auto" w:sz="4" w:space="0"/>
              <w:right w:val="single" w:color="auto" w:sz="4" w:space="0"/>
            </w:tcBorders>
            <w:noWrap w:val="0"/>
            <w:vAlign w:val="center"/>
          </w:tcPr>
          <w:p w14:paraId="3E1DC930">
            <w:pPr>
              <w:adjustRightInd w:val="0"/>
              <w:snapToGrid w:val="0"/>
              <w:jc w:val="center"/>
              <w:rPr>
                <w:rFonts w:hint="default" w:ascii="Times New Roman" w:hAnsi="Times New Roman" w:eastAsia="宋体" w:cs="Times New Roman"/>
                <w:color w:val="auto"/>
                <w:kern w:val="2"/>
                <w:sz w:val="22"/>
                <w:szCs w:val="24"/>
                <w:highlight w:val="none"/>
                <w:lang w:val="en-US" w:eastAsia="zh-CN" w:bidi="ar-SA"/>
              </w:rPr>
            </w:pPr>
            <w:r>
              <w:rPr>
                <w:rFonts w:hint="default" w:ascii="Times New Roman" w:hAnsi="Times New Roman" w:eastAsia="宋体" w:cs="Times New Roman"/>
                <w:color w:val="auto"/>
                <w:sz w:val="22"/>
                <w:szCs w:val="22"/>
                <w:highlight w:val="none"/>
              </w:rPr>
              <w:t>蹼趾壁虎</w:t>
            </w:r>
            <w:r>
              <w:rPr>
                <w:rFonts w:hint="default" w:ascii="Times New Roman" w:hAnsi="Times New Roman" w:eastAsia="宋体" w:cs="Times New Roman"/>
                <w:color w:val="auto"/>
                <w:sz w:val="22"/>
                <w:szCs w:val="22"/>
                <w:highlight w:val="none"/>
                <w:lang w:val="en-US" w:eastAsia="zh-CN"/>
              </w:rPr>
              <w:t>/</w:t>
            </w:r>
            <w:r>
              <w:rPr>
                <w:rFonts w:hint="default" w:ascii="Times New Roman" w:hAnsi="Times New Roman" w:eastAsia="宋体" w:cs="Times New Roman"/>
                <w:i/>
                <w:iCs/>
                <w:color w:val="auto"/>
                <w:sz w:val="22"/>
                <w:szCs w:val="22"/>
                <w:highlight w:val="none"/>
              </w:rPr>
              <w:t xml:space="preserve">Gekko </w:t>
            </w:r>
            <w:r>
              <w:rPr>
                <w:rFonts w:hint="default" w:ascii="Times New Roman" w:hAnsi="Times New Roman" w:eastAsia="宋体" w:cs="Times New Roman"/>
                <w:i/>
                <w:iCs/>
                <w:color w:val="auto"/>
                <w:sz w:val="22"/>
                <w:szCs w:val="22"/>
                <w:highlight w:val="none"/>
                <w:shd w:val="clear" w:fill="FFFFFF"/>
              </w:rPr>
              <w:t>subpalmatus</w:t>
            </w:r>
          </w:p>
        </w:tc>
        <w:tc>
          <w:tcPr>
            <w:tcW w:w="1523" w:type="dxa"/>
            <w:tcBorders>
              <w:top w:val="single" w:color="auto" w:sz="4" w:space="0"/>
              <w:left w:val="single" w:color="auto" w:sz="4" w:space="0"/>
              <w:bottom w:val="single" w:color="auto" w:sz="4" w:space="0"/>
              <w:right w:val="single" w:color="auto" w:sz="4" w:space="0"/>
            </w:tcBorders>
            <w:noWrap w:val="0"/>
            <w:vAlign w:val="center"/>
          </w:tcPr>
          <w:p w14:paraId="01769139">
            <w:pPr>
              <w:adjustRightInd w:val="0"/>
              <w:snapToGrid w:val="0"/>
              <w:jc w:val="center"/>
              <w:rPr>
                <w:rFonts w:hint="default" w:ascii="Times New Roman" w:hAnsi="Times New Roman" w:eastAsia="宋体" w:cs="Times New Roman"/>
                <w:color w:val="auto"/>
                <w:kern w:val="2"/>
                <w:sz w:val="22"/>
                <w:szCs w:val="24"/>
                <w:highlight w:val="none"/>
                <w:lang w:val="en-US" w:eastAsia="zh-CN" w:bidi="ar-SA"/>
              </w:rPr>
            </w:pPr>
            <w:r>
              <w:rPr>
                <w:rFonts w:hint="default" w:ascii="Times New Roman" w:hAnsi="Times New Roman" w:eastAsia="宋体" w:cs="Times New Roman"/>
                <w:color w:val="auto"/>
                <w:sz w:val="22"/>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039C0189">
            <w:pPr>
              <w:adjustRightInd w:val="0"/>
              <w:snapToGrid w:val="0"/>
              <w:jc w:val="center"/>
              <w:rPr>
                <w:rFonts w:hint="default" w:ascii="Times New Roman" w:hAnsi="Times New Roman" w:eastAsia="宋体" w:cs="Times New Roman"/>
                <w:color w:val="auto"/>
                <w:kern w:val="2"/>
                <w:sz w:val="22"/>
                <w:szCs w:val="24"/>
                <w:highlight w:val="none"/>
                <w:lang w:val="en-US" w:eastAsia="zh-CN" w:bidi="ar-SA"/>
              </w:rPr>
            </w:pPr>
            <w:r>
              <w:rPr>
                <w:rFonts w:hint="default" w:ascii="Times New Roman" w:hAnsi="Times New Roman" w:eastAsia="宋体" w:cs="Times New Roman"/>
                <w:color w:val="auto"/>
                <w:sz w:val="22"/>
                <w:highlight w:val="none"/>
                <w:lang w:val="en-US" w:eastAsia="zh-CN"/>
              </w:rPr>
              <w:t>/</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1F8E1505">
            <w:pPr>
              <w:adjustRightInd w:val="0"/>
              <w:snapToGrid w:val="0"/>
              <w:jc w:val="center"/>
              <w:rPr>
                <w:rFonts w:hint="default" w:ascii="Times New Roman" w:hAnsi="Times New Roman" w:eastAsia="宋体" w:cs="Times New Roman"/>
                <w:color w:val="auto"/>
                <w:kern w:val="2"/>
                <w:sz w:val="22"/>
                <w:szCs w:val="24"/>
                <w:highlight w:val="none"/>
                <w:lang w:val="en-US" w:eastAsia="zh-CN" w:bidi="ar-SA"/>
              </w:rPr>
            </w:pPr>
            <w:r>
              <w:rPr>
                <w:rFonts w:hint="default" w:ascii="Times New Roman" w:hAnsi="Times New Roman" w:eastAsia="宋体" w:cs="Times New Roman"/>
                <w:color w:val="auto"/>
                <w:sz w:val="22"/>
                <w:highlight w:val="none"/>
                <w:lang w:val="en-US" w:eastAsia="zh-CN"/>
              </w:rPr>
              <w:t>是</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0121929D">
            <w:pPr>
              <w:adjustRightInd w:val="0"/>
              <w:snapToGrid w:val="0"/>
              <w:jc w:val="center"/>
              <w:rPr>
                <w:rFonts w:hint="default" w:ascii="Times New Roman" w:hAnsi="Times New Roman" w:eastAsia="宋体" w:cs="Times New Roman"/>
                <w:color w:val="auto"/>
                <w:kern w:val="2"/>
                <w:sz w:val="22"/>
                <w:szCs w:val="24"/>
                <w:highlight w:val="none"/>
                <w:lang w:val="en-US" w:eastAsia="zh-CN" w:bidi="ar-SA"/>
              </w:rPr>
            </w:pPr>
            <w:r>
              <w:rPr>
                <w:rFonts w:hint="default" w:ascii="Times New Roman" w:hAnsi="Times New Roman" w:eastAsia="宋体" w:cs="Times New Roman"/>
                <w:color w:val="auto"/>
                <w:sz w:val="22"/>
                <w:highlight w:val="none"/>
                <w:lang w:val="en-US" w:eastAsia="zh-CN"/>
              </w:rPr>
              <w:t>住宅</w:t>
            </w:r>
            <w:r>
              <w:rPr>
                <w:rFonts w:hint="default" w:ascii="Times New Roman" w:hAnsi="Times New Roman" w:eastAsia="宋体" w:cs="Times New Roman"/>
                <w:color w:val="auto"/>
                <w:sz w:val="22"/>
                <w:highlight w:val="none"/>
              </w:rPr>
              <w:t>型</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4E5F6930">
            <w:pPr>
              <w:adjustRightInd w:val="0"/>
              <w:snapToGrid w:val="0"/>
              <w:jc w:val="center"/>
              <w:rPr>
                <w:rFonts w:hint="default" w:ascii="Times New Roman" w:hAnsi="Times New Roman" w:eastAsia="宋体" w:cs="Times New Roman"/>
                <w:color w:val="auto"/>
                <w:kern w:val="2"/>
                <w:sz w:val="22"/>
                <w:szCs w:val="24"/>
                <w:highlight w:val="none"/>
                <w:lang w:val="en-US" w:eastAsia="zh-CN" w:bidi="ar-SA"/>
              </w:rPr>
            </w:pPr>
            <w:r>
              <w:rPr>
                <w:rFonts w:hint="default" w:ascii="Times New Roman" w:hAnsi="Times New Roman" w:eastAsia="宋体" w:cs="Times New Roman"/>
                <w:color w:val="auto"/>
                <w:sz w:val="22"/>
                <w:highlight w:val="none"/>
                <w:lang w:val="en-US" w:eastAsia="zh-CN"/>
              </w:rPr>
              <w:t>访问、资料</w:t>
            </w:r>
          </w:p>
        </w:tc>
        <w:tc>
          <w:tcPr>
            <w:tcW w:w="1246" w:type="dxa"/>
            <w:tcBorders>
              <w:top w:val="single" w:color="auto" w:sz="4" w:space="0"/>
              <w:left w:val="single" w:color="auto" w:sz="4" w:space="0"/>
              <w:bottom w:val="single" w:color="auto" w:sz="4" w:space="0"/>
              <w:right w:val="single" w:color="auto" w:sz="4" w:space="0"/>
            </w:tcBorders>
            <w:noWrap w:val="0"/>
            <w:vAlign w:val="center"/>
          </w:tcPr>
          <w:p w14:paraId="546283E5">
            <w:pPr>
              <w:adjustRightInd w:val="0"/>
              <w:snapToGrid w:val="0"/>
              <w:jc w:val="center"/>
              <w:rPr>
                <w:rFonts w:hint="default" w:ascii="Times New Roman" w:hAnsi="Times New Roman" w:eastAsia="宋体" w:cs="Times New Roman"/>
                <w:color w:val="auto"/>
                <w:kern w:val="2"/>
                <w:sz w:val="22"/>
                <w:szCs w:val="24"/>
                <w:highlight w:val="none"/>
                <w:lang w:val="en-US" w:eastAsia="zh-CN" w:bidi="ar-SA"/>
              </w:rPr>
            </w:pPr>
            <w:r>
              <w:rPr>
                <w:rFonts w:hint="default" w:ascii="Times New Roman" w:hAnsi="Times New Roman" w:eastAsia="宋体" w:cs="Times New Roman"/>
                <w:color w:val="auto"/>
                <w:sz w:val="22"/>
                <w:highlight w:val="none"/>
              </w:rPr>
              <w:t>否</w:t>
            </w:r>
          </w:p>
        </w:tc>
      </w:tr>
      <w:tr w14:paraId="73CE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677CF9D7">
            <w:pPr>
              <w:adjustRightInd w:val="0"/>
              <w:snapToGrid w:val="0"/>
              <w:jc w:val="center"/>
              <w:rPr>
                <w:rFonts w:hint="default" w:ascii="Times New Roman" w:hAnsi="Times New Roman" w:eastAsia="宋体" w:cs="Times New Roman"/>
                <w:color w:val="auto"/>
                <w:sz w:val="22"/>
                <w:highlight w:val="none"/>
                <w:lang w:val="en-US" w:eastAsia="zh-CN"/>
              </w:rPr>
            </w:pPr>
            <w:r>
              <w:rPr>
                <w:rFonts w:hint="default" w:ascii="Times New Roman" w:hAnsi="Times New Roman" w:eastAsia="宋体" w:cs="Times New Roman"/>
                <w:color w:val="auto"/>
                <w:sz w:val="22"/>
                <w:highlight w:val="none"/>
                <w:lang w:val="en-US" w:eastAsia="zh-CN"/>
              </w:rPr>
              <w:t>5</w:t>
            </w:r>
          </w:p>
        </w:tc>
        <w:tc>
          <w:tcPr>
            <w:tcW w:w="2096" w:type="dxa"/>
            <w:tcBorders>
              <w:top w:val="single" w:color="auto" w:sz="4" w:space="0"/>
              <w:left w:val="single" w:color="auto" w:sz="4" w:space="0"/>
              <w:bottom w:val="single" w:color="auto" w:sz="4" w:space="0"/>
              <w:right w:val="single" w:color="auto" w:sz="4" w:space="0"/>
            </w:tcBorders>
            <w:noWrap w:val="0"/>
            <w:vAlign w:val="center"/>
          </w:tcPr>
          <w:p w14:paraId="1968DD12">
            <w:pPr>
              <w:adjustRightInd w:val="0"/>
              <w:snapToGrid w:val="0"/>
              <w:jc w:val="center"/>
              <w:rPr>
                <w:rFonts w:hint="default" w:ascii="Times New Roman" w:hAnsi="Times New Roman" w:eastAsia="宋体" w:cs="Times New Roman"/>
                <w:b/>
                <w:bCs/>
                <w:color w:val="auto"/>
                <w:sz w:val="22"/>
                <w:szCs w:val="22"/>
                <w:highlight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北草蜥/</w:t>
            </w:r>
            <w:r>
              <w:rPr>
                <w:rFonts w:hint="default" w:ascii="Times New Roman" w:hAnsi="Times New Roman" w:eastAsia="宋体" w:cs="Times New Roman"/>
                <w:i/>
                <w:iCs/>
                <w:color w:val="auto"/>
                <w:kern w:val="0"/>
                <w:sz w:val="22"/>
                <w:szCs w:val="22"/>
                <w:u w:val="none"/>
                <w:lang w:val="en-US" w:eastAsia="zh-CN" w:bidi="ar"/>
              </w:rPr>
              <w:t>Takydromus septentrionalis</w:t>
            </w:r>
          </w:p>
        </w:tc>
        <w:tc>
          <w:tcPr>
            <w:tcW w:w="1523" w:type="dxa"/>
            <w:tcBorders>
              <w:top w:val="single" w:color="auto" w:sz="4" w:space="0"/>
              <w:left w:val="single" w:color="auto" w:sz="4" w:space="0"/>
              <w:bottom w:val="single" w:color="auto" w:sz="4" w:space="0"/>
              <w:right w:val="single" w:color="auto" w:sz="4" w:space="0"/>
            </w:tcBorders>
            <w:noWrap w:val="0"/>
            <w:vAlign w:val="center"/>
          </w:tcPr>
          <w:p w14:paraId="5DD2C86B">
            <w:pPr>
              <w:keepNext w:val="0"/>
              <w:keepLines w:val="0"/>
              <w:widowControl/>
              <w:suppressLineNumbers w:val="0"/>
              <w:jc w:val="center"/>
              <w:textAlignment w:val="center"/>
              <w:rPr>
                <w:rFonts w:hint="default" w:ascii="Times New Roman" w:hAnsi="Times New Roman" w:eastAsia="宋体" w:cs="Times New Roman"/>
                <w:b/>
                <w:bCs/>
                <w:color w:val="auto"/>
                <w:sz w:val="22"/>
                <w:szCs w:val="24"/>
                <w:highlight w:val="none"/>
                <w:lang w:val="en-US" w:eastAsia="zh-CN" w:bidi="ar-SA"/>
              </w:rPr>
            </w:pPr>
            <w:r>
              <w:rPr>
                <w:rFonts w:hint="default" w:ascii="Times New Roman" w:hAnsi="Times New Roman" w:eastAsia="宋体" w:cs="Times New Roman"/>
                <w:b/>
                <w:bCs/>
                <w:color w:val="auto"/>
                <w:sz w:val="22"/>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17457D7C">
            <w:pPr>
              <w:adjustRightInd w:val="0"/>
              <w:snapToGrid w:val="0"/>
              <w:jc w:val="center"/>
              <w:rPr>
                <w:rFonts w:hint="default" w:ascii="Times New Roman" w:hAnsi="Times New Roman" w:eastAsia="宋体" w:cs="Times New Roman"/>
                <w:color w:val="auto"/>
                <w:sz w:val="22"/>
                <w:szCs w:val="24"/>
                <w:highlight w:val="none"/>
                <w:lang w:val="en-US" w:eastAsia="zh-CN" w:bidi="ar-SA"/>
              </w:rPr>
            </w:pPr>
            <w:r>
              <w:rPr>
                <w:rFonts w:hint="default" w:ascii="Times New Roman" w:hAnsi="Times New Roman" w:eastAsia="宋体" w:cs="Times New Roman"/>
                <w:color w:val="auto"/>
                <w:sz w:val="22"/>
                <w:highlight w:val="none"/>
                <w:lang w:val="en-US" w:eastAsia="zh-CN"/>
              </w:rPr>
              <w:t>/</w:t>
            </w:r>
          </w:p>
        </w:tc>
        <w:tc>
          <w:tcPr>
            <w:tcW w:w="1050" w:type="dxa"/>
            <w:tcBorders>
              <w:top w:val="single" w:color="auto" w:sz="4" w:space="0"/>
              <w:left w:val="single" w:color="auto" w:sz="4" w:space="0"/>
              <w:bottom w:val="single" w:color="auto" w:sz="4" w:space="0"/>
              <w:right w:val="single" w:color="auto" w:sz="4" w:space="0"/>
            </w:tcBorders>
            <w:noWrap w:val="0"/>
            <w:vAlign w:val="center"/>
          </w:tcPr>
          <w:p w14:paraId="5B64A5DC">
            <w:pPr>
              <w:adjustRightInd w:val="0"/>
              <w:snapToGrid w:val="0"/>
              <w:jc w:val="center"/>
              <w:rPr>
                <w:rFonts w:hint="default" w:ascii="Times New Roman" w:hAnsi="Times New Roman" w:eastAsia="宋体" w:cs="Times New Roman"/>
                <w:color w:val="auto"/>
                <w:sz w:val="22"/>
                <w:szCs w:val="24"/>
                <w:highlight w:val="none"/>
                <w:lang w:val="en-US" w:eastAsia="zh-CN" w:bidi="ar-SA"/>
              </w:rPr>
            </w:pPr>
            <w:r>
              <w:rPr>
                <w:rFonts w:hint="default" w:ascii="Times New Roman" w:hAnsi="Times New Roman" w:eastAsia="宋体" w:cs="Times New Roman"/>
                <w:color w:val="auto"/>
                <w:sz w:val="22"/>
                <w:highlight w:val="none"/>
                <w:lang w:val="en-US" w:eastAsia="zh-CN"/>
              </w:rPr>
              <w:t>是</w:t>
            </w:r>
          </w:p>
        </w:tc>
        <w:tc>
          <w:tcPr>
            <w:tcW w:w="1034" w:type="dxa"/>
            <w:tcBorders>
              <w:top w:val="single" w:color="auto" w:sz="4" w:space="0"/>
              <w:left w:val="single" w:color="auto" w:sz="4" w:space="0"/>
              <w:bottom w:val="single" w:color="auto" w:sz="4" w:space="0"/>
              <w:right w:val="single" w:color="auto" w:sz="4" w:space="0"/>
            </w:tcBorders>
            <w:noWrap w:val="0"/>
            <w:vAlign w:val="center"/>
          </w:tcPr>
          <w:p w14:paraId="6CBC0234">
            <w:pPr>
              <w:adjustRightInd w:val="0"/>
              <w:snapToGrid w:val="0"/>
              <w:jc w:val="center"/>
              <w:rPr>
                <w:rFonts w:hint="default" w:ascii="Times New Roman" w:hAnsi="Times New Roman" w:eastAsia="宋体" w:cs="Times New Roman"/>
                <w:color w:val="auto"/>
                <w:sz w:val="22"/>
                <w:szCs w:val="24"/>
                <w:highlight w:val="none"/>
                <w:lang w:val="en-US" w:eastAsia="zh-CN" w:bidi="ar-SA"/>
              </w:rPr>
            </w:pPr>
            <w:r>
              <w:rPr>
                <w:rFonts w:hint="default" w:ascii="Times New Roman" w:hAnsi="Times New Roman" w:eastAsia="宋体" w:cs="Times New Roman"/>
                <w:color w:val="auto"/>
                <w:sz w:val="22"/>
                <w:highlight w:val="none"/>
                <w:lang w:val="en-US" w:eastAsia="zh-CN"/>
              </w:rPr>
              <w:t>灌丛石隙型</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95FA664">
            <w:pPr>
              <w:adjustRightInd w:val="0"/>
              <w:snapToGrid w:val="0"/>
              <w:jc w:val="center"/>
              <w:rPr>
                <w:rFonts w:hint="default" w:ascii="Times New Roman" w:hAnsi="Times New Roman" w:eastAsia="宋体" w:cs="Times New Roman"/>
                <w:color w:val="auto"/>
                <w:sz w:val="22"/>
                <w:szCs w:val="24"/>
                <w:highlight w:val="none"/>
                <w:lang w:val="en-US" w:eastAsia="zh-CN" w:bidi="ar-SA"/>
              </w:rPr>
            </w:pPr>
            <w:r>
              <w:rPr>
                <w:rFonts w:hint="default" w:ascii="Times New Roman" w:hAnsi="Times New Roman" w:eastAsia="宋体" w:cs="Times New Roman"/>
                <w:color w:val="auto"/>
                <w:sz w:val="22"/>
                <w:highlight w:val="none"/>
                <w:lang w:val="en-US" w:eastAsia="zh-CN"/>
              </w:rPr>
              <w:t>访问、资料</w:t>
            </w:r>
          </w:p>
        </w:tc>
        <w:tc>
          <w:tcPr>
            <w:tcW w:w="1246" w:type="dxa"/>
            <w:tcBorders>
              <w:top w:val="single" w:color="auto" w:sz="4" w:space="0"/>
              <w:left w:val="single" w:color="auto" w:sz="4" w:space="0"/>
              <w:bottom w:val="single" w:color="auto" w:sz="4" w:space="0"/>
              <w:right w:val="single" w:color="auto" w:sz="4" w:space="0"/>
            </w:tcBorders>
            <w:noWrap w:val="0"/>
            <w:vAlign w:val="center"/>
          </w:tcPr>
          <w:p w14:paraId="605B12B9">
            <w:pPr>
              <w:adjustRightInd w:val="0"/>
              <w:snapToGrid w:val="0"/>
              <w:jc w:val="center"/>
              <w:rPr>
                <w:rFonts w:hint="default" w:ascii="Times New Roman" w:hAnsi="Times New Roman" w:eastAsia="宋体" w:cs="Times New Roman"/>
                <w:color w:val="auto"/>
                <w:sz w:val="22"/>
                <w:szCs w:val="24"/>
                <w:highlight w:val="none"/>
                <w:lang w:val="en-US" w:eastAsia="zh-CN" w:bidi="ar-SA"/>
              </w:rPr>
            </w:pPr>
            <w:r>
              <w:rPr>
                <w:rFonts w:hint="default" w:ascii="Times New Roman" w:hAnsi="Times New Roman" w:eastAsia="宋体" w:cs="Times New Roman"/>
                <w:color w:val="auto"/>
                <w:sz w:val="22"/>
                <w:highlight w:val="none"/>
              </w:rPr>
              <w:t>否</w:t>
            </w:r>
          </w:p>
        </w:tc>
      </w:tr>
    </w:tbl>
    <w:p w14:paraId="2074D750">
      <w:pPr>
        <w:keepNext w:val="0"/>
        <w:keepLines w:val="0"/>
        <w:pageBreakBefore w:val="0"/>
        <w:widowControl w:val="0"/>
        <w:kinsoku/>
        <w:wordWrap/>
        <w:overflowPunct/>
        <w:topLinePunct w:val="0"/>
        <w:autoSpaceDE/>
        <w:autoSpaceDN/>
        <w:bidi w:val="0"/>
        <w:adjustRightInd w:val="0"/>
        <w:snapToGrid w:val="0"/>
        <w:spacing w:line="240" w:lineRule="auto"/>
        <w:ind w:firstLine="520" w:firstLineChars="200"/>
        <w:textAlignment w:val="auto"/>
        <w:rPr>
          <w:rFonts w:hint="default" w:ascii="Times New Roman" w:hAnsi="Times New Roman" w:eastAsia="宋体" w:cs="Times New Roman"/>
          <w:color w:val="auto"/>
          <w:sz w:val="26"/>
          <w:szCs w:val="26"/>
          <w:highlight w:val="none"/>
          <w:lang w:val="en-US" w:eastAsia="zh-CN"/>
        </w:rPr>
      </w:pPr>
    </w:p>
    <w:p w14:paraId="5754602E">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根据现场调查与访问结果，结合历史调查资料，</w:t>
      </w:r>
      <w:r>
        <w:rPr>
          <w:rFonts w:hint="default" w:ascii="Times New Roman" w:hAnsi="Times New Roman" w:eastAsia="宋体" w:cs="Times New Roman"/>
          <w:color w:val="auto"/>
          <w:sz w:val="26"/>
          <w:highlight w:val="none"/>
          <w:lang w:bidi="ar"/>
        </w:rPr>
        <w:t>乌梢蛇</w:t>
      </w:r>
      <w:r>
        <w:rPr>
          <w:rFonts w:hint="default" w:ascii="Times New Roman" w:hAnsi="Times New Roman" w:eastAsia="宋体" w:cs="Times New Roman"/>
          <w:color w:val="auto"/>
          <w:sz w:val="26"/>
          <w:highlight w:val="none"/>
          <w:lang w:eastAsia="zh-CN" w:bidi="ar"/>
        </w:rPr>
        <w:t>、</w:t>
      </w:r>
      <w:r>
        <w:rPr>
          <w:rFonts w:hint="default" w:ascii="Times New Roman" w:hAnsi="Times New Roman" w:eastAsia="宋体" w:cs="Times New Roman"/>
          <w:color w:val="auto"/>
          <w:sz w:val="26"/>
          <w:highlight w:val="none"/>
          <w:lang w:val="en-US" w:eastAsia="zh-CN" w:bidi="ar"/>
        </w:rPr>
        <w:t>黑眉锦蛇、王锦蛇</w:t>
      </w:r>
      <w:r>
        <w:rPr>
          <w:rFonts w:hint="default" w:ascii="Times New Roman" w:hAnsi="Times New Roman" w:eastAsia="宋体" w:cs="Times New Roman"/>
          <w:color w:val="auto"/>
          <w:sz w:val="26"/>
          <w:szCs w:val="26"/>
          <w:highlight w:val="none"/>
          <w:lang w:val="en-US" w:eastAsia="zh-CN"/>
        </w:rPr>
        <w:t>为重庆市常见蛇类，调查期间评价范围内没有发现上述重要动物的集中分布区，也没有营巢区，主要是觅食活动可能在评价区出没，以评价区内灌丛、农田与村舍附近偶见。</w:t>
      </w:r>
    </w:p>
    <w:p w14:paraId="51B8C14A">
      <w:pPr>
        <w:adjustRightInd w:val="0"/>
        <w:snapToGrid w:val="0"/>
        <w:spacing w:line="500" w:lineRule="exact"/>
        <w:outlineLvl w:val="2"/>
        <w:rPr>
          <w:rFonts w:hint="default" w:ascii="Times New Roman" w:hAnsi="Times New Roman" w:eastAsia="宋体" w:cs="Times New Roman"/>
          <w:b/>
          <w:color w:val="auto"/>
          <w:sz w:val="26"/>
          <w:szCs w:val="26"/>
          <w:lang w:val="en-US" w:eastAsia="zh-CN"/>
        </w:rPr>
      </w:pPr>
      <w:r>
        <w:rPr>
          <w:rFonts w:hint="default" w:ascii="Times New Roman" w:hAnsi="Times New Roman" w:eastAsia="宋体" w:cs="Times New Roman"/>
          <w:b/>
          <w:color w:val="auto"/>
          <w:sz w:val="26"/>
          <w:szCs w:val="26"/>
          <w:lang w:val="en-US" w:eastAsia="zh-CN"/>
        </w:rPr>
        <w:t>4.3.6 生态保护目标</w:t>
      </w:r>
    </w:p>
    <w:p w14:paraId="16BE83CD">
      <w:pPr>
        <w:keepNext w:val="0"/>
        <w:keepLines w:val="0"/>
        <w:pageBreakBefore w:val="0"/>
        <w:widowControl/>
        <w:tabs>
          <w:tab w:val="left" w:pos="1425"/>
        </w:tabs>
        <w:kinsoku/>
        <w:wordWrap w:val="0"/>
        <w:overflowPunct/>
        <w:topLinePunct w:val="0"/>
        <w:autoSpaceDE/>
        <w:autoSpaceDN/>
        <w:bidi w:val="0"/>
        <w:adjustRightInd/>
        <w:snapToGrid/>
        <w:spacing w:line="480" w:lineRule="exact"/>
        <w:ind w:firstLine="520" w:firstLineChars="200"/>
        <w:textAlignment w:val="auto"/>
        <w:rPr>
          <w:rFonts w:hint="default" w:ascii="Times New Roman" w:hAnsi="Times New Roman" w:eastAsia="宋体" w:cs="Times New Roman"/>
          <w:bCs/>
          <w:color w:val="auto"/>
          <w:sz w:val="26"/>
          <w:szCs w:val="26"/>
          <w:lang w:val="en-US" w:eastAsia="zh-CN"/>
        </w:rPr>
      </w:pPr>
      <w:r>
        <w:rPr>
          <w:rFonts w:hint="default" w:ascii="Times New Roman" w:hAnsi="Times New Roman" w:eastAsia="宋体" w:cs="Times New Roman"/>
          <w:bCs/>
          <w:color w:val="auto"/>
          <w:sz w:val="26"/>
          <w:szCs w:val="26"/>
          <w:lang w:val="en-US" w:eastAsia="zh-CN"/>
        </w:rPr>
        <w:t>根据咨询当地林草、自然资源等主管部门及有关资料，本项目不涉及自然保护地、国家公园、自然公园、世界自然遗产、风景名胜区等特殊敏感区域。</w:t>
      </w:r>
    </w:p>
    <w:p w14:paraId="07950ABD">
      <w:pPr>
        <w:keepNext w:val="0"/>
        <w:keepLines w:val="0"/>
        <w:pageBreakBefore w:val="0"/>
        <w:widowControl/>
        <w:tabs>
          <w:tab w:val="left" w:pos="1425"/>
        </w:tabs>
        <w:kinsoku/>
        <w:wordWrap w:val="0"/>
        <w:overflowPunct/>
        <w:topLinePunct w:val="0"/>
        <w:autoSpaceDE/>
        <w:autoSpaceDN/>
        <w:bidi w:val="0"/>
        <w:adjustRightInd/>
        <w:snapToGrid/>
        <w:spacing w:line="480" w:lineRule="exact"/>
        <w:ind w:firstLine="520" w:firstLineChars="200"/>
        <w:textAlignment w:val="auto"/>
        <w:rPr>
          <w:rFonts w:hint="default" w:ascii="Times New Roman" w:hAnsi="Times New Roman" w:eastAsia="宋体" w:cs="Times New Roman"/>
          <w:bCs/>
          <w:color w:val="auto"/>
          <w:sz w:val="26"/>
          <w:szCs w:val="26"/>
          <w:lang w:val="en-US" w:eastAsia="zh-CN"/>
        </w:rPr>
      </w:pPr>
      <w:r>
        <w:rPr>
          <w:rFonts w:hint="default" w:ascii="Times New Roman" w:hAnsi="Times New Roman" w:eastAsia="宋体" w:cs="Times New Roman"/>
          <w:bCs/>
          <w:color w:val="auto"/>
          <w:sz w:val="26"/>
          <w:szCs w:val="26"/>
          <w:lang w:val="en-US" w:eastAsia="zh-CN"/>
        </w:rPr>
        <w:t>本项目涉及的生态保护目标主要有天然林和永久基本农田。</w:t>
      </w:r>
    </w:p>
    <w:p w14:paraId="7FB49471">
      <w:pPr>
        <w:keepNext w:val="0"/>
        <w:keepLines w:val="0"/>
        <w:pageBreakBefore w:val="0"/>
        <w:widowControl/>
        <w:tabs>
          <w:tab w:val="left" w:pos="1425"/>
        </w:tabs>
        <w:kinsoku/>
        <w:wordWrap w:val="0"/>
        <w:overflowPunct/>
        <w:topLinePunct w:val="0"/>
        <w:autoSpaceDE/>
        <w:autoSpaceDN/>
        <w:bidi w:val="0"/>
        <w:adjustRightInd/>
        <w:snapToGrid/>
        <w:spacing w:line="480" w:lineRule="exact"/>
        <w:ind w:firstLine="520" w:firstLineChars="200"/>
        <w:textAlignment w:val="auto"/>
        <w:rPr>
          <w:rFonts w:hint="default" w:ascii="Times New Roman" w:hAnsi="Times New Roman" w:eastAsia="宋体" w:cs="Times New Roman"/>
          <w:bCs/>
          <w:color w:val="auto"/>
          <w:sz w:val="26"/>
          <w:szCs w:val="26"/>
          <w:lang w:val="en-US" w:eastAsia="zh-CN"/>
        </w:rPr>
      </w:pPr>
      <w:r>
        <w:rPr>
          <w:rFonts w:hint="default" w:ascii="Times New Roman" w:hAnsi="Times New Roman" w:eastAsia="宋体" w:cs="Times New Roman"/>
          <w:bCs/>
          <w:color w:val="auto"/>
          <w:sz w:val="26"/>
          <w:szCs w:val="26"/>
          <w:lang w:val="en-US" w:eastAsia="zh-CN"/>
        </w:rPr>
        <w:t>（2）天然林</w:t>
      </w:r>
    </w:p>
    <w:p w14:paraId="7EA6390C">
      <w:pPr>
        <w:keepNext w:val="0"/>
        <w:keepLines w:val="0"/>
        <w:pageBreakBefore w:val="0"/>
        <w:widowControl/>
        <w:tabs>
          <w:tab w:val="left" w:pos="1425"/>
        </w:tabs>
        <w:kinsoku/>
        <w:wordWrap w:val="0"/>
        <w:overflowPunct/>
        <w:topLinePunct w:val="0"/>
        <w:autoSpaceDE/>
        <w:autoSpaceDN/>
        <w:bidi w:val="0"/>
        <w:adjustRightInd/>
        <w:snapToGrid/>
        <w:spacing w:line="480" w:lineRule="exact"/>
        <w:ind w:firstLine="520" w:firstLineChars="200"/>
        <w:textAlignment w:val="auto"/>
        <w:rPr>
          <w:rFonts w:hint="default" w:ascii="Times New Roman" w:hAnsi="Times New Roman" w:eastAsia="宋体" w:cs="Times New Roman"/>
          <w:bCs/>
          <w:color w:val="auto"/>
          <w:sz w:val="26"/>
          <w:szCs w:val="26"/>
          <w:lang w:val="en-US" w:eastAsia="zh-CN"/>
        </w:rPr>
      </w:pPr>
      <w:r>
        <w:rPr>
          <w:rFonts w:hint="default" w:ascii="Times New Roman" w:hAnsi="Times New Roman" w:eastAsia="宋体" w:cs="Times New Roman"/>
          <w:bCs/>
          <w:color w:val="auto"/>
          <w:sz w:val="26"/>
          <w:szCs w:val="26"/>
          <w:lang w:val="en-US" w:eastAsia="zh-CN"/>
        </w:rPr>
        <w:t>评价范围内天然林的林地功能分区为“渝西一般用材林与经济林产品区”，在改建起点至中点段较为密集，中点-改建终点段较为零散。根据现场调查，项目区天然林植被主要为马尾松为主，群落乔木层有杉木、盐麸木、油桐、野桐、野茉莉、女贞等，灌草植被主要是油茶、白栎、菱叶冠毛榕、山莓、狗脊、里白、芒、芒萁、地果、蕨等。</w:t>
      </w:r>
    </w:p>
    <w:p w14:paraId="4E39A566">
      <w:pPr>
        <w:keepNext w:val="0"/>
        <w:keepLines w:val="0"/>
        <w:pageBreakBefore w:val="0"/>
        <w:widowControl/>
        <w:tabs>
          <w:tab w:val="left" w:pos="1425"/>
        </w:tabs>
        <w:kinsoku/>
        <w:wordWrap w:val="0"/>
        <w:overflowPunct/>
        <w:topLinePunct w:val="0"/>
        <w:autoSpaceDE/>
        <w:autoSpaceDN/>
        <w:bidi w:val="0"/>
        <w:adjustRightInd/>
        <w:snapToGrid/>
        <w:spacing w:line="480" w:lineRule="exact"/>
        <w:ind w:firstLine="520" w:firstLineChars="200"/>
        <w:textAlignment w:val="auto"/>
        <w:rPr>
          <w:rFonts w:hint="default" w:ascii="Times New Roman" w:hAnsi="Times New Roman" w:eastAsia="宋体" w:cs="Times New Roman"/>
          <w:color w:val="auto"/>
          <w:sz w:val="26"/>
          <w:szCs w:val="28"/>
        </w:rPr>
      </w:pPr>
      <w:r>
        <w:rPr>
          <w:rFonts w:hint="default" w:ascii="Times New Roman" w:hAnsi="Times New Roman" w:eastAsia="宋体" w:cs="Times New Roman"/>
          <w:color w:val="auto"/>
          <w:sz w:val="26"/>
          <w:szCs w:val="26"/>
        </w:rPr>
        <w:t>本项目与</w:t>
      </w:r>
      <w:r>
        <w:rPr>
          <w:rFonts w:hint="default" w:ascii="Times New Roman" w:hAnsi="Times New Roman" w:eastAsia="宋体" w:cs="Times New Roman"/>
          <w:color w:val="auto"/>
          <w:sz w:val="26"/>
          <w:szCs w:val="26"/>
          <w:lang w:val="en-US" w:eastAsia="zh-CN"/>
        </w:rPr>
        <w:t>天然林</w:t>
      </w:r>
      <w:r>
        <w:rPr>
          <w:rFonts w:hint="default" w:ascii="Times New Roman" w:hAnsi="Times New Roman" w:eastAsia="宋体" w:cs="Times New Roman"/>
          <w:color w:val="auto"/>
          <w:sz w:val="26"/>
          <w:szCs w:val="26"/>
        </w:rPr>
        <w:t>的位置关系为</w:t>
      </w:r>
      <w:r>
        <w:rPr>
          <w:rFonts w:hint="default" w:ascii="Times New Roman" w:hAnsi="Times New Roman" w:eastAsia="宋体" w:cs="Times New Roman"/>
          <w:color w:val="auto"/>
          <w:sz w:val="26"/>
          <w:szCs w:val="26"/>
          <w:lang w:eastAsia="zh-CN"/>
        </w:rPr>
        <w:t>：部分管线约</w:t>
      </w:r>
      <w:r>
        <w:rPr>
          <w:rFonts w:hint="default" w:ascii="Times New Roman" w:hAnsi="Times New Roman" w:eastAsia="宋体" w:cs="Times New Roman"/>
          <w:color w:val="auto"/>
          <w:sz w:val="26"/>
          <w:szCs w:val="26"/>
        </w:rPr>
        <w:t>622.3</w:t>
      </w:r>
      <w:r>
        <w:rPr>
          <w:rFonts w:hint="default" w:ascii="Times New Roman" w:hAnsi="Times New Roman" w:eastAsia="宋体" w:cs="Times New Roman"/>
          <w:color w:val="auto"/>
          <w:sz w:val="26"/>
          <w:szCs w:val="26"/>
          <w:lang w:val="en-US" w:eastAsia="zh-CN"/>
        </w:rPr>
        <w:t>5</w:t>
      </w:r>
      <w:r>
        <w:rPr>
          <w:rFonts w:hint="default" w:ascii="Times New Roman" w:hAnsi="Times New Roman" w:eastAsia="宋体" w:cs="Times New Roman"/>
          <w:color w:val="auto"/>
          <w:sz w:val="26"/>
          <w:szCs w:val="26"/>
        </w:rPr>
        <w:t>m穿越</w:t>
      </w:r>
      <w:r>
        <w:rPr>
          <w:rFonts w:hint="default" w:ascii="Times New Roman" w:hAnsi="Times New Roman" w:eastAsia="宋体" w:cs="Times New Roman"/>
          <w:color w:val="auto"/>
          <w:sz w:val="26"/>
          <w:szCs w:val="26"/>
          <w:lang w:val="en-US" w:eastAsia="zh-CN"/>
        </w:rPr>
        <w:t>天然林</w:t>
      </w:r>
      <w:r>
        <w:rPr>
          <w:rFonts w:hint="default" w:ascii="Times New Roman" w:hAnsi="Times New Roman" w:eastAsia="宋体" w:cs="Times New Roman"/>
          <w:color w:val="auto"/>
          <w:sz w:val="26"/>
          <w:szCs w:val="26"/>
        </w:rPr>
        <w:t>，</w:t>
      </w:r>
      <w:r>
        <w:rPr>
          <w:rFonts w:hint="default" w:ascii="Times New Roman" w:hAnsi="Times New Roman" w:eastAsia="宋体" w:cs="Times New Roman"/>
          <w:bCs/>
          <w:color w:val="auto"/>
          <w:sz w:val="26"/>
          <w:szCs w:val="26"/>
          <w:lang w:val="en-US" w:eastAsia="zh-CN"/>
        </w:rPr>
        <w:t>临时占地所涉面积</w:t>
      </w:r>
      <w:r>
        <w:rPr>
          <w:rFonts w:hint="default" w:ascii="Times New Roman" w:hAnsi="Times New Roman" w:eastAsia="宋体" w:cs="Times New Roman"/>
          <w:color w:val="auto"/>
          <w:sz w:val="26"/>
          <w:szCs w:val="26"/>
        </w:rPr>
        <w:t>约0.</w:t>
      </w:r>
      <w:r>
        <w:rPr>
          <w:rFonts w:hint="default" w:ascii="Times New Roman" w:hAnsi="Times New Roman" w:eastAsia="宋体" w:cs="Times New Roman"/>
          <w:color w:val="auto"/>
          <w:sz w:val="26"/>
          <w:szCs w:val="26"/>
          <w:lang w:val="en-US" w:eastAsia="zh-CN"/>
        </w:rPr>
        <w:t>38</w:t>
      </w:r>
      <w:r>
        <w:rPr>
          <w:rFonts w:hint="default" w:ascii="Times New Roman" w:hAnsi="Times New Roman" w:eastAsia="宋体" w:cs="Times New Roman"/>
          <w:color w:val="auto"/>
          <w:sz w:val="26"/>
          <w:szCs w:val="26"/>
        </w:rPr>
        <w:t>hm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w:t>
      </w:r>
      <w:r>
        <w:rPr>
          <w:rFonts w:hint="default" w:ascii="Times New Roman" w:hAnsi="Times New Roman" w:eastAsia="宋体" w:cs="Times New Roman"/>
          <w:bCs/>
          <w:color w:val="auto"/>
          <w:sz w:val="26"/>
          <w:szCs w:val="26"/>
        </w:rPr>
        <w:t>评价范围</w:t>
      </w:r>
      <w:r>
        <w:rPr>
          <w:rFonts w:hint="default" w:ascii="Times New Roman" w:hAnsi="Times New Roman" w:eastAsia="宋体" w:cs="Times New Roman"/>
          <w:bCs/>
          <w:color w:val="auto"/>
          <w:sz w:val="26"/>
          <w:szCs w:val="26"/>
          <w:lang w:val="en-US" w:eastAsia="zh-CN"/>
        </w:rPr>
        <w:t>所涉</w:t>
      </w:r>
      <w:r>
        <w:rPr>
          <w:rFonts w:hint="default" w:ascii="Times New Roman" w:hAnsi="Times New Roman" w:eastAsia="宋体" w:cs="Times New Roman"/>
          <w:bCs/>
          <w:color w:val="auto"/>
          <w:sz w:val="26"/>
          <w:szCs w:val="26"/>
        </w:rPr>
        <w:t>面积</w:t>
      </w:r>
      <w:r>
        <w:rPr>
          <w:rFonts w:hint="default" w:ascii="Times New Roman" w:hAnsi="Times New Roman" w:eastAsia="宋体" w:cs="Times New Roman"/>
          <w:color w:val="auto"/>
          <w:sz w:val="26"/>
          <w:szCs w:val="26"/>
        </w:rPr>
        <w:t>约</w:t>
      </w:r>
      <w:r>
        <w:rPr>
          <w:rFonts w:hint="default" w:ascii="Times New Roman" w:hAnsi="Times New Roman" w:eastAsia="宋体" w:cs="Times New Roman"/>
          <w:color w:val="auto"/>
          <w:sz w:val="26"/>
          <w:szCs w:val="26"/>
          <w:lang w:val="en-US" w:eastAsia="zh-CN"/>
        </w:rPr>
        <w:t>为</w:t>
      </w:r>
      <w:r>
        <w:rPr>
          <w:rFonts w:hint="default" w:ascii="Times New Roman" w:hAnsi="Times New Roman" w:eastAsia="宋体" w:cs="Times New Roman"/>
          <w:color w:val="auto"/>
          <w:sz w:val="26"/>
          <w:szCs w:val="26"/>
        </w:rPr>
        <w:t>51.28hm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w:t>
      </w:r>
      <w:r>
        <w:rPr>
          <w:rFonts w:hint="default" w:ascii="Times New Roman" w:hAnsi="Times New Roman" w:eastAsia="宋体" w:cs="Times New Roman"/>
          <w:bCs/>
          <w:color w:val="auto"/>
          <w:sz w:val="26"/>
          <w:szCs w:val="26"/>
          <w:lang w:val="en-US" w:eastAsia="zh-CN"/>
        </w:rPr>
        <w:t>本项目无</w:t>
      </w:r>
      <w:r>
        <w:rPr>
          <w:rFonts w:hint="default" w:ascii="Times New Roman" w:hAnsi="Times New Roman" w:eastAsia="宋体" w:cs="Times New Roman"/>
          <w:bCs/>
          <w:color w:val="auto"/>
          <w:sz w:val="26"/>
          <w:szCs w:val="26"/>
        </w:rPr>
        <w:t>永久占地。</w:t>
      </w:r>
    </w:p>
    <w:p w14:paraId="19CAE58F">
      <w:pPr>
        <w:keepNext w:val="0"/>
        <w:keepLines w:val="0"/>
        <w:pageBreakBefore w:val="0"/>
        <w:widowControl w:val="0"/>
        <w:kinsoku/>
        <w:wordWrap/>
        <w:topLinePunct w:val="0"/>
        <w:autoSpaceDE/>
        <w:autoSpaceDN/>
        <w:bidi w:val="0"/>
        <w:adjustRightInd/>
        <w:snapToGrid/>
        <w:spacing w:line="480" w:lineRule="exact"/>
        <w:ind w:firstLine="520" w:firstLineChars="200"/>
        <w:textAlignment w:val="auto"/>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w:t>
      </w:r>
      <w:r>
        <w:rPr>
          <w:rFonts w:hint="default" w:ascii="Times New Roman" w:hAnsi="Times New Roman" w:eastAsia="宋体" w:cs="Times New Roman"/>
          <w:bCs/>
          <w:color w:val="auto"/>
          <w:sz w:val="26"/>
          <w:szCs w:val="26"/>
          <w:lang w:val="en-US" w:eastAsia="zh-CN"/>
        </w:rPr>
        <w:t>4</w:t>
      </w:r>
      <w:r>
        <w:rPr>
          <w:rFonts w:hint="default" w:ascii="Times New Roman" w:hAnsi="Times New Roman" w:eastAsia="宋体" w:cs="Times New Roman"/>
          <w:bCs/>
          <w:color w:val="auto"/>
          <w:sz w:val="26"/>
          <w:szCs w:val="26"/>
        </w:rPr>
        <w:t>）永久基本农田</w:t>
      </w:r>
    </w:p>
    <w:p w14:paraId="7B2D3D91">
      <w:pPr>
        <w:tabs>
          <w:tab w:val="left" w:pos="1425"/>
        </w:tabs>
        <w:spacing w:line="480" w:lineRule="exact"/>
        <w:ind w:firstLine="520" w:firstLineChars="200"/>
        <w:rPr>
          <w:rFonts w:hint="default" w:ascii="Times New Roman" w:hAnsi="Times New Roman" w:eastAsia="宋体" w:cs="Times New Roman"/>
          <w:color w:val="auto"/>
          <w:sz w:val="26"/>
          <w:szCs w:val="26"/>
          <w:lang w:val="en-US"/>
        </w:rPr>
      </w:pPr>
      <w:r>
        <w:rPr>
          <w:rFonts w:hint="default" w:ascii="Times New Roman" w:hAnsi="Times New Roman" w:eastAsia="宋体" w:cs="Times New Roman"/>
          <w:bCs/>
          <w:color w:val="auto"/>
          <w:sz w:val="26"/>
          <w:szCs w:val="26"/>
          <w:lang w:val="en-US" w:eastAsia="zh-CN"/>
        </w:rPr>
        <w:t>评价范围内永久基本农田的种植属性主要为“粮食作物类与非粮食作物类轮作”，集中分布于中点-改建终点段。</w:t>
      </w:r>
    </w:p>
    <w:p w14:paraId="403838B2">
      <w:pPr>
        <w:keepNext w:val="0"/>
        <w:keepLines w:val="0"/>
        <w:pageBreakBefore w:val="0"/>
        <w:widowControl/>
        <w:tabs>
          <w:tab w:val="left" w:pos="1425"/>
        </w:tabs>
        <w:kinsoku/>
        <w:wordWrap w:val="0"/>
        <w:overflowPunct/>
        <w:topLinePunct w:val="0"/>
        <w:autoSpaceDE/>
        <w:autoSpaceDN/>
        <w:bidi w:val="0"/>
        <w:adjustRightInd/>
        <w:snapToGrid/>
        <w:spacing w:line="480" w:lineRule="exact"/>
        <w:ind w:firstLine="520" w:firstLineChars="200"/>
        <w:textAlignment w:val="auto"/>
        <w:rPr>
          <w:rFonts w:hint="default" w:ascii="Times New Roman" w:hAnsi="Times New Roman" w:eastAsia="宋体" w:cs="Times New Roman"/>
          <w:bCs/>
          <w:color w:val="auto"/>
          <w:sz w:val="26"/>
          <w:szCs w:val="26"/>
        </w:rPr>
      </w:pPr>
      <w:r>
        <w:rPr>
          <w:rFonts w:hint="default" w:ascii="Times New Roman" w:hAnsi="Times New Roman" w:eastAsia="宋体" w:cs="Times New Roman"/>
          <w:color w:val="auto"/>
          <w:sz w:val="26"/>
          <w:szCs w:val="26"/>
        </w:rPr>
        <w:t>本项目部分管线不可避免经过永久基本农田区域。</w:t>
      </w:r>
      <w:r>
        <w:rPr>
          <w:rFonts w:hint="default" w:ascii="Times New Roman" w:hAnsi="Times New Roman" w:eastAsia="宋体" w:cs="Times New Roman"/>
          <w:bCs/>
          <w:color w:val="auto"/>
          <w:sz w:val="26"/>
          <w:szCs w:val="26"/>
        </w:rPr>
        <w:t>部分管线</w:t>
      </w:r>
      <w:r>
        <w:rPr>
          <w:rFonts w:hint="default" w:ascii="Times New Roman" w:hAnsi="Times New Roman" w:eastAsia="宋体" w:cs="Times New Roman"/>
          <w:bCs/>
          <w:color w:val="auto"/>
          <w:sz w:val="26"/>
          <w:szCs w:val="26"/>
          <w:lang w:val="en-US" w:eastAsia="zh-CN"/>
        </w:rPr>
        <w:t>约614.76m经过永久</w:t>
      </w:r>
      <w:r>
        <w:rPr>
          <w:rFonts w:hint="default" w:ascii="Times New Roman" w:hAnsi="Times New Roman" w:eastAsia="宋体" w:cs="Times New Roman"/>
          <w:bCs/>
          <w:color w:val="auto"/>
          <w:sz w:val="26"/>
          <w:szCs w:val="26"/>
        </w:rPr>
        <w:t>基本农田</w:t>
      </w:r>
      <w:r>
        <w:rPr>
          <w:rFonts w:hint="default" w:ascii="Times New Roman" w:hAnsi="Times New Roman" w:eastAsia="宋体" w:cs="Times New Roman"/>
          <w:bCs/>
          <w:color w:val="auto"/>
          <w:sz w:val="26"/>
          <w:szCs w:val="26"/>
          <w:lang w:eastAsia="zh-CN"/>
        </w:rPr>
        <w:t>，</w:t>
      </w:r>
      <w:r>
        <w:rPr>
          <w:rFonts w:hint="default" w:ascii="Times New Roman" w:hAnsi="Times New Roman" w:eastAsia="宋体" w:cs="Times New Roman"/>
          <w:bCs/>
          <w:color w:val="auto"/>
          <w:sz w:val="26"/>
          <w:szCs w:val="26"/>
          <w:lang w:val="en-US" w:eastAsia="zh-CN"/>
        </w:rPr>
        <w:t>涉及临时占地约0.36</w:t>
      </w:r>
      <w:r>
        <w:rPr>
          <w:rFonts w:hint="default" w:ascii="Times New Roman" w:hAnsi="Times New Roman" w:eastAsia="宋体" w:cs="Times New Roman"/>
          <w:bCs/>
          <w:color w:val="auto"/>
          <w:sz w:val="26"/>
          <w:szCs w:val="26"/>
        </w:rPr>
        <w:t>hm</w:t>
      </w:r>
      <w:r>
        <w:rPr>
          <w:rFonts w:hint="default" w:ascii="Times New Roman" w:hAnsi="Times New Roman" w:eastAsia="宋体" w:cs="Times New Roman"/>
          <w:bCs/>
          <w:color w:val="auto"/>
          <w:sz w:val="26"/>
          <w:szCs w:val="26"/>
          <w:vertAlign w:val="superscript"/>
        </w:rPr>
        <w:t>2</w:t>
      </w:r>
      <w:r>
        <w:rPr>
          <w:rFonts w:hint="default" w:ascii="Times New Roman" w:hAnsi="Times New Roman" w:eastAsia="宋体" w:cs="Times New Roman"/>
          <w:bCs/>
          <w:color w:val="auto"/>
          <w:sz w:val="26"/>
          <w:szCs w:val="26"/>
          <w:lang w:val="en-US" w:eastAsia="zh-CN"/>
        </w:rPr>
        <w:t>。</w:t>
      </w:r>
      <w:r>
        <w:rPr>
          <w:rFonts w:hint="default" w:ascii="Times New Roman" w:hAnsi="Times New Roman" w:eastAsia="宋体" w:cs="Times New Roman"/>
          <w:bCs/>
          <w:color w:val="auto"/>
          <w:sz w:val="26"/>
          <w:szCs w:val="26"/>
        </w:rPr>
        <w:t>生态</w:t>
      </w:r>
      <w:r>
        <w:rPr>
          <w:rFonts w:hint="default" w:ascii="Times New Roman" w:hAnsi="Times New Roman" w:eastAsia="宋体" w:cs="Times New Roman"/>
          <w:color w:val="auto"/>
          <w:sz w:val="26"/>
          <w:szCs w:val="26"/>
        </w:rPr>
        <w:t>评价范围</w:t>
      </w:r>
      <w:r>
        <w:rPr>
          <w:rFonts w:hint="default" w:ascii="Times New Roman" w:hAnsi="Times New Roman" w:eastAsia="宋体" w:cs="Times New Roman"/>
          <w:color w:val="auto"/>
          <w:sz w:val="26"/>
          <w:szCs w:val="26"/>
          <w:lang w:val="en-US" w:eastAsia="zh-CN"/>
        </w:rPr>
        <w:t>所涉</w:t>
      </w:r>
      <w:r>
        <w:rPr>
          <w:rFonts w:hint="default" w:ascii="Times New Roman" w:hAnsi="Times New Roman" w:eastAsia="宋体" w:cs="Times New Roman"/>
          <w:color w:val="auto"/>
          <w:sz w:val="26"/>
          <w:szCs w:val="26"/>
        </w:rPr>
        <w:t>面积约为</w:t>
      </w:r>
      <w:r>
        <w:rPr>
          <w:rFonts w:hint="default" w:ascii="Times New Roman" w:hAnsi="Times New Roman" w:eastAsia="宋体" w:cs="Times New Roman"/>
          <w:bCs/>
          <w:color w:val="auto"/>
          <w:sz w:val="26"/>
          <w:szCs w:val="26"/>
          <w:lang w:val="en-US" w:eastAsia="zh-CN"/>
        </w:rPr>
        <w:t>24.46</w:t>
      </w:r>
      <w:r>
        <w:rPr>
          <w:rFonts w:hint="default" w:ascii="Times New Roman" w:hAnsi="Times New Roman" w:eastAsia="宋体" w:cs="Times New Roman"/>
          <w:bCs/>
          <w:color w:val="auto"/>
          <w:sz w:val="26"/>
          <w:szCs w:val="26"/>
        </w:rPr>
        <w:t>hm</w:t>
      </w:r>
      <w:r>
        <w:rPr>
          <w:rFonts w:hint="default" w:ascii="Times New Roman" w:hAnsi="Times New Roman" w:eastAsia="宋体" w:cs="Times New Roman"/>
          <w:bCs/>
          <w:color w:val="auto"/>
          <w:sz w:val="26"/>
          <w:szCs w:val="26"/>
          <w:vertAlign w:val="superscript"/>
        </w:rPr>
        <w:t>2</w:t>
      </w:r>
      <w:r>
        <w:rPr>
          <w:rFonts w:hint="default" w:ascii="Times New Roman" w:hAnsi="Times New Roman" w:eastAsia="宋体" w:cs="Times New Roman"/>
          <w:bCs/>
          <w:color w:val="auto"/>
          <w:sz w:val="26"/>
          <w:szCs w:val="26"/>
        </w:rPr>
        <w:t>。</w:t>
      </w:r>
      <w:r>
        <w:rPr>
          <w:rFonts w:hint="default" w:ascii="Times New Roman" w:hAnsi="Times New Roman" w:eastAsia="宋体" w:cs="Times New Roman"/>
          <w:bCs/>
          <w:color w:val="auto"/>
          <w:sz w:val="26"/>
          <w:szCs w:val="26"/>
          <w:lang w:val="en-US" w:eastAsia="zh-CN"/>
        </w:rPr>
        <w:t>本项目无</w:t>
      </w:r>
      <w:r>
        <w:rPr>
          <w:rFonts w:hint="default" w:ascii="Times New Roman" w:hAnsi="Times New Roman" w:eastAsia="宋体" w:cs="Times New Roman"/>
          <w:bCs/>
          <w:color w:val="auto"/>
          <w:sz w:val="26"/>
          <w:szCs w:val="26"/>
        </w:rPr>
        <w:t>永久占地</w:t>
      </w:r>
      <w:r>
        <w:rPr>
          <w:rFonts w:hint="default" w:ascii="Times New Roman" w:hAnsi="Times New Roman" w:eastAsia="宋体" w:cs="Times New Roman"/>
          <w:bCs/>
          <w:color w:val="auto"/>
          <w:sz w:val="26"/>
          <w:szCs w:val="26"/>
          <w:lang w:eastAsia="zh-CN"/>
        </w:rPr>
        <w:t>。</w:t>
      </w:r>
    </w:p>
    <w:p w14:paraId="744076A2">
      <w:pPr>
        <w:adjustRightInd w:val="0"/>
        <w:snapToGrid w:val="0"/>
        <w:spacing w:line="500" w:lineRule="exact"/>
        <w:outlineLvl w:val="2"/>
        <w:rPr>
          <w:rFonts w:hint="default" w:ascii="Times New Roman" w:hAnsi="Times New Roman" w:eastAsia="宋体" w:cs="Times New Roman"/>
          <w:b/>
          <w:color w:val="auto"/>
          <w:sz w:val="26"/>
          <w:szCs w:val="26"/>
          <w:lang w:val="en-US" w:eastAsia="zh-CN"/>
        </w:rPr>
      </w:pPr>
      <w:r>
        <w:rPr>
          <w:rFonts w:hint="default" w:ascii="Times New Roman" w:hAnsi="Times New Roman" w:eastAsia="宋体" w:cs="Times New Roman"/>
          <w:b/>
          <w:color w:val="auto"/>
          <w:sz w:val="26"/>
          <w:szCs w:val="26"/>
          <w:lang w:val="en-US" w:eastAsia="zh-CN"/>
        </w:rPr>
        <w:t>4.3.7 评价区主要生态问题</w:t>
      </w:r>
    </w:p>
    <w:p w14:paraId="0FD9CA25">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（1）生态环境现状</w:t>
      </w:r>
    </w:p>
    <w:p w14:paraId="71D8C742">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通过评价区现状调查及区域资料分析，</w:t>
      </w:r>
      <w:r>
        <w:rPr>
          <w:rFonts w:hint="default" w:ascii="Times New Roman" w:hAnsi="Times New Roman" w:eastAsia="宋体" w:cs="Times New Roman"/>
          <w:color w:val="auto"/>
          <w:sz w:val="26"/>
          <w:szCs w:val="26"/>
          <w:lang w:val="en-US" w:eastAsia="zh-CN"/>
        </w:rPr>
        <w:t>评价范围内森林生态系统为优势</w:t>
      </w:r>
      <w:r>
        <w:rPr>
          <w:rFonts w:hint="default" w:ascii="Times New Roman" w:hAnsi="Times New Roman" w:eastAsia="宋体" w:cs="Times New Roman"/>
          <w:color w:val="auto"/>
          <w:sz w:val="26"/>
          <w:szCs w:val="26"/>
        </w:rPr>
        <w:t>类型，</w:t>
      </w:r>
      <w:r>
        <w:rPr>
          <w:rFonts w:hint="default" w:ascii="Times New Roman" w:hAnsi="Times New Roman" w:eastAsia="宋体" w:cs="Times New Roman"/>
          <w:color w:val="auto"/>
          <w:sz w:val="26"/>
          <w:szCs w:val="26"/>
          <w:lang w:val="en-US" w:eastAsia="zh-CN"/>
        </w:rPr>
        <w:t>占比50.01%，</w:t>
      </w:r>
      <w:r>
        <w:rPr>
          <w:rFonts w:hint="default" w:ascii="Times New Roman" w:hAnsi="Times New Roman" w:eastAsia="宋体" w:cs="Times New Roman"/>
          <w:color w:val="auto"/>
          <w:sz w:val="26"/>
          <w:szCs w:val="26"/>
        </w:rPr>
        <w:t>植被</w:t>
      </w:r>
      <w:r>
        <w:rPr>
          <w:rFonts w:hint="default" w:ascii="Times New Roman" w:hAnsi="Times New Roman" w:eastAsia="宋体" w:cs="Times New Roman"/>
          <w:color w:val="auto"/>
          <w:sz w:val="26"/>
          <w:szCs w:val="26"/>
          <w:shd w:val="clear" w:fill="FFFFFF"/>
        </w:rPr>
        <w:t>类型中</w:t>
      </w:r>
      <w:r>
        <w:rPr>
          <w:rFonts w:hint="default" w:ascii="Times New Roman" w:hAnsi="Times New Roman" w:eastAsia="宋体" w:cs="Times New Roman"/>
          <w:color w:val="auto"/>
          <w:sz w:val="26"/>
          <w:szCs w:val="26"/>
        </w:rPr>
        <w:t>主要为</w:t>
      </w:r>
      <w:r>
        <w:rPr>
          <w:rFonts w:hint="default" w:ascii="Times New Roman" w:hAnsi="Times New Roman" w:eastAsia="宋体" w:cs="Times New Roman"/>
          <w:color w:val="auto"/>
          <w:sz w:val="26"/>
          <w:szCs w:val="26"/>
          <w:lang w:val="en-US" w:eastAsia="zh-CN"/>
        </w:rPr>
        <w:t>马尾松</w:t>
      </w:r>
      <w:r>
        <w:rPr>
          <w:rFonts w:hint="default" w:ascii="Times New Roman" w:hAnsi="Times New Roman" w:eastAsia="宋体" w:cs="Times New Roman"/>
          <w:color w:val="auto"/>
          <w:sz w:val="26"/>
          <w:szCs w:val="26"/>
        </w:rPr>
        <w:t>林等，林下灌木、草本总体来说较简单，灌草植被群系主要由</w:t>
      </w:r>
      <w:r>
        <w:rPr>
          <w:rFonts w:hint="default" w:ascii="Times New Roman" w:hAnsi="Times New Roman" w:eastAsia="宋体" w:cs="Times New Roman"/>
          <w:color w:val="auto"/>
          <w:sz w:val="26"/>
          <w:szCs w:val="26"/>
          <w:lang w:val="en-US" w:eastAsia="zh-CN"/>
        </w:rPr>
        <w:t>盐麸木、狗脊、芒</w:t>
      </w:r>
      <w:r>
        <w:rPr>
          <w:rFonts w:hint="default" w:ascii="Times New Roman" w:hAnsi="Times New Roman" w:eastAsia="宋体" w:cs="Times New Roman"/>
          <w:color w:val="auto"/>
          <w:sz w:val="26"/>
          <w:szCs w:val="26"/>
        </w:rPr>
        <w:t>等物种组成</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从评价区动物种类组成与分布来看，由于人类活动的影响评价范围内的动物主要为与人类适生的小型动物，以常见的鸟类居多，如麻雀、</w:t>
      </w:r>
      <w:r>
        <w:rPr>
          <w:rFonts w:hint="default" w:ascii="Times New Roman" w:hAnsi="Times New Roman" w:eastAsia="宋体" w:cs="Times New Roman"/>
          <w:color w:val="auto"/>
          <w:sz w:val="26"/>
          <w:szCs w:val="26"/>
          <w:lang w:val="en-US" w:eastAsia="zh-CN"/>
        </w:rPr>
        <w:t>珠颈斑鸠、家燕</w:t>
      </w:r>
      <w:r>
        <w:rPr>
          <w:rFonts w:hint="default" w:ascii="Times New Roman" w:hAnsi="Times New Roman" w:eastAsia="宋体" w:cs="Times New Roman"/>
          <w:color w:val="auto"/>
          <w:sz w:val="26"/>
          <w:szCs w:val="26"/>
        </w:rPr>
        <w:t>等，大型兽类与保护种类较少</w:t>
      </w:r>
      <w:r>
        <w:rPr>
          <w:rFonts w:hint="default" w:ascii="Times New Roman" w:hAnsi="Times New Roman" w:eastAsia="宋体" w:cs="Times New Roman"/>
          <w:color w:val="auto"/>
          <w:sz w:val="26"/>
          <w:szCs w:val="26"/>
          <w:lang w:val="en-US" w:eastAsia="zh-CN"/>
        </w:rPr>
        <w:t>；其次为农田生态系统，占比30.31%</w:t>
      </w:r>
      <w:r>
        <w:rPr>
          <w:rFonts w:hint="default" w:ascii="Times New Roman" w:hAnsi="Times New Roman" w:eastAsia="宋体" w:cs="Times New Roman"/>
          <w:color w:val="auto"/>
          <w:sz w:val="26"/>
          <w:szCs w:val="26"/>
        </w:rPr>
        <w:t>，农作物及农产品占一定植被覆盖比例，</w:t>
      </w:r>
      <w:r>
        <w:rPr>
          <w:rFonts w:hint="default" w:ascii="Times New Roman" w:hAnsi="Times New Roman" w:eastAsia="宋体" w:cs="Times New Roman"/>
          <w:color w:val="auto"/>
          <w:sz w:val="26"/>
          <w:szCs w:val="26"/>
          <w:lang w:val="en-US" w:eastAsia="zh-CN"/>
        </w:rPr>
        <w:t>主要种植水稻、玉米、番薯与豆类为主等</w:t>
      </w:r>
      <w:r>
        <w:rPr>
          <w:rFonts w:hint="default" w:ascii="Times New Roman" w:hAnsi="Times New Roman" w:eastAsia="宋体" w:cs="Times New Roman"/>
          <w:color w:val="auto"/>
          <w:sz w:val="26"/>
          <w:szCs w:val="26"/>
        </w:rPr>
        <w:t>。</w:t>
      </w:r>
    </w:p>
    <w:p w14:paraId="7B9E96D7">
      <w:pPr>
        <w:spacing w:line="480" w:lineRule="exact"/>
        <w:ind w:firstLine="520" w:firstLineChars="200"/>
        <w:rPr>
          <w:rFonts w:hint="default" w:ascii="Times New Roman" w:hAnsi="Times New Roman" w:eastAsia="宋体" w:cs="Times New Roman"/>
          <w:color w:val="auto"/>
          <w:sz w:val="26"/>
          <w:szCs w:val="26"/>
          <w:lang w:eastAsia="zh-CN"/>
        </w:rPr>
      </w:pPr>
      <w:r>
        <w:rPr>
          <w:rFonts w:hint="default" w:ascii="Times New Roman" w:hAnsi="Times New Roman" w:eastAsia="宋体" w:cs="Times New Roman"/>
          <w:color w:val="auto"/>
          <w:sz w:val="26"/>
          <w:szCs w:val="26"/>
        </w:rPr>
        <w:t>（2）外来生物入侵</w:t>
      </w:r>
      <w:r>
        <w:rPr>
          <w:rFonts w:hint="default" w:ascii="Times New Roman" w:hAnsi="Times New Roman" w:eastAsia="宋体" w:cs="Times New Roman"/>
          <w:color w:val="auto"/>
          <w:sz w:val="26"/>
          <w:szCs w:val="26"/>
          <w:lang w:val="en-US" w:eastAsia="zh-CN"/>
        </w:rPr>
        <w:t>问题</w:t>
      </w:r>
    </w:p>
    <w:p w14:paraId="3774CB07">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本项目评价区</w:t>
      </w:r>
      <w:r>
        <w:rPr>
          <w:rFonts w:hint="default" w:ascii="Times New Roman" w:hAnsi="Times New Roman" w:eastAsia="宋体" w:cs="Times New Roman"/>
          <w:color w:val="auto"/>
          <w:sz w:val="26"/>
          <w:szCs w:val="26"/>
          <w:lang w:val="en-US" w:eastAsia="zh-CN"/>
        </w:rPr>
        <w:t>需重点管理的外来入侵植物有空心莲子草、鬼针草（三叶鬼针草）、苏门白酒草、藿香蓟、小蓬草等5种，</w:t>
      </w:r>
      <w:r>
        <w:rPr>
          <w:rFonts w:hint="default" w:ascii="Times New Roman" w:hAnsi="Times New Roman" w:eastAsia="宋体" w:cs="Times New Roman"/>
          <w:snapToGrid w:val="0"/>
          <w:color w:val="auto"/>
          <w:sz w:val="26"/>
          <w:szCs w:val="26"/>
          <w:lang w:val="en-US" w:eastAsia="zh-CN"/>
        </w:rPr>
        <w:t>在路旁、林下等环境中零星分布，</w:t>
      </w:r>
      <w:r>
        <w:rPr>
          <w:rFonts w:hint="default" w:ascii="Times New Roman" w:hAnsi="Times New Roman" w:eastAsia="宋体" w:cs="Times New Roman"/>
          <w:snapToGrid w:val="0"/>
          <w:color w:val="auto"/>
          <w:sz w:val="26"/>
          <w:szCs w:val="26"/>
          <w:lang w:eastAsia="zh-CN"/>
        </w:rPr>
        <w:t>未造成成片入侵状况，</w:t>
      </w:r>
      <w:r>
        <w:rPr>
          <w:rFonts w:hint="default" w:ascii="Times New Roman" w:hAnsi="Times New Roman" w:eastAsia="宋体" w:cs="Times New Roman"/>
          <w:snapToGrid w:val="0"/>
          <w:color w:val="auto"/>
          <w:sz w:val="26"/>
          <w:szCs w:val="26"/>
          <w:lang w:val="en-US" w:eastAsia="zh-CN"/>
        </w:rPr>
        <w:t>且</w:t>
      </w:r>
      <w:r>
        <w:rPr>
          <w:rFonts w:hint="default" w:ascii="Times New Roman" w:hAnsi="Times New Roman" w:eastAsia="宋体" w:cs="Times New Roman"/>
          <w:color w:val="auto"/>
          <w:sz w:val="26"/>
          <w:szCs w:val="26"/>
          <w:lang w:val="en-US" w:eastAsia="zh-CN"/>
        </w:rPr>
        <w:t>尚未发现上述物种对当地生态系统和本土物种产生不利影响</w:t>
      </w:r>
      <w:r>
        <w:rPr>
          <w:rFonts w:hint="default" w:ascii="Times New Roman" w:hAnsi="Times New Roman" w:eastAsia="宋体" w:cs="Times New Roman"/>
          <w:color w:val="auto"/>
          <w:sz w:val="26"/>
          <w:szCs w:val="26"/>
        </w:rPr>
        <w:t>。</w:t>
      </w:r>
    </w:p>
    <w:p w14:paraId="4992C77E">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（3）水土流失问题</w:t>
      </w:r>
    </w:p>
    <w:p w14:paraId="5D3A277F">
      <w:pPr>
        <w:widowControl/>
        <w:adjustRightInd w:val="0"/>
        <w:snapToGrid w:val="0"/>
        <w:spacing w:line="480" w:lineRule="exact"/>
        <w:ind w:firstLine="520" w:firstLineChars="200"/>
        <w:jc w:val="left"/>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eastAsia="zh-CN"/>
        </w:rPr>
        <w:t>评价范围内</w:t>
      </w:r>
      <w:r>
        <w:rPr>
          <w:rFonts w:hint="default" w:ascii="Times New Roman" w:hAnsi="Times New Roman" w:eastAsia="宋体" w:cs="Times New Roman"/>
          <w:color w:val="auto"/>
          <w:sz w:val="26"/>
          <w:szCs w:val="26"/>
        </w:rPr>
        <w:t>主要以微度侵蚀为主，评价区总面积的</w:t>
      </w:r>
      <w:r>
        <w:rPr>
          <w:rFonts w:hint="default" w:ascii="Times New Roman" w:hAnsi="Times New Roman" w:eastAsia="宋体" w:cs="Times New Roman"/>
          <w:color w:val="auto"/>
          <w:sz w:val="26"/>
          <w:szCs w:val="26"/>
          <w:lang w:val="en-US" w:eastAsia="zh-CN"/>
        </w:rPr>
        <w:t>71.16</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snapToGrid w:val="0"/>
          <w:color w:val="auto"/>
          <w:sz w:val="26"/>
          <w:szCs w:val="26"/>
          <w:lang w:val="en-US" w:eastAsia="zh-CN"/>
        </w:rPr>
        <w:t>项目所在地（文龙街道</w:t>
      </w:r>
      <w:r>
        <w:rPr>
          <w:rFonts w:hint="eastAsia" w:ascii="Times New Roman" w:hAnsi="Times New Roman" w:cs="Times New Roman"/>
          <w:snapToGrid w:val="0"/>
          <w:color w:val="auto"/>
          <w:sz w:val="26"/>
          <w:szCs w:val="26"/>
          <w:lang w:val="en-US" w:eastAsia="zh-CN"/>
        </w:rPr>
        <w:t>***</w:t>
      </w:r>
      <w:r>
        <w:rPr>
          <w:rFonts w:hint="default" w:ascii="Times New Roman" w:hAnsi="Times New Roman" w:eastAsia="宋体" w:cs="Times New Roman"/>
          <w:snapToGrid w:val="0"/>
          <w:color w:val="auto"/>
          <w:sz w:val="26"/>
          <w:szCs w:val="26"/>
          <w:lang w:val="en-US" w:eastAsia="zh-CN"/>
        </w:rPr>
        <w:t>村）不属于綦江区水土流失重点预防区和重点治理区</w:t>
      </w:r>
      <w:r>
        <w:rPr>
          <w:rFonts w:hint="default" w:ascii="Times New Roman" w:hAnsi="Times New Roman" w:eastAsia="宋体" w:cs="Times New Roman"/>
          <w:color w:val="auto"/>
          <w:sz w:val="26"/>
          <w:szCs w:val="26"/>
        </w:rPr>
        <w:t>。</w:t>
      </w:r>
    </w:p>
    <w:p w14:paraId="037DD09C">
      <w:pPr>
        <w:adjustRightInd w:val="0"/>
        <w:snapToGrid w:val="0"/>
        <w:spacing w:after="120" w:afterLines="50"/>
        <w:jc w:val="center"/>
        <w:outlineLvl w:val="0"/>
        <w:rPr>
          <w:rFonts w:hint="default" w:ascii="Times New Roman" w:hAnsi="Times New Roman" w:eastAsia="宋体" w:cs="Times New Roman"/>
          <w:b/>
          <w:color w:val="auto"/>
          <w:sz w:val="32"/>
          <w:szCs w:val="32"/>
        </w:rPr>
      </w:pPr>
      <w:r>
        <w:rPr>
          <w:rFonts w:hint="default" w:ascii="Times New Roman" w:hAnsi="Times New Roman" w:eastAsia="宋体" w:cs="Times New Roman"/>
          <w:color w:val="auto"/>
          <w:sz w:val="26"/>
          <w:szCs w:val="28"/>
        </w:rPr>
        <w:br w:type="page"/>
      </w:r>
      <w:bookmarkStart w:id="301" w:name="_Toc16001"/>
      <w:r>
        <w:rPr>
          <w:rFonts w:hint="default" w:ascii="Times New Roman" w:hAnsi="Times New Roman" w:eastAsia="宋体" w:cs="Times New Roman"/>
          <w:b/>
          <w:color w:val="auto"/>
          <w:sz w:val="32"/>
          <w:szCs w:val="32"/>
        </w:rPr>
        <w:t>5施工期环境影响分析</w:t>
      </w:r>
      <w:bookmarkEnd w:id="298"/>
      <w:bookmarkEnd w:id="299"/>
      <w:bookmarkEnd w:id="300"/>
      <w:bookmarkEnd w:id="301"/>
    </w:p>
    <w:p w14:paraId="781EEC5C">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302" w:name="_Toc23247"/>
      <w:bookmarkStart w:id="303" w:name="_Toc2318"/>
      <w:bookmarkStart w:id="304" w:name="_Toc60144403"/>
      <w:bookmarkStart w:id="305" w:name="_Toc45551088"/>
      <w:bookmarkStart w:id="306" w:name="_Toc60144401"/>
      <w:bookmarkStart w:id="307" w:name="_Toc11734"/>
      <w:bookmarkStart w:id="308" w:name="_Toc45551086"/>
      <w:r>
        <w:rPr>
          <w:rFonts w:hint="default" w:ascii="Times New Roman" w:hAnsi="Times New Roman" w:eastAsia="宋体" w:cs="Times New Roman"/>
          <w:b/>
          <w:color w:val="auto"/>
          <w:sz w:val="26"/>
          <w:szCs w:val="26"/>
        </w:rPr>
        <w:t>5.</w:t>
      </w:r>
      <w:r>
        <w:rPr>
          <w:rFonts w:hint="default" w:ascii="Times New Roman" w:hAnsi="Times New Roman" w:eastAsia="宋体" w:cs="Times New Roman"/>
          <w:b/>
          <w:color w:val="auto"/>
          <w:sz w:val="26"/>
          <w:szCs w:val="26"/>
          <w:lang w:val="en-US" w:eastAsia="zh-CN"/>
        </w:rPr>
        <w:t>1</w:t>
      </w:r>
      <w:r>
        <w:rPr>
          <w:rFonts w:hint="default" w:ascii="Times New Roman" w:hAnsi="Times New Roman" w:eastAsia="宋体" w:cs="Times New Roman"/>
          <w:b/>
          <w:color w:val="auto"/>
          <w:sz w:val="26"/>
          <w:szCs w:val="26"/>
        </w:rPr>
        <w:t>环境空气影响分析</w:t>
      </w:r>
      <w:bookmarkEnd w:id="302"/>
      <w:bookmarkEnd w:id="303"/>
      <w:bookmarkEnd w:id="304"/>
      <w:bookmarkEnd w:id="305"/>
    </w:p>
    <w:p w14:paraId="7E823F5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施工期产生的废气主要为施工扬尘、少量施工机具尾气、少量焊接烟尘及</w:t>
      </w:r>
      <w:r>
        <w:rPr>
          <w:rFonts w:hint="default" w:ascii="Times New Roman" w:hAnsi="Times New Roman" w:eastAsia="宋体" w:cs="Times New Roman"/>
          <w:color w:val="auto"/>
          <w:lang w:val="en-US" w:eastAsia="zh-CN"/>
        </w:rPr>
        <w:t>停气置换</w:t>
      </w:r>
      <w:r>
        <w:rPr>
          <w:rFonts w:hint="default" w:ascii="Times New Roman" w:hAnsi="Times New Roman" w:eastAsia="宋体" w:cs="Times New Roman"/>
          <w:color w:val="auto"/>
        </w:rPr>
        <w:t>放空废气。</w:t>
      </w:r>
    </w:p>
    <w:p w14:paraId="4D9CEF11">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（1）施工扬尘</w:t>
      </w:r>
    </w:p>
    <w:p w14:paraId="6F24CF1A">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工程的扬尘主要产生于两个部分：管沟开挖、填埋、土石方堆放和车辆运输过程产生的扬尘。施工期间产生的扬尘污染主要取决于施工作业方式、材料的堆放以及风力等因素，其中受风力的影响因素最大，随着风速的增大，施工扬尘的污染程度和超标范围也将随之增强和扩大。</w:t>
      </w:r>
    </w:p>
    <w:p w14:paraId="50FD1C1F">
      <w:pPr>
        <w:pStyle w:val="56"/>
        <w:keepNext w:val="0"/>
        <w:keepLines w:val="0"/>
        <w:pageBreakBefore w:val="0"/>
        <w:widowControl/>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管道开挖、填埋、土石方堆放过程为分段进行，每段施工时间较短，作业带内产生的扬尘为无组织面源排放，根据类似工程调查</w:t>
      </w:r>
      <w:r>
        <w:rPr>
          <w:rFonts w:hint="default" w:ascii="Times New Roman" w:hAnsi="Times New Roman" w:eastAsia="宋体" w:cs="Times New Roman"/>
          <w:color w:val="auto"/>
          <w:lang w:val="en-US" w:eastAsia="zh-CN"/>
        </w:rPr>
        <w:t>分析</w:t>
      </w:r>
      <w:r>
        <w:rPr>
          <w:rFonts w:hint="default" w:ascii="Times New Roman" w:hAnsi="Times New Roman" w:eastAsia="宋体" w:cs="Times New Roman"/>
          <w:color w:val="auto"/>
        </w:rPr>
        <w:t>：在大风情况下施工现场下风向1m处扬尘浓度可达3mg/m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以上，25m处为1.53mg/m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，下风向60m范围内TSP浓度超标。管道沿线的较近</w:t>
      </w:r>
      <w:r>
        <w:rPr>
          <w:rFonts w:hint="default" w:ascii="Times New Roman" w:hAnsi="Times New Roman" w:eastAsia="宋体" w:cs="Times New Roman"/>
          <w:color w:val="auto"/>
          <w:shd w:val="clear" w:fill="FFFFFF"/>
        </w:rPr>
        <w:t>居住民</w:t>
      </w:r>
      <w:r>
        <w:rPr>
          <w:rFonts w:hint="default" w:ascii="Times New Roman" w:hAnsi="Times New Roman" w:eastAsia="宋体" w:cs="Times New Roman"/>
          <w:color w:val="auto"/>
        </w:rPr>
        <w:t>施工期内会受到施工扬尘的影响，但由于施工过程为分段进行，施工时间较短，且以上地段管道沿线土壤多比较湿润，因此总体而言，管线施工作业扬尘污染是短时的，且影响不会很大。在采取合理化管理、作业面和土堆适当喷水、土堆和建筑材料遮盖、大风天停止作业等措施后，施工扬尘对周围保护目标的影响会大为降低。</w:t>
      </w:r>
    </w:p>
    <w:p w14:paraId="5F3F770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汽车施工阶段运输过程中，也会产生扬尘污染。扬尘量、粒径大小等与多种因素有关，如路面状况、车辆行驶速度、载重量、天气情况等。其中风速、风向等天气状况直接影响扬尘的传输方向和距离。由于汽车运输过程中产生的扬尘时间短、扬尘落地快、影响范围主要集中在运输道路两侧，故汽车运输扬尘对周边的环境空气影响程度和范围较小，影响时间也较短。如果采用道路定时洒水抑尘、车辆不要装载过满并采取密闭或遮盖措施，可大大减少运输扬尘对周围环境空气的影响。</w:t>
      </w:r>
    </w:p>
    <w:p w14:paraId="3BD7FB0D">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总体而言，施工期扬尘对管道沿</w:t>
      </w:r>
      <w:r>
        <w:rPr>
          <w:rFonts w:hint="default" w:ascii="Times New Roman" w:hAnsi="Times New Roman" w:eastAsia="宋体" w:cs="Times New Roman"/>
          <w:color w:val="auto"/>
          <w:shd w:val="clear" w:fill="FFFFFF"/>
        </w:rPr>
        <w:t>经</w:t>
      </w:r>
      <w:r>
        <w:rPr>
          <w:rFonts w:hint="default" w:ascii="Times New Roman" w:hAnsi="Times New Roman" w:eastAsia="宋体" w:cs="Times New Roman"/>
          <w:color w:val="auto"/>
        </w:rPr>
        <w:t>各大气敏感点影响很小，属可接受范围。</w:t>
      </w:r>
    </w:p>
    <w:p w14:paraId="768AD1C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（2）机具尾气</w:t>
      </w:r>
    </w:p>
    <w:p w14:paraId="060BD46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在管道建设过</w:t>
      </w:r>
      <w:r>
        <w:rPr>
          <w:rFonts w:hint="default" w:ascii="Times New Roman" w:hAnsi="Times New Roman" w:eastAsia="宋体" w:cs="Times New Roman"/>
          <w:color w:val="auto"/>
          <w:shd w:val="clear" w:fill="FFFFFF"/>
        </w:rPr>
        <w:t>程</w:t>
      </w:r>
      <w:r>
        <w:rPr>
          <w:rFonts w:hint="default" w:ascii="Times New Roman" w:hAnsi="Times New Roman" w:eastAsia="宋体" w:cs="Times New Roman"/>
          <w:color w:val="auto"/>
        </w:rPr>
        <w:t>，会使用工程机械和运输车辆，其工作时排放的尾气主要污染物是</w:t>
      </w:r>
      <w:r>
        <w:rPr>
          <w:rFonts w:hint="default" w:ascii="Times New Roman" w:hAnsi="Times New Roman" w:eastAsia="宋体" w:cs="Times New Roman"/>
          <w:color w:val="auto"/>
          <w:shd w:val="clear" w:fill="FFFFFF"/>
        </w:rPr>
        <w:t>C</w:t>
      </w:r>
      <w:r>
        <w:rPr>
          <w:rFonts w:hint="default" w:ascii="Times New Roman" w:hAnsi="Times New Roman" w:eastAsia="宋体" w:cs="Times New Roman"/>
          <w:color w:val="auto"/>
          <w:shd w:val="clear" w:fill="FFFFFF"/>
          <w:vertAlign w:val="subscript"/>
        </w:rPr>
        <w:t>m</w:t>
      </w:r>
      <w:r>
        <w:rPr>
          <w:rFonts w:hint="default" w:ascii="Times New Roman" w:hAnsi="Times New Roman" w:eastAsia="宋体" w:cs="Times New Roman"/>
          <w:color w:val="auto"/>
          <w:shd w:val="clear" w:fill="FFFFFF"/>
        </w:rPr>
        <w:t>H</w:t>
      </w:r>
      <w:r>
        <w:rPr>
          <w:rFonts w:hint="default" w:ascii="Times New Roman" w:hAnsi="Times New Roman" w:eastAsia="宋体" w:cs="Times New Roman"/>
          <w:color w:val="auto"/>
          <w:shd w:val="clear" w:fill="FFFFFF"/>
          <w:vertAlign w:val="subscript"/>
        </w:rPr>
        <w:t>n</w:t>
      </w:r>
      <w:r>
        <w:rPr>
          <w:rFonts w:hint="default" w:ascii="Times New Roman" w:hAnsi="Times New Roman" w:eastAsia="宋体" w:cs="Times New Roman"/>
          <w:color w:val="auto"/>
        </w:rPr>
        <w:t>、CO、NO</w:t>
      </w:r>
      <w:r>
        <w:rPr>
          <w:rFonts w:hint="default" w:ascii="Times New Roman" w:hAnsi="Times New Roman" w:eastAsia="宋体" w:cs="Times New Roman"/>
          <w:color w:val="auto"/>
          <w:vertAlign w:val="subscript"/>
        </w:rPr>
        <w:t>x</w:t>
      </w:r>
      <w:r>
        <w:rPr>
          <w:rFonts w:hint="default" w:ascii="Times New Roman" w:hAnsi="Times New Roman" w:eastAsia="宋体" w:cs="Times New Roman"/>
          <w:color w:val="auto"/>
        </w:rPr>
        <w:t>等。</w:t>
      </w:r>
      <w:bookmarkStart w:id="309" w:name="_Hlk2169870"/>
      <w:r>
        <w:rPr>
          <w:rFonts w:hint="default" w:ascii="Times New Roman" w:hAnsi="Times New Roman" w:eastAsia="宋体" w:cs="Times New Roman"/>
          <w:color w:val="auto"/>
        </w:rPr>
        <w:t>由于本项目是线性工程，施工期较短，产生的废气量</w:t>
      </w:r>
      <w:r>
        <w:rPr>
          <w:rFonts w:hint="default" w:ascii="Times New Roman" w:hAnsi="Times New Roman" w:eastAsia="宋体" w:cs="Times New Roman"/>
          <w:color w:val="auto"/>
          <w:shd w:val="clear" w:fill="FFFFFF"/>
        </w:rPr>
        <w:t>较小</w:t>
      </w:r>
      <w:r>
        <w:rPr>
          <w:rFonts w:hint="default" w:ascii="Times New Roman" w:hAnsi="Times New Roman" w:eastAsia="宋体" w:cs="Times New Roman"/>
          <w:color w:val="auto"/>
        </w:rPr>
        <w:t>，项目选用先进</w:t>
      </w:r>
      <w:r>
        <w:rPr>
          <w:rFonts w:hint="default" w:ascii="Times New Roman" w:hAnsi="Times New Roman" w:eastAsia="宋体" w:cs="Times New Roman"/>
          <w:color w:val="auto"/>
          <w:lang w:val="en-US" w:eastAsia="zh-CN"/>
        </w:rPr>
        <w:t>施工机械和</w:t>
      </w:r>
      <w:r>
        <w:rPr>
          <w:rFonts w:hint="default" w:ascii="Times New Roman" w:hAnsi="Times New Roman" w:eastAsia="宋体" w:cs="Times New Roman"/>
          <w:color w:val="auto"/>
        </w:rPr>
        <w:t>设备，</w:t>
      </w:r>
      <w:r>
        <w:rPr>
          <w:rFonts w:hint="default" w:ascii="Times New Roman" w:hAnsi="Times New Roman" w:eastAsia="宋体" w:cs="Times New Roman"/>
          <w:color w:val="auto"/>
          <w:lang w:val="en-US" w:eastAsia="zh-CN"/>
        </w:rPr>
        <w:t>减少油耗和燃油</w:t>
      </w:r>
      <w:r>
        <w:rPr>
          <w:rFonts w:hint="default" w:ascii="Times New Roman" w:hAnsi="Times New Roman" w:eastAsia="宋体" w:cs="Times New Roman"/>
          <w:color w:val="auto"/>
          <w:shd w:val="clear" w:fill="FFFFFF"/>
          <w:lang w:val="en-US" w:eastAsia="zh-CN"/>
        </w:rPr>
        <w:t>废气</w:t>
      </w:r>
      <w:r>
        <w:rPr>
          <w:rFonts w:hint="default" w:ascii="Times New Roman" w:hAnsi="Times New Roman" w:eastAsia="宋体" w:cs="Times New Roman"/>
          <w:color w:val="auto"/>
          <w:lang w:val="en-US" w:eastAsia="zh-CN"/>
        </w:rPr>
        <w:t>污染，</w:t>
      </w:r>
      <w:r>
        <w:rPr>
          <w:rFonts w:hint="default" w:ascii="Times New Roman" w:hAnsi="Times New Roman" w:eastAsia="宋体" w:cs="Times New Roman"/>
          <w:color w:val="auto"/>
        </w:rPr>
        <w:t>加强施工机械维修、保养，确保其处于最佳工作状态，</w:t>
      </w:r>
      <w:r>
        <w:rPr>
          <w:rFonts w:hint="default" w:ascii="Times New Roman" w:hAnsi="Times New Roman" w:eastAsia="宋体" w:cs="Times New Roman"/>
          <w:color w:val="auto"/>
          <w:lang w:val="en-US" w:eastAsia="zh-CN"/>
        </w:rPr>
        <w:t>合理施工布局和安排运输时段，</w:t>
      </w:r>
      <w:r>
        <w:rPr>
          <w:rFonts w:hint="default" w:ascii="Times New Roman" w:hAnsi="Times New Roman" w:eastAsia="宋体" w:cs="Times New Roman"/>
          <w:color w:val="auto"/>
        </w:rPr>
        <w:t>同时施工现场位于开阔地带，有利于废气扩散，</w:t>
      </w:r>
      <w:bookmarkEnd w:id="309"/>
      <w:r>
        <w:rPr>
          <w:rFonts w:hint="default" w:ascii="Times New Roman" w:hAnsi="Times New Roman" w:eastAsia="宋体" w:cs="Times New Roman"/>
          <w:color w:val="auto"/>
        </w:rPr>
        <w:t>且施工机械排放的尾气具有间歇性和流动性，该类污染源对大气环境的影响较轻。</w:t>
      </w:r>
    </w:p>
    <w:p w14:paraId="5FBF3B1C">
      <w:pPr>
        <w:pStyle w:val="56"/>
        <w:rPr>
          <w:rFonts w:hint="default" w:ascii="Times New Roman" w:hAnsi="Times New Roman" w:eastAsia="宋体" w:cs="Times New Roman"/>
          <w:color w:val="auto"/>
        </w:rPr>
      </w:pPr>
      <w:bookmarkStart w:id="310" w:name="_Hlk2170056"/>
      <w:r>
        <w:rPr>
          <w:rFonts w:hint="default" w:ascii="Times New Roman" w:hAnsi="Times New Roman" w:eastAsia="宋体" w:cs="Times New Roman"/>
          <w:color w:val="auto"/>
        </w:rPr>
        <w:t>（3）焊接烟尘</w:t>
      </w:r>
    </w:p>
    <w:p w14:paraId="22E7E55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管道焊接过程中会产生少量焊接烟气，焊接工艺在开阔空间完成，焊接时间短，同时使用优质环保焊条，废气排放量小且间断性排放，对环境空气的影响有限。</w:t>
      </w:r>
    </w:p>
    <w:p w14:paraId="0515738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（4）</w:t>
      </w:r>
      <w:r>
        <w:rPr>
          <w:rFonts w:hint="default" w:ascii="Times New Roman" w:hAnsi="Times New Roman" w:eastAsia="宋体" w:cs="Times New Roman"/>
          <w:color w:val="auto"/>
          <w:lang w:val="en-US" w:eastAsia="zh-CN"/>
        </w:rPr>
        <w:t>停气置换</w:t>
      </w:r>
      <w:r>
        <w:rPr>
          <w:rFonts w:hint="default" w:ascii="Times New Roman" w:hAnsi="Times New Roman" w:eastAsia="宋体" w:cs="Times New Roman"/>
          <w:color w:val="auto"/>
        </w:rPr>
        <w:t>放空废气</w:t>
      </w:r>
    </w:p>
    <w:p w14:paraId="093D7D16">
      <w:pPr>
        <w:pStyle w:val="56"/>
        <w:rPr>
          <w:rFonts w:hint="default" w:ascii="Times New Roman" w:hAnsi="Times New Roman" w:eastAsia="宋体" w:cs="Times New Roman"/>
          <w:bCs/>
          <w:color w:val="auto"/>
        </w:rPr>
      </w:pPr>
      <w:r>
        <w:rPr>
          <w:rFonts w:hint="default" w:ascii="Times New Roman" w:hAnsi="Times New Roman" w:eastAsia="宋体" w:cs="Times New Roman"/>
          <w:bCs/>
          <w:color w:val="auto"/>
        </w:rPr>
        <w:t>主要为</w:t>
      </w:r>
      <w:r>
        <w:rPr>
          <w:rFonts w:hint="default" w:ascii="Times New Roman" w:hAnsi="Times New Roman" w:eastAsia="宋体" w:cs="Times New Roman"/>
          <w:color w:val="auto"/>
        </w:rPr>
        <w:t>管道</w:t>
      </w:r>
      <w:r>
        <w:rPr>
          <w:rFonts w:hint="default" w:ascii="Times New Roman" w:hAnsi="Times New Roman" w:eastAsia="宋体" w:cs="Times New Roman"/>
          <w:color w:val="auto"/>
          <w:shd w:val="clear" w:fill="FFFFFF"/>
        </w:rPr>
        <w:t>碰口</w:t>
      </w:r>
      <w:r>
        <w:rPr>
          <w:rFonts w:hint="default" w:ascii="Times New Roman" w:hAnsi="Times New Roman" w:eastAsia="宋体" w:cs="Times New Roman"/>
          <w:color w:val="auto"/>
        </w:rPr>
        <w:t>前氮气置换天然气后点火放空产生的CO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O。点火放空依托改线管道</w:t>
      </w:r>
      <w:r>
        <w:rPr>
          <w:rFonts w:hint="default" w:ascii="Times New Roman" w:hAnsi="Times New Roman" w:eastAsia="宋体" w:cs="Times New Roman"/>
          <w:color w:val="auto"/>
          <w:lang w:val="en-US" w:eastAsia="zh-CN"/>
        </w:rPr>
        <w:t>一</w:t>
      </w:r>
      <w:r>
        <w:rPr>
          <w:rFonts w:hint="default" w:ascii="Times New Roman" w:hAnsi="Times New Roman" w:eastAsia="宋体" w:cs="Times New Roman"/>
          <w:color w:val="auto"/>
        </w:rPr>
        <w:t>端</w:t>
      </w:r>
      <w:r>
        <w:rPr>
          <w:rFonts w:hint="default" w:ascii="Times New Roman" w:hAnsi="Times New Roman" w:eastAsia="宋体" w:cs="Times New Roman"/>
          <w:color w:val="auto"/>
          <w:lang w:val="en-US" w:eastAsia="zh-CN"/>
        </w:rPr>
        <w:t>的新盛站</w:t>
      </w:r>
      <w:r>
        <w:rPr>
          <w:rFonts w:hint="default" w:ascii="Times New Roman" w:hAnsi="Times New Roman" w:eastAsia="宋体" w:cs="Times New Roman"/>
          <w:color w:val="auto"/>
        </w:rPr>
        <w:t>站场进行。</w:t>
      </w:r>
      <w:r>
        <w:rPr>
          <w:rFonts w:hint="default" w:ascii="Times New Roman" w:hAnsi="Times New Roman" w:eastAsia="宋体" w:cs="Times New Roman"/>
          <w:color w:val="auto"/>
          <w:shd w:val="clear" w:fill="FFFFFF"/>
        </w:rPr>
        <w:t>放空区</w:t>
      </w:r>
      <w:r>
        <w:rPr>
          <w:rFonts w:hint="default" w:ascii="Times New Roman" w:hAnsi="Times New Roman" w:eastAsia="宋体" w:cs="Times New Roman"/>
          <w:color w:val="auto"/>
        </w:rPr>
        <w:t>位于空旷开阔地段，废气扩散后不会对当地大气环境造成明显影响。</w:t>
      </w:r>
    </w:p>
    <w:p w14:paraId="3EDCEF1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总的来说，采取积极的大气污染防治措施后，工程施工对周边环境空气影响较小，可接受。</w:t>
      </w:r>
      <w:bookmarkEnd w:id="310"/>
    </w:p>
    <w:p w14:paraId="01915C96">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311" w:name="_Toc24852"/>
      <w:r>
        <w:rPr>
          <w:rFonts w:hint="default" w:ascii="Times New Roman" w:hAnsi="Times New Roman" w:eastAsia="宋体" w:cs="Times New Roman"/>
          <w:b/>
          <w:color w:val="auto"/>
          <w:sz w:val="26"/>
          <w:szCs w:val="26"/>
        </w:rPr>
        <w:t>5.</w:t>
      </w:r>
      <w:r>
        <w:rPr>
          <w:rFonts w:hint="default" w:ascii="Times New Roman" w:hAnsi="Times New Roman" w:eastAsia="宋体" w:cs="Times New Roman"/>
          <w:b/>
          <w:color w:val="auto"/>
          <w:sz w:val="26"/>
          <w:szCs w:val="26"/>
          <w:lang w:val="en-US" w:eastAsia="zh-CN"/>
        </w:rPr>
        <w:t>2</w:t>
      </w:r>
      <w:r>
        <w:rPr>
          <w:rFonts w:hint="default" w:ascii="Times New Roman" w:hAnsi="Times New Roman" w:eastAsia="宋体" w:cs="Times New Roman"/>
          <w:b/>
          <w:color w:val="auto"/>
          <w:sz w:val="26"/>
          <w:szCs w:val="26"/>
        </w:rPr>
        <w:t>地表水环境影响分析</w:t>
      </w:r>
      <w:bookmarkEnd w:id="306"/>
      <w:bookmarkEnd w:id="307"/>
      <w:bookmarkEnd w:id="308"/>
      <w:bookmarkEnd w:id="311"/>
    </w:p>
    <w:p w14:paraId="713BF94A">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w:t>
      </w:r>
      <w:r>
        <w:rPr>
          <w:rFonts w:hint="default" w:ascii="Times New Roman" w:hAnsi="Times New Roman" w:eastAsia="宋体" w:cs="Times New Roman"/>
          <w:color w:val="auto"/>
        </w:rPr>
        <w:t>项目穿越</w:t>
      </w:r>
      <w:r>
        <w:rPr>
          <w:rFonts w:hint="default" w:ascii="Times New Roman" w:hAnsi="Times New Roman" w:eastAsia="宋体" w:cs="Times New Roman"/>
          <w:color w:val="auto"/>
          <w:lang w:val="en-US" w:eastAsia="zh-CN"/>
        </w:rPr>
        <w:t>无名沟渠1次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季节性沟渠</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施工期对地表水环境的影响主要为</w:t>
      </w:r>
      <w:r>
        <w:rPr>
          <w:rFonts w:hint="default" w:ascii="Times New Roman" w:hAnsi="Times New Roman" w:eastAsia="宋体" w:cs="Times New Roman"/>
          <w:color w:val="auto"/>
          <w:lang w:val="en-US" w:eastAsia="zh-CN"/>
        </w:rPr>
        <w:t>施工废水、</w:t>
      </w:r>
      <w:r>
        <w:rPr>
          <w:rFonts w:hint="default" w:ascii="Times New Roman" w:hAnsi="Times New Roman" w:eastAsia="宋体" w:cs="Times New Roman"/>
          <w:color w:val="auto"/>
        </w:rPr>
        <w:t>试压废水、生活污水等对环境的影响。</w:t>
      </w:r>
    </w:p>
    <w:p w14:paraId="4DD18779">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施工废水</w:t>
      </w:r>
    </w:p>
    <w:p w14:paraId="0F67B1AC">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施工作业过程中会产生少量施工废水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悬浮物浓度较高</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还有少量石油类，</w:t>
      </w:r>
      <w:r>
        <w:rPr>
          <w:rFonts w:hint="default" w:ascii="Times New Roman" w:hAnsi="Times New Roman" w:eastAsia="宋体" w:cs="Times New Roman"/>
          <w:color w:val="auto"/>
        </w:rPr>
        <w:t>根据类比调查，这部分废水经</w:t>
      </w:r>
      <w:r>
        <w:rPr>
          <w:rFonts w:hint="default" w:ascii="Times New Roman" w:hAnsi="Times New Roman" w:eastAsia="宋体" w:cs="Times New Roman"/>
          <w:color w:val="auto"/>
          <w:lang w:val="en-US" w:eastAsia="zh-CN"/>
        </w:rPr>
        <w:t>隔油沉淀</w:t>
      </w:r>
      <w:r>
        <w:rPr>
          <w:rFonts w:hint="default" w:ascii="Times New Roman" w:hAnsi="Times New Roman" w:eastAsia="宋体" w:cs="Times New Roman"/>
          <w:color w:val="auto"/>
          <w:shd w:val="clear" w:fill="FFFFFF"/>
          <w:lang w:val="en-US" w:eastAsia="zh-CN"/>
        </w:rPr>
        <w:t>处理后</w:t>
      </w:r>
      <w:r>
        <w:rPr>
          <w:rFonts w:hint="default" w:ascii="Times New Roman" w:hAnsi="Times New Roman" w:eastAsia="宋体" w:cs="Times New Roman"/>
          <w:color w:val="auto"/>
          <w:shd w:val="clear" w:fill="FFFFFF"/>
        </w:rPr>
        <w:t>后</w:t>
      </w:r>
      <w:r>
        <w:rPr>
          <w:rFonts w:hint="default" w:ascii="Times New Roman" w:hAnsi="Times New Roman" w:eastAsia="宋体" w:cs="Times New Roman"/>
          <w:color w:val="auto"/>
        </w:rPr>
        <w:t>可循环使用于施工作业带</w:t>
      </w:r>
      <w:r>
        <w:rPr>
          <w:rFonts w:hint="default" w:ascii="Times New Roman" w:hAnsi="Times New Roman" w:eastAsia="宋体" w:cs="Times New Roman"/>
          <w:color w:val="auto"/>
          <w:lang w:val="en-US" w:eastAsia="zh-CN"/>
        </w:rPr>
        <w:t>洒</w:t>
      </w:r>
      <w:r>
        <w:rPr>
          <w:rFonts w:hint="default" w:ascii="Times New Roman" w:hAnsi="Times New Roman" w:eastAsia="宋体" w:cs="Times New Roman"/>
          <w:color w:val="auto"/>
        </w:rPr>
        <w:t>水降尘</w:t>
      </w:r>
      <w:r>
        <w:rPr>
          <w:rFonts w:hint="default" w:ascii="Times New Roman" w:hAnsi="Times New Roman" w:eastAsia="宋体" w:cs="Times New Roman"/>
          <w:color w:val="auto"/>
          <w:lang w:val="en-US" w:eastAsia="zh-CN"/>
        </w:rPr>
        <w:t>或</w:t>
      </w:r>
      <w:r>
        <w:rPr>
          <w:rFonts w:hint="default" w:ascii="Times New Roman" w:hAnsi="Times New Roman" w:eastAsia="宋体" w:cs="Times New Roman"/>
          <w:color w:val="auto"/>
          <w:sz w:val="26"/>
          <w:szCs w:val="26"/>
          <w:lang w:val="en-US" w:eastAsia="zh-CN"/>
        </w:rPr>
        <w:t>回用作为施工用水</w:t>
      </w:r>
      <w:r>
        <w:rPr>
          <w:rFonts w:hint="default" w:ascii="Times New Roman" w:hAnsi="Times New Roman" w:eastAsia="宋体" w:cs="Times New Roman"/>
          <w:color w:val="auto"/>
        </w:rPr>
        <w:t>，不外排。因此，项目施工期产生的施工废水不会对当地地表水环境造成明显不利影响。</w:t>
      </w:r>
    </w:p>
    <w:p w14:paraId="31C00A97">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综上所述，拟建项目施工期产生的废水不会对当地地表水环境造成明显不利影响。</w:t>
      </w:r>
    </w:p>
    <w:p w14:paraId="68022EA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）试压废水</w:t>
      </w:r>
    </w:p>
    <w:p w14:paraId="3F4DE39D">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项目管道采用清水试压，试压废水沉淀后回用于设备、车辆冲洗和场地洒水降尘，杜绝不经处理任意排放。</w:t>
      </w:r>
    </w:p>
    <w:p w14:paraId="2C84D1B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）生活污水</w:t>
      </w:r>
    </w:p>
    <w:p w14:paraId="36F62DB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根据以往施工经验，施工队伍的食宿一般依托当地的民房等，施工期生活污水主要依托当地现有生活污水处理系统。因此，对地表水环境影响较小。</w:t>
      </w:r>
    </w:p>
    <w:p w14:paraId="2184AECD">
      <w:pPr>
        <w:adjustRightInd w:val="0"/>
        <w:snapToGrid w:val="0"/>
        <w:spacing w:line="500" w:lineRule="exact"/>
        <w:ind w:firstLine="520" w:firstLineChars="2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（4）对饮用水源保护区的影响</w:t>
      </w:r>
    </w:p>
    <w:p w14:paraId="5A9AD94B">
      <w:pPr>
        <w:adjustRightInd w:val="0"/>
        <w:snapToGrid w:val="0"/>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val="en-US" w:eastAsia="zh-CN"/>
        </w:rPr>
        <w:t>迁改管段位于綦江区文龙街道薄刀岭水库新盛水厂水源地上游，距离饮用水水源保护区陆域保护范围最近距离约68m，水域保护范围最近距离约100m，该水域范围现状为干涸状态；取水口最近距离约553m。因此</w:t>
      </w:r>
      <w:r>
        <w:rPr>
          <w:rFonts w:hint="default" w:ascii="Times New Roman" w:hAnsi="Times New Roman" w:eastAsia="宋体" w:cs="Times New Roman"/>
          <w:color w:val="auto"/>
          <w:sz w:val="26"/>
          <w:szCs w:val="26"/>
        </w:rPr>
        <w:t>，施工过程中及时对裸露地面和临时堆土采取拦挡、覆盖措施；加强施工管理，严禁将施工弃渣、弃土、垃圾以及未经处理的废水直接倾倒至地表水体。在采取进一步加强施工管理，严禁排放污废水等措施后，对地表水环境影响小。</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07"/>
        <w:gridCol w:w="3439"/>
      </w:tblGrid>
      <w:tr w14:paraId="4E481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078" w:type="pct"/>
            <w:noWrap w:val="0"/>
            <w:vAlign w:val="center"/>
          </w:tcPr>
          <w:p w14:paraId="598E71E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vertAlign w:val="baseline"/>
                <w:lang w:val="en-US" w:eastAsia="zh-CN"/>
              </w:rPr>
              <w:t>***</w:t>
            </w:r>
          </w:p>
        </w:tc>
        <w:tc>
          <w:tcPr>
            <w:tcW w:w="1921" w:type="pct"/>
            <w:noWrap w:val="0"/>
            <w:vAlign w:val="center"/>
          </w:tcPr>
          <w:p w14:paraId="69D7C8A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vertAlign w:val="baseline"/>
                <w:lang w:val="en-US" w:eastAsia="zh-CN"/>
              </w:rPr>
              <w:t>***</w:t>
            </w:r>
          </w:p>
        </w:tc>
      </w:tr>
      <w:tr w14:paraId="4ED0D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078" w:type="pct"/>
            <w:noWrap w:val="0"/>
            <w:vAlign w:val="center"/>
          </w:tcPr>
          <w:p w14:paraId="54FB12E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图1点水库现状</w:t>
            </w:r>
          </w:p>
        </w:tc>
        <w:tc>
          <w:tcPr>
            <w:tcW w:w="1921" w:type="pct"/>
            <w:noWrap w:val="0"/>
            <w:vAlign w:val="center"/>
          </w:tcPr>
          <w:p w14:paraId="7455BD5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图2点水库现状</w:t>
            </w:r>
          </w:p>
        </w:tc>
      </w:tr>
      <w:tr w14:paraId="1D8B5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078" w:type="pct"/>
            <w:noWrap w:val="0"/>
            <w:vAlign w:val="center"/>
          </w:tcPr>
          <w:p w14:paraId="62AE0D7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vertAlign w:val="baseline"/>
                <w:lang w:val="en-US" w:eastAsia="zh-CN"/>
              </w:rPr>
              <w:t>***</w:t>
            </w:r>
          </w:p>
        </w:tc>
        <w:tc>
          <w:tcPr>
            <w:tcW w:w="1921" w:type="pct"/>
            <w:noWrap w:val="0"/>
            <w:vAlign w:val="center"/>
          </w:tcPr>
          <w:p w14:paraId="55D286B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vertAlign w:val="baseline"/>
                <w:lang w:val="en-US" w:eastAsia="zh-CN"/>
              </w:rPr>
              <w:t>***</w:t>
            </w:r>
          </w:p>
        </w:tc>
      </w:tr>
      <w:tr w14:paraId="7325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078" w:type="pct"/>
            <w:noWrap w:val="0"/>
            <w:vAlign w:val="center"/>
          </w:tcPr>
          <w:p w14:paraId="67CD43C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水域现状</w:t>
            </w:r>
          </w:p>
        </w:tc>
        <w:tc>
          <w:tcPr>
            <w:tcW w:w="1921" w:type="pct"/>
            <w:noWrap w:val="0"/>
            <w:vAlign w:val="center"/>
          </w:tcPr>
          <w:p w14:paraId="653C415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取水口标识</w:t>
            </w:r>
          </w:p>
        </w:tc>
      </w:tr>
      <w:tr w14:paraId="44240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000" w:type="pct"/>
            <w:gridSpan w:val="2"/>
            <w:noWrap w:val="0"/>
            <w:vAlign w:val="center"/>
          </w:tcPr>
          <w:p w14:paraId="41FDAE4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eastAsia="zh-CN"/>
              </w:rPr>
            </w:pPr>
            <w:r>
              <w:rPr>
                <w:rFonts w:hint="eastAsia" w:ascii="Times New Roman" w:hAnsi="Times New Roman" w:cs="Times New Roman"/>
                <w:color w:val="auto"/>
                <w:vertAlign w:val="baseline"/>
                <w:lang w:val="en-US" w:eastAsia="zh-CN"/>
              </w:rPr>
              <w:t>***</w:t>
            </w:r>
          </w:p>
        </w:tc>
      </w:tr>
      <w:tr w14:paraId="4B56C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000" w:type="pct"/>
            <w:gridSpan w:val="2"/>
            <w:noWrap w:val="0"/>
            <w:vAlign w:val="center"/>
          </w:tcPr>
          <w:p w14:paraId="11A52F6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bookmarkStart w:id="312" w:name="_Toc60144402"/>
            <w:bookmarkStart w:id="313" w:name="_Toc45551087"/>
            <w:bookmarkStart w:id="314" w:name="_Toc23291"/>
            <w:r>
              <w:rPr>
                <w:rFonts w:hint="default" w:ascii="Times New Roman" w:hAnsi="Times New Roman" w:eastAsia="宋体" w:cs="Times New Roman"/>
                <w:color w:val="auto"/>
                <w:lang w:val="en-US" w:eastAsia="zh-CN"/>
              </w:rPr>
              <w:t>本项目与薄刀峡水库位置示意图</w:t>
            </w:r>
          </w:p>
        </w:tc>
      </w:tr>
    </w:tbl>
    <w:p w14:paraId="0348DE7C">
      <w:pPr>
        <w:adjustRightInd w:val="0"/>
        <w:snapToGrid w:val="0"/>
        <w:spacing w:line="500" w:lineRule="exact"/>
        <w:ind w:firstLine="520" w:firstLineChars="200"/>
        <w:rPr>
          <w:rFonts w:hint="default" w:ascii="Times New Roman" w:hAnsi="Times New Roman" w:eastAsia="宋体" w:cs="Times New Roman"/>
          <w:color w:val="auto"/>
          <w:sz w:val="26"/>
          <w:szCs w:val="26"/>
          <w:lang w:val="en-US" w:eastAsia="zh-CN"/>
        </w:rPr>
      </w:pPr>
      <w:bookmarkStart w:id="315" w:name="_Toc12396"/>
      <w:r>
        <w:rPr>
          <w:rFonts w:hint="default" w:ascii="Times New Roman" w:hAnsi="Times New Roman" w:eastAsia="宋体" w:cs="Times New Roman"/>
          <w:color w:val="auto"/>
          <w:sz w:val="26"/>
          <w:szCs w:val="26"/>
          <w:lang w:val="en-US" w:eastAsia="zh-CN"/>
        </w:rPr>
        <w:t>（5）对金钗湖水库的影响</w:t>
      </w:r>
    </w:p>
    <w:p w14:paraId="69C00187">
      <w:pPr>
        <w:adjustRightInd w:val="0"/>
        <w:snapToGrid w:val="0"/>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val="en-US" w:eastAsia="zh-CN"/>
        </w:rPr>
        <w:t>迁改管段位于金钗湖水库下游，改建段起点距水库最近距离约50m，其现状为堤坝。</w:t>
      </w:r>
      <w:r>
        <w:rPr>
          <w:rFonts w:hint="default" w:ascii="Times New Roman" w:hAnsi="Times New Roman" w:eastAsia="宋体" w:cs="Times New Roman"/>
          <w:color w:val="auto"/>
          <w:sz w:val="26"/>
          <w:szCs w:val="26"/>
        </w:rPr>
        <w:t>施工过程中及时对裸露地面和临时堆土采取拦挡、覆盖措施；施工机械（如钻机、挖掘机）与堤坝边缘的距离不小于10米</w:t>
      </w:r>
      <w:r>
        <w:rPr>
          <w:rFonts w:hint="default" w:ascii="Times New Roman" w:hAnsi="Times New Roman" w:eastAsia="宋体" w:cs="Times New Roman"/>
          <w:color w:val="auto"/>
          <w:sz w:val="26"/>
          <w:szCs w:val="26"/>
          <w:lang w:eastAsia="zh-CN"/>
        </w:rPr>
        <w:t>，严禁在堤坝上或周边进行重型机械碾压、振动作业；</w:t>
      </w:r>
      <w:r>
        <w:rPr>
          <w:rFonts w:hint="default" w:ascii="Times New Roman" w:hAnsi="Times New Roman" w:eastAsia="宋体" w:cs="Times New Roman"/>
          <w:color w:val="auto"/>
          <w:sz w:val="26"/>
          <w:szCs w:val="26"/>
        </w:rPr>
        <w:t>加强施工管理，严禁将施工弃渣、弃土、垃圾以及未经处理的废水直接倾倒至地表水体。在采取进一步加强施工管理，严禁排放污废水等措施后，对地表水环境影响小。</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5"/>
        <w:gridCol w:w="4471"/>
      </w:tblGrid>
      <w:tr w14:paraId="2AC07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01" w:type="pct"/>
            <w:noWrap w:val="0"/>
            <w:vAlign w:val="center"/>
          </w:tcPr>
          <w:p w14:paraId="7682C35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lang w:eastAsia="zh-CN"/>
              </w:rPr>
            </w:pPr>
            <w:r>
              <w:rPr>
                <w:rFonts w:hint="eastAsia" w:ascii="Times New Roman" w:hAnsi="Times New Roman" w:cs="Times New Roman"/>
                <w:color w:val="auto"/>
                <w:vertAlign w:val="baseline"/>
                <w:lang w:val="en-US" w:eastAsia="zh-CN"/>
              </w:rPr>
              <w:t>***</w:t>
            </w:r>
          </w:p>
        </w:tc>
        <w:tc>
          <w:tcPr>
            <w:tcW w:w="2498" w:type="pct"/>
            <w:noWrap w:val="0"/>
            <w:vAlign w:val="center"/>
          </w:tcPr>
          <w:p w14:paraId="784FBE8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lang w:eastAsia="zh-CN"/>
              </w:rPr>
            </w:pPr>
            <w:r>
              <w:rPr>
                <w:rFonts w:hint="eastAsia" w:ascii="Times New Roman" w:hAnsi="Times New Roman" w:cs="Times New Roman"/>
                <w:color w:val="auto"/>
                <w:vertAlign w:val="baseline"/>
                <w:lang w:val="en-US" w:eastAsia="zh-CN"/>
              </w:rPr>
              <w:t>***</w:t>
            </w:r>
          </w:p>
        </w:tc>
      </w:tr>
      <w:tr w14:paraId="2D7D3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01" w:type="pct"/>
            <w:noWrap w:val="0"/>
            <w:vAlign w:val="center"/>
          </w:tcPr>
          <w:p w14:paraId="1D8C873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金钗湖水库现状</w:t>
            </w:r>
          </w:p>
        </w:tc>
        <w:tc>
          <w:tcPr>
            <w:tcW w:w="2498" w:type="pct"/>
            <w:noWrap w:val="0"/>
            <w:vAlign w:val="center"/>
          </w:tcPr>
          <w:p w14:paraId="47AA0CD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改建管道距水库最近点位-堤坝现状</w:t>
            </w:r>
          </w:p>
        </w:tc>
      </w:tr>
      <w:tr w14:paraId="52704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000" w:type="pct"/>
            <w:gridSpan w:val="2"/>
            <w:noWrap w:val="0"/>
            <w:vAlign w:val="center"/>
          </w:tcPr>
          <w:p w14:paraId="6462F45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vertAlign w:val="baseline"/>
                <w:lang w:val="en-US" w:eastAsia="zh-CN"/>
              </w:rPr>
              <w:t>***</w:t>
            </w:r>
          </w:p>
        </w:tc>
      </w:tr>
      <w:tr w14:paraId="0750D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000" w:type="pct"/>
            <w:gridSpan w:val="2"/>
            <w:noWrap w:val="0"/>
            <w:vAlign w:val="center"/>
          </w:tcPr>
          <w:p w14:paraId="5DC0906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本项目与金钗湖水库位置示意图</w:t>
            </w:r>
          </w:p>
        </w:tc>
      </w:tr>
    </w:tbl>
    <w:p w14:paraId="15108BC8">
      <w:pPr>
        <w:adjustRightInd w:val="0"/>
        <w:snapToGrid w:val="0"/>
        <w:spacing w:line="480" w:lineRule="exact"/>
        <w:ind w:firstLine="522"/>
        <w:outlineLvl w:val="1"/>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5.</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地下水环境影响分析</w:t>
      </w:r>
      <w:bookmarkEnd w:id="312"/>
      <w:bookmarkEnd w:id="313"/>
      <w:bookmarkEnd w:id="314"/>
      <w:bookmarkEnd w:id="315"/>
    </w:p>
    <w:p w14:paraId="45765FD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本项目施工期间对地下水影响主要表现为管道开挖及污废水对地下水的影响。</w:t>
      </w:r>
    </w:p>
    <w:p w14:paraId="1F95471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（1）管道开挖对地下水的影响</w:t>
      </w:r>
    </w:p>
    <w:p w14:paraId="0A37045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管道在敷设过程中，其开挖的深度决定其对地下水环境的影响程度。由于局部地段地下水埋深小，管沟施工可能揭露地下水位，扰动浅表地下水，增加地下水浊度，但因施工时间短，且影响范围小（管线附近几米），管线施工结束就可恢复正常。</w:t>
      </w:r>
    </w:p>
    <w:p w14:paraId="4A42FB8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（2）污废水对地下水的影响</w:t>
      </w:r>
    </w:p>
    <w:p w14:paraId="504AAE4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项目施工期的水污染源主要为</w:t>
      </w:r>
      <w:r>
        <w:rPr>
          <w:rFonts w:hint="default" w:ascii="Times New Roman" w:hAnsi="Times New Roman" w:eastAsia="宋体" w:cs="Times New Roman"/>
          <w:color w:val="auto"/>
          <w:lang w:val="en-US" w:eastAsia="zh-CN"/>
        </w:rPr>
        <w:t>施工废水、</w:t>
      </w:r>
      <w:r>
        <w:rPr>
          <w:rFonts w:hint="default" w:ascii="Times New Roman" w:hAnsi="Times New Roman" w:eastAsia="宋体" w:cs="Times New Roman"/>
          <w:color w:val="auto"/>
        </w:rPr>
        <w:t>生活污水以及管道试压废水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施工废水</w:t>
      </w:r>
      <w:r>
        <w:rPr>
          <w:rFonts w:hint="default" w:ascii="Times New Roman" w:hAnsi="Times New Roman" w:eastAsia="宋体" w:cs="Times New Roman"/>
          <w:color w:val="auto"/>
        </w:rPr>
        <w:t>经</w:t>
      </w:r>
      <w:r>
        <w:rPr>
          <w:rFonts w:hint="default" w:ascii="Times New Roman" w:hAnsi="Times New Roman" w:eastAsia="宋体" w:cs="Times New Roman"/>
          <w:color w:val="auto"/>
          <w:lang w:val="en-US" w:eastAsia="zh-CN"/>
        </w:rPr>
        <w:t>隔油沉淀处理</w:t>
      </w:r>
      <w:r>
        <w:rPr>
          <w:rFonts w:hint="default" w:ascii="Times New Roman" w:hAnsi="Times New Roman" w:eastAsia="宋体" w:cs="Times New Roman"/>
          <w:color w:val="auto"/>
        </w:rPr>
        <w:t>后可循环使用于施工作业带</w:t>
      </w:r>
      <w:r>
        <w:rPr>
          <w:rFonts w:hint="default" w:ascii="Times New Roman" w:hAnsi="Times New Roman" w:eastAsia="宋体" w:cs="Times New Roman"/>
          <w:color w:val="auto"/>
          <w:lang w:val="en-US" w:eastAsia="zh-CN"/>
        </w:rPr>
        <w:t>洒</w:t>
      </w:r>
      <w:r>
        <w:rPr>
          <w:rFonts w:hint="default" w:ascii="Times New Roman" w:hAnsi="Times New Roman" w:eastAsia="宋体" w:cs="Times New Roman"/>
          <w:color w:val="auto"/>
        </w:rPr>
        <w:t>水降尘</w:t>
      </w:r>
      <w:r>
        <w:rPr>
          <w:rFonts w:hint="default" w:ascii="Times New Roman" w:hAnsi="Times New Roman" w:eastAsia="宋体" w:cs="Times New Roman"/>
          <w:color w:val="auto"/>
          <w:lang w:val="en-US" w:eastAsia="zh-CN"/>
        </w:rPr>
        <w:t>或</w:t>
      </w:r>
      <w:r>
        <w:rPr>
          <w:rFonts w:hint="default" w:ascii="Times New Roman" w:hAnsi="Times New Roman" w:eastAsia="宋体" w:cs="Times New Roman"/>
          <w:color w:val="auto"/>
          <w:sz w:val="26"/>
          <w:szCs w:val="26"/>
          <w:lang w:val="en-US" w:eastAsia="zh-CN"/>
        </w:rPr>
        <w:t>回用作为施工用水</w:t>
      </w:r>
      <w:r>
        <w:rPr>
          <w:rFonts w:hint="default" w:ascii="Times New Roman" w:hAnsi="Times New Roman" w:eastAsia="宋体" w:cs="Times New Roman"/>
          <w:color w:val="auto"/>
        </w:rPr>
        <w:t>；生活污水主要污染物为COD、BOD、NH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-N、动植物油等，依托当地的生活污水处理系统处理</w:t>
      </w:r>
      <w:r>
        <w:rPr>
          <w:rFonts w:hint="default"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rPr>
        <w:t>管道试压采用清洁水，试压后排水中的污染物主要是SS，经沉淀后用于洒水降尘，杜绝不经处理任意排放。施工期产生的污废水均得到妥善处置，对地下水影响较小。</w:t>
      </w:r>
    </w:p>
    <w:p w14:paraId="488FFEA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综上，项目施工期对地下水影响较小。</w:t>
      </w:r>
    </w:p>
    <w:p w14:paraId="752C06A6">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316" w:name="_Toc45551089"/>
      <w:bookmarkStart w:id="317" w:name="_Toc218"/>
      <w:bookmarkStart w:id="318" w:name="_Toc60144404"/>
      <w:bookmarkStart w:id="319" w:name="_Toc1788"/>
      <w:r>
        <w:rPr>
          <w:rFonts w:hint="default" w:ascii="Times New Roman" w:hAnsi="Times New Roman" w:eastAsia="宋体" w:cs="Times New Roman"/>
          <w:b/>
          <w:color w:val="auto"/>
          <w:sz w:val="26"/>
          <w:szCs w:val="26"/>
        </w:rPr>
        <w:t>5.</w:t>
      </w:r>
      <w:r>
        <w:rPr>
          <w:rFonts w:hint="default" w:ascii="Times New Roman" w:hAnsi="Times New Roman" w:eastAsia="宋体" w:cs="Times New Roman"/>
          <w:b/>
          <w:color w:val="auto"/>
          <w:sz w:val="26"/>
          <w:szCs w:val="26"/>
          <w:lang w:val="en-US" w:eastAsia="zh-CN"/>
        </w:rPr>
        <w:t>4</w:t>
      </w:r>
      <w:r>
        <w:rPr>
          <w:rFonts w:hint="default" w:ascii="Times New Roman" w:hAnsi="Times New Roman" w:eastAsia="宋体" w:cs="Times New Roman"/>
          <w:b/>
          <w:color w:val="auto"/>
          <w:sz w:val="26"/>
          <w:szCs w:val="26"/>
        </w:rPr>
        <w:t>声环境影响分析</w:t>
      </w:r>
      <w:bookmarkEnd w:id="316"/>
      <w:bookmarkEnd w:id="317"/>
      <w:bookmarkEnd w:id="318"/>
      <w:bookmarkEnd w:id="319"/>
    </w:p>
    <w:p w14:paraId="0887472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本工程施工过程中采用的机械和运输工具使用时会产生施工噪声，容易对附近声环境造成影响，因此评价对施工噪声对环境的影响进行预测分析。</w:t>
      </w:r>
    </w:p>
    <w:p w14:paraId="2AD211B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根据工程初步设计报告对拟建工程提出的工程实施方案，表3.1-1列出了工程施工机械噪声值。</w:t>
      </w:r>
    </w:p>
    <w:p w14:paraId="1C593A78">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预测模式如下：</w:t>
      </w:r>
    </w:p>
    <w:p w14:paraId="61F015A4">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施工噪声源可近似视为点声源，根据点声源噪声衰减模式，可计算出各施工设备不同距离的噪声值。点声源衰减模式如下：</w:t>
      </w:r>
    </w:p>
    <w:p w14:paraId="5A0E89BC">
      <w:pPr>
        <w:wordWrap w:val="0"/>
        <w:spacing w:before="120" w:beforeLines="50" w:line="360" w:lineRule="auto"/>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position w:val="-14"/>
          <w:sz w:val="26"/>
          <w:szCs w:val="26"/>
        </w:rPr>
        <w:drawing>
          <wp:inline distT="0" distB="0" distL="114300" distR="114300">
            <wp:extent cx="1397635" cy="234950"/>
            <wp:effectExtent l="0" t="0" r="12065" b="13335"/>
            <wp:docPr id="10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1"/>
                    <pic:cNvPicPr>
                      <a:picLocks noChangeAspect="1"/>
                    </pic:cNvPicPr>
                  </pic:nvPicPr>
                  <pic:blipFill>
                    <a:blip r:embed="rId31"/>
                    <a:stretch>
                      <a:fillRect/>
                    </a:stretch>
                  </pic:blipFill>
                  <pic:spPr>
                    <a:xfrm>
                      <a:off x="0" y="0"/>
                      <a:ext cx="1397635" cy="234950"/>
                    </a:xfrm>
                    <a:prstGeom prst="rect">
                      <a:avLst/>
                    </a:prstGeom>
                    <a:noFill/>
                    <a:ln>
                      <a:noFill/>
                    </a:ln>
                  </pic:spPr>
                </pic:pic>
              </a:graphicData>
            </a:graphic>
          </wp:inline>
        </w:drawing>
      </w:r>
    </w:p>
    <w:p w14:paraId="7998CB46">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式中：</w:t>
      </w:r>
    </w:p>
    <w:p w14:paraId="4E74359C">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i/>
          <w:color w:val="auto"/>
          <w:sz w:val="26"/>
          <w:szCs w:val="26"/>
        </w:rPr>
        <w:t>L</w:t>
      </w:r>
      <w:r>
        <w:rPr>
          <w:rFonts w:hint="default" w:ascii="Times New Roman" w:hAnsi="Times New Roman" w:eastAsia="宋体" w:cs="Times New Roman"/>
          <w:i/>
          <w:color w:val="auto"/>
          <w:sz w:val="26"/>
          <w:szCs w:val="26"/>
          <w:vertAlign w:val="subscript"/>
        </w:rPr>
        <w:t>P</w:t>
      </w:r>
      <w:r>
        <w:rPr>
          <w:rFonts w:hint="default" w:ascii="Times New Roman" w:hAnsi="Times New Roman" w:eastAsia="宋体" w:cs="Times New Roman"/>
          <w:i/>
          <w:color w:val="auto"/>
          <w:sz w:val="26"/>
          <w:szCs w:val="26"/>
        </w:rPr>
        <w:t>—</w:t>
      </w:r>
      <w:r>
        <w:rPr>
          <w:rFonts w:hint="default" w:ascii="Times New Roman" w:hAnsi="Times New Roman" w:eastAsia="宋体" w:cs="Times New Roman"/>
          <w:color w:val="auto"/>
          <w:sz w:val="26"/>
          <w:szCs w:val="26"/>
        </w:rPr>
        <w:t>距声源</w:t>
      </w:r>
      <w:r>
        <w:rPr>
          <w:rFonts w:hint="default" w:ascii="Times New Roman" w:hAnsi="Times New Roman" w:eastAsia="宋体" w:cs="Times New Roman"/>
          <w:i/>
          <w:color w:val="auto"/>
          <w:sz w:val="26"/>
          <w:szCs w:val="26"/>
        </w:rPr>
        <w:t>r（m）</w:t>
      </w:r>
      <w:r>
        <w:rPr>
          <w:rFonts w:hint="default" w:ascii="Times New Roman" w:hAnsi="Times New Roman" w:eastAsia="宋体" w:cs="Times New Roman"/>
          <w:color w:val="auto"/>
          <w:sz w:val="26"/>
          <w:szCs w:val="26"/>
        </w:rPr>
        <w:t>处声压级，dB（A）；</w:t>
      </w:r>
    </w:p>
    <w:p w14:paraId="69F94272">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i/>
          <w:color w:val="auto"/>
          <w:sz w:val="26"/>
          <w:szCs w:val="26"/>
        </w:rPr>
        <w:t>L</w:t>
      </w:r>
      <w:r>
        <w:rPr>
          <w:rFonts w:hint="default" w:ascii="Times New Roman" w:hAnsi="Times New Roman" w:eastAsia="宋体" w:cs="Times New Roman"/>
          <w:i/>
          <w:color w:val="auto"/>
          <w:sz w:val="26"/>
          <w:szCs w:val="26"/>
          <w:vertAlign w:val="subscript"/>
        </w:rPr>
        <w:t>PO</w:t>
      </w:r>
      <w:r>
        <w:rPr>
          <w:rFonts w:hint="default" w:ascii="Times New Roman" w:hAnsi="Times New Roman" w:eastAsia="宋体" w:cs="Times New Roman"/>
          <w:color w:val="auto"/>
          <w:sz w:val="26"/>
          <w:szCs w:val="26"/>
        </w:rPr>
        <w:t>—距声源</w:t>
      </w:r>
      <w:r>
        <w:rPr>
          <w:rFonts w:hint="default" w:ascii="Times New Roman" w:hAnsi="Times New Roman" w:eastAsia="宋体" w:cs="Times New Roman"/>
          <w:i/>
          <w:color w:val="auto"/>
          <w:sz w:val="26"/>
          <w:szCs w:val="26"/>
        </w:rPr>
        <w:t>r</w:t>
      </w:r>
      <w:r>
        <w:rPr>
          <w:rFonts w:hint="default" w:ascii="Times New Roman" w:hAnsi="Times New Roman" w:eastAsia="宋体" w:cs="Times New Roman"/>
          <w:i/>
          <w:color w:val="auto"/>
          <w:sz w:val="26"/>
          <w:szCs w:val="26"/>
          <w:vertAlign w:val="subscript"/>
        </w:rPr>
        <w:t>o</w:t>
      </w:r>
      <w:r>
        <w:rPr>
          <w:rFonts w:hint="default" w:ascii="Times New Roman" w:hAnsi="Times New Roman" w:eastAsia="宋体" w:cs="Times New Roman"/>
          <w:i/>
          <w:color w:val="auto"/>
          <w:sz w:val="26"/>
          <w:szCs w:val="26"/>
        </w:rPr>
        <w:t>（m）</w:t>
      </w:r>
      <w:r>
        <w:rPr>
          <w:rFonts w:hint="default" w:ascii="Times New Roman" w:hAnsi="Times New Roman" w:eastAsia="宋体" w:cs="Times New Roman"/>
          <w:color w:val="auto"/>
          <w:sz w:val="26"/>
          <w:szCs w:val="26"/>
        </w:rPr>
        <w:t>处声压级，dB（A）；</w:t>
      </w:r>
    </w:p>
    <w:p w14:paraId="67F9ADB6">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利用公式对施工机械噪声的污染范围（作业点至噪声值达到标准的距离）进行预测，施工机械在不同距离处噪声影响见表5.4-1。</w:t>
      </w:r>
    </w:p>
    <w:p w14:paraId="5CE71B4A">
      <w:pPr>
        <w:pStyle w:val="58"/>
        <w:rPr>
          <w:rFonts w:hint="default" w:ascii="Times New Roman" w:hAnsi="Times New Roman" w:eastAsia="宋体" w:cs="Times New Roman"/>
          <w:color w:val="auto"/>
        </w:rPr>
      </w:pPr>
    </w:p>
    <w:p w14:paraId="762D0E0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表5.4-1       施工机械噪声影响范围预测结果       </w:t>
      </w:r>
      <w:r>
        <w:rPr>
          <w:rFonts w:hint="default" w:ascii="Times New Roman" w:hAnsi="Times New Roman" w:eastAsia="宋体" w:cs="Times New Roman"/>
          <w:color w:val="auto"/>
          <w:szCs w:val="21"/>
        </w:rPr>
        <w:t>单位：dB（A）</w:t>
      </w:r>
    </w:p>
    <w:tbl>
      <w:tblPr>
        <w:tblStyle w:val="29"/>
        <w:tblW w:w="473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237"/>
        <w:gridCol w:w="707"/>
        <w:gridCol w:w="990"/>
        <w:gridCol w:w="850"/>
        <w:gridCol w:w="850"/>
        <w:gridCol w:w="617"/>
        <w:gridCol w:w="814"/>
        <w:gridCol w:w="707"/>
        <w:gridCol w:w="700"/>
      </w:tblGrid>
      <w:tr w14:paraId="7593DF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1319" w:type="pct"/>
            <w:tcBorders>
              <w:top w:val="single" w:color="auto" w:sz="4" w:space="0"/>
              <w:bottom w:val="single" w:color="auto" w:sz="6" w:space="0"/>
              <w:tl2br w:val="single" w:color="auto" w:sz="4" w:space="0"/>
            </w:tcBorders>
            <w:noWrap/>
            <w:vAlign w:val="top"/>
          </w:tcPr>
          <w:p w14:paraId="66838599">
            <w:pPr>
              <w:adjustRightInd w:val="0"/>
              <w:snapToGrid w:val="0"/>
              <w:jc w:val="right"/>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 xml:space="preserve">距离 m     </w:t>
            </w:r>
          </w:p>
          <w:p w14:paraId="58B80946">
            <w:pPr>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噪声源</w:t>
            </w:r>
          </w:p>
        </w:tc>
        <w:tc>
          <w:tcPr>
            <w:tcW w:w="417" w:type="pct"/>
            <w:tcBorders>
              <w:top w:val="single" w:color="auto" w:sz="4" w:space="0"/>
              <w:bottom w:val="single" w:color="auto" w:sz="6" w:space="0"/>
            </w:tcBorders>
            <w:noWrap w:val="0"/>
            <w:vAlign w:val="center"/>
          </w:tcPr>
          <w:p w14:paraId="2C7A2E55">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w:t>
            </w:r>
          </w:p>
        </w:tc>
        <w:tc>
          <w:tcPr>
            <w:tcW w:w="584" w:type="pct"/>
            <w:tcBorders>
              <w:top w:val="single" w:color="auto" w:sz="4" w:space="0"/>
              <w:bottom w:val="single" w:color="auto" w:sz="6" w:space="0"/>
              <w:right w:val="single" w:color="auto" w:sz="4" w:space="0"/>
            </w:tcBorders>
            <w:noWrap w:val="0"/>
            <w:vAlign w:val="center"/>
          </w:tcPr>
          <w:p w14:paraId="2FFE47A2">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w:t>
            </w:r>
          </w:p>
        </w:tc>
        <w:tc>
          <w:tcPr>
            <w:tcW w:w="501" w:type="pct"/>
            <w:tcBorders>
              <w:top w:val="single" w:color="auto" w:sz="4" w:space="0"/>
              <w:left w:val="single" w:color="auto" w:sz="4" w:space="0"/>
              <w:bottom w:val="single" w:color="auto" w:sz="6" w:space="0"/>
              <w:right w:val="single" w:color="auto" w:sz="4" w:space="0"/>
            </w:tcBorders>
            <w:noWrap w:val="0"/>
            <w:vAlign w:val="center"/>
          </w:tcPr>
          <w:p w14:paraId="244B815A">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20</w:t>
            </w:r>
          </w:p>
        </w:tc>
        <w:tc>
          <w:tcPr>
            <w:tcW w:w="501" w:type="pct"/>
            <w:tcBorders>
              <w:top w:val="single" w:color="auto" w:sz="4" w:space="0"/>
              <w:left w:val="single" w:color="auto" w:sz="4" w:space="0"/>
              <w:bottom w:val="single" w:color="auto" w:sz="6" w:space="0"/>
            </w:tcBorders>
            <w:noWrap w:val="0"/>
            <w:vAlign w:val="center"/>
          </w:tcPr>
          <w:p w14:paraId="3EE97DB5">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50</w:t>
            </w:r>
          </w:p>
        </w:tc>
        <w:tc>
          <w:tcPr>
            <w:tcW w:w="364" w:type="pct"/>
            <w:tcBorders>
              <w:top w:val="single" w:color="auto" w:sz="4" w:space="0"/>
              <w:bottom w:val="single" w:color="auto" w:sz="6" w:space="0"/>
            </w:tcBorders>
            <w:noWrap w:val="0"/>
            <w:vAlign w:val="center"/>
          </w:tcPr>
          <w:p w14:paraId="12651648">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70</w:t>
            </w:r>
          </w:p>
        </w:tc>
        <w:tc>
          <w:tcPr>
            <w:tcW w:w="480" w:type="pct"/>
            <w:tcBorders>
              <w:top w:val="single" w:color="auto" w:sz="4" w:space="0"/>
              <w:bottom w:val="single" w:color="auto" w:sz="6" w:space="0"/>
            </w:tcBorders>
            <w:noWrap w:val="0"/>
            <w:vAlign w:val="center"/>
          </w:tcPr>
          <w:p w14:paraId="52CBD6B7">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100</w:t>
            </w:r>
          </w:p>
        </w:tc>
        <w:tc>
          <w:tcPr>
            <w:tcW w:w="417" w:type="pct"/>
            <w:tcBorders>
              <w:top w:val="single" w:color="auto" w:sz="4" w:space="0"/>
              <w:bottom w:val="single" w:color="auto" w:sz="6" w:space="0"/>
              <w:right w:val="single" w:color="auto" w:sz="4" w:space="0"/>
            </w:tcBorders>
            <w:noWrap w:val="0"/>
            <w:vAlign w:val="center"/>
          </w:tcPr>
          <w:p w14:paraId="1FF9B706">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150</w:t>
            </w:r>
          </w:p>
        </w:tc>
        <w:tc>
          <w:tcPr>
            <w:tcW w:w="413" w:type="pct"/>
            <w:tcBorders>
              <w:top w:val="single" w:color="auto" w:sz="4" w:space="0"/>
              <w:left w:val="single" w:color="auto" w:sz="4" w:space="0"/>
              <w:bottom w:val="single" w:color="auto" w:sz="6" w:space="0"/>
            </w:tcBorders>
            <w:noWrap w:val="0"/>
            <w:vAlign w:val="center"/>
          </w:tcPr>
          <w:p w14:paraId="0BD44C71">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200</w:t>
            </w:r>
          </w:p>
        </w:tc>
      </w:tr>
      <w:tr w14:paraId="32A936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9" w:type="pct"/>
            <w:tcBorders>
              <w:top w:val="single" w:color="auto" w:sz="6" w:space="0"/>
              <w:bottom w:val="single" w:color="auto" w:sz="6" w:space="0"/>
            </w:tcBorders>
            <w:noWrap/>
            <w:vAlign w:val="center"/>
          </w:tcPr>
          <w:p w14:paraId="3203C3A0">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挖掘机</w:t>
            </w:r>
          </w:p>
        </w:tc>
        <w:tc>
          <w:tcPr>
            <w:tcW w:w="417" w:type="pct"/>
            <w:tcBorders>
              <w:top w:val="single" w:color="auto" w:sz="6" w:space="0"/>
              <w:bottom w:val="single" w:color="auto" w:sz="6" w:space="0"/>
            </w:tcBorders>
            <w:noWrap w:val="0"/>
            <w:vAlign w:val="center"/>
          </w:tcPr>
          <w:p w14:paraId="354B13B1">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84</w:t>
            </w:r>
          </w:p>
        </w:tc>
        <w:tc>
          <w:tcPr>
            <w:tcW w:w="584" w:type="pct"/>
            <w:tcBorders>
              <w:top w:val="single" w:color="auto" w:sz="6" w:space="0"/>
              <w:bottom w:val="single" w:color="auto" w:sz="6" w:space="0"/>
              <w:right w:val="single" w:color="auto" w:sz="4" w:space="0"/>
            </w:tcBorders>
            <w:noWrap/>
            <w:vAlign w:val="center"/>
          </w:tcPr>
          <w:p w14:paraId="518BA33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78.0</w:t>
            </w:r>
          </w:p>
        </w:tc>
        <w:tc>
          <w:tcPr>
            <w:tcW w:w="501" w:type="pct"/>
            <w:tcBorders>
              <w:top w:val="single" w:color="auto" w:sz="6" w:space="0"/>
              <w:left w:val="single" w:color="auto" w:sz="4" w:space="0"/>
              <w:bottom w:val="single" w:color="auto" w:sz="6" w:space="0"/>
              <w:right w:val="single" w:color="auto" w:sz="4" w:space="0"/>
            </w:tcBorders>
            <w:noWrap/>
            <w:vAlign w:val="center"/>
          </w:tcPr>
          <w:p w14:paraId="74008D30">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72.0</w:t>
            </w:r>
          </w:p>
        </w:tc>
        <w:tc>
          <w:tcPr>
            <w:tcW w:w="501" w:type="pct"/>
            <w:tcBorders>
              <w:top w:val="single" w:color="auto" w:sz="6" w:space="0"/>
              <w:left w:val="single" w:color="auto" w:sz="4" w:space="0"/>
              <w:bottom w:val="single" w:color="auto" w:sz="6" w:space="0"/>
            </w:tcBorders>
            <w:noWrap w:val="0"/>
            <w:vAlign w:val="center"/>
          </w:tcPr>
          <w:p w14:paraId="73693096">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64.0</w:t>
            </w:r>
          </w:p>
        </w:tc>
        <w:tc>
          <w:tcPr>
            <w:tcW w:w="364" w:type="pct"/>
            <w:tcBorders>
              <w:top w:val="single" w:color="auto" w:sz="6" w:space="0"/>
              <w:bottom w:val="single" w:color="auto" w:sz="6" w:space="0"/>
            </w:tcBorders>
            <w:noWrap/>
            <w:vAlign w:val="center"/>
          </w:tcPr>
          <w:p w14:paraId="08B8B897">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61.1</w:t>
            </w:r>
          </w:p>
        </w:tc>
        <w:tc>
          <w:tcPr>
            <w:tcW w:w="480" w:type="pct"/>
            <w:tcBorders>
              <w:top w:val="single" w:color="auto" w:sz="6" w:space="0"/>
              <w:bottom w:val="single" w:color="auto" w:sz="6" w:space="0"/>
            </w:tcBorders>
            <w:noWrap/>
            <w:vAlign w:val="center"/>
          </w:tcPr>
          <w:p w14:paraId="158B8944">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58.0</w:t>
            </w:r>
          </w:p>
        </w:tc>
        <w:tc>
          <w:tcPr>
            <w:tcW w:w="417" w:type="pct"/>
            <w:tcBorders>
              <w:top w:val="single" w:color="auto" w:sz="6" w:space="0"/>
              <w:bottom w:val="single" w:color="auto" w:sz="6" w:space="0"/>
            </w:tcBorders>
            <w:noWrap/>
            <w:vAlign w:val="center"/>
          </w:tcPr>
          <w:p w14:paraId="4004E476">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54.5</w:t>
            </w:r>
          </w:p>
        </w:tc>
        <w:tc>
          <w:tcPr>
            <w:tcW w:w="413" w:type="pct"/>
            <w:tcBorders>
              <w:top w:val="single" w:color="auto" w:sz="6" w:space="0"/>
              <w:left w:val="single" w:color="auto" w:sz="4" w:space="0"/>
              <w:bottom w:val="single" w:color="auto" w:sz="6" w:space="0"/>
            </w:tcBorders>
            <w:noWrap w:val="0"/>
            <w:vAlign w:val="center"/>
          </w:tcPr>
          <w:p w14:paraId="76F9FF83">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52.0</w:t>
            </w:r>
          </w:p>
        </w:tc>
      </w:tr>
      <w:tr w14:paraId="4DFE30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9" w:type="pct"/>
            <w:tcBorders>
              <w:top w:val="single" w:color="auto" w:sz="6" w:space="0"/>
              <w:bottom w:val="single" w:color="auto" w:sz="6" w:space="0"/>
            </w:tcBorders>
            <w:noWrap/>
            <w:vAlign w:val="center"/>
          </w:tcPr>
          <w:p w14:paraId="7D81F211">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推土机</w:t>
            </w:r>
          </w:p>
        </w:tc>
        <w:tc>
          <w:tcPr>
            <w:tcW w:w="417" w:type="pct"/>
            <w:tcBorders>
              <w:top w:val="single" w:color="auto" w:sz="6" w:space="0"/>
              <w:bottom w:val="single" w:color="auto" w:sz="6" w:space="0"/>
            </w:tcBorders>
            <w:noWrap w:val="0"/>
            <w:vAlign w:val="center"/>
          </w:tcPr>
          <w:p w14:paraId="73E596F7">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86</w:t>
            </w:r>
          </w:p>
        </w:tc>
        <w:tc>
          <w:tcPr>
            <w:tcW w:w="584" w:type="pct"/>
            <w:tcBorders>
              <w:top w:val="single" w:color="auto" w:sz="6" w:space="0"/>
              <w:bottom w:val="single" w:color="auto" w:sz="6" w:space="0"/>
            </w:tcBorders>
            <w:noWrap/>
            <w:vAlign w:val="center"/>
          </w:tcPr>
          <w:p w14:paraId="3F8CFEBC">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80.0</w:t>
            </w:r>
          </w:p>
        </w:tc>
        <w:tc>
          <w:tcPr>
            <w:tcW w:w="501" w:type="pct"/>
            <w:tcBorders>
              <w:top w:val="single" w:color="auto" w:sz="6" w:space="0"/>
              <w:bottom w:val="single" w:color="auto" w:sz="6" w:space="0"/>
              <w:right w:val="single" w:color="auto" w:sz="4" w:space="0"/>
            </w:tcBorders>
            <w:noWrap/>
            <w:vAlign w:val="center"/>
          </w:tcPr>
          <w:p w14:paraId="342A1150">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74.0</w:t>
            </w:r>
          </w:p>
        </w:tc>
        <w:tc>
          <w:tcPr>
            <w:tcW w:w="501" w:type="pct"/>
            <w:tcBorders>
              <w:top w:val="single" w:color="auto" w:sz="6" w:space="0"/>
              <w:left w:val="single" w:color="auto" w:sz="4" w:space="0"/>
              <w:bottom w:val="single" w:color="auto" w:sz="6" w:space="0"/>
            </w:tcBorders>
            <w:noWrap w:val="0"/>
            <w:vAlign w:val="center"/>
          </w:tcPr>
          <w:p w14:paraId="53EE0CBB">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66.0</w:t>
            </w:r>
          </w:p>
        </w:tc>
        <w:tc>
          <w:tcPr>
            <w:tcW w:w="364" w:type="pct"/>
            <w:tcBorders>
              <w:top w:val="single" w:color="auto" w:sz="6" w:space="0"/>
              <w:bottom w:val="single" w:color="auto" w:sz="6" w:space="0"/>
            </w:tcBorders>
            <w:noWrap/>
            <w:vAlign w:val="center"/>
          </w:tcPr>
          <w:p w14:paraId="63AB659D">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63.1</w:t>
            </w:r>
          </w:p>
        </w:tc>
        <w:tc>
          <w:tcPr>
            <w:tcW w:w="480" w:type="pct"/>
            <w:tcBorders>
              <w:top w:val="single" w:color="auto" w:sz="6" w:space="0"/>
              <w:bottom w:val="single" w:color="auto" w:sz="6" w:space="0"/>
            </w:tcBorders>
            <w:noWrap/>
            <w:vAlign w:val="center"/>
          </w:tcPr>
          <w:p w14:paraId="082C792C">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60.0</w:t>
            </w:r>
          </w:p>
        </w:tc>
        <w:tc>
          <w:tcPr>
            <w:tcW w:w="417" w:type="pct"/>
            <w:tcBorders>
              <w:top w:val="single" w:color="auto" w:sz="6" w:space="0"/>
              <w:bottom w:val="single" w:color="auto" w:sz="6" w:space="0"/>
            </w:tcBorders>
            <w:noWrap/>
            <w:vAlign w:val="center"/>
          </w:tcPr>
          <w:p w14:paraId="26B76388">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56.5</w:t>
            </w:r>
          </w:p>
        </w:tc>
        <w:tc>
          <w:tcPr>
            <w:tcW w:w="413" w:type="pct"/>
            <w:tcBorders>
              <w:top w:val="single" w:color="auto" w:sz="6" w:space="0"/>
              <w:left w:val="single" w:color="auto" w:sz="4" w:space="0"/>
              <w:bottom w:val="single" w:color="auto" w:sz="6" w:space="0"/>
            </w:tcBorders>
            <w:noWrap w:val="0"/>
            <w:vAlign w:val="center"/>
          </w:tcPr>
          <w:p w14:paraId="61323C12">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54.0</w:t>
            </w:r>
          </w:p>
        </w:tc>
      </w:tr>
      <w:tr w14:paraId="650FE3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9" w:type="pct"/>
            <w:tcBorders>
              <w:top w:val="single" w:color="auto" w:sz="6" w:space="0"/>
              <w:bottom w:val="single" w:color="auto" w:sz="6" w:space="0"/>
            </w:tcBorders>
            <w:noWrap/>
            <w:vAlign w:val="center"/>
          </w:tcPr>
          <w:p w14:paraId="59DFE774">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吊管机</w:t>
            </w:r>
          </w:p>
        </w:tc>
        <w:tc>
          <w:tcPr>
            <w:tcW w:w="417" w:type="pct"/>
            <w:tcBorders>
              <w:top w:val="single" w:color="auto" w:sz="6" w:space="0"/>
              <w:bottom w:val="single" w:color="auto" w:sz="6" w:space="0"/>
            </w:tcBorders>
            <w:noWrap w:val="0"/>
            <w:vAlign w:val="center"/>
          </w:tcPr>
          <w:p w14:paraId="0BA2CF13">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86</w:t>
            </w:r>
          </w:p>
        </w:tc>
        <w:tc>
          <w:tcPr>
            <w:tcW w:w="584" w:type="pct"/>
            <w:tcBorders>
              <w:top w:val="single" w:color="auto" w:sz="6" w:space="0"/>
              <w:bottom w:val="single" w:color="auto" w:sz="6" w:space="0"/>
            </w:tcBorders>
            <w:noWrap/>
            <w:vAlign w:val="center"/>
          </w:tcPr>
          <w:p w14:paraId="5521B3C8">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80.0</w:t>
            </w:r>
          </w:p>
        </w:tc>
        <w:tc>
          <w:tcPr>
            <w:tcW w:w="501" w:type="pct"/>
            <w:tcBorders>
              <w:top w:val="single" w:color="auto" w:sz="6" w:space="0"/>
              <w:bottom w:val="single" w:color="auto" w:sz="6" w:space="0"/>
              <w:right w:val="single" w:color="auto" w:sz="4" w:space="0"/>
            </w:tcBorders>
            <w:noWrap/>
            <w:vAlign w:val="center"/>
          </w:tcPr>
          <w:p w14:paraId="0D5A607D">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74.0</w:t>
            </w:r>
          </w:p>
        </w:tc>
        <w:tc>
          <w:tcPr>
            <w:tcW w:w="501" w:type="pct"/>
            <w:tcBorders>
              <w:top w:val="single" w:color="auto" w:sz="6" w:space="0"/>
              <w:left w:val="single" w:color="auto" w:sz="4" w:space="0"/>
              <w:bottom w:val="single" w:color="auto" w:sz="6" w:space="0"/>
            </w:tcBorders>
            <w:noWrap w:val="0"/>
            <w:vAlign w:val="center"/>
          </w:tcPr>
          <w:p w14:paraId="63DE4662">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66.0</w:t>
            </w:r>
          </w:p>
        </w:tc>
        <w:tc>
          <w:tcPr>
            <w:tcW w:w="364" w:type="pct"/>
            <w:tcBorders>
              <w:top w:val="single" w:color="auto" w:sz="6" w:space="0"/>
              <w:bottom w:val="single" w:color="auto" w:sz="6" w:space="0"/>
            </w:tcBorders>
            <w:noWrap/>
            <w:vAlign w:val="center"/>
          </w:tcPr>
          <w:p w14:paraId="51128048">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63.1</w:t>
            </w:r>
          </w:p>
        </w:tc>
        <w:tc>
          <w:tcPr>
            <w:tcW w:w="480" w:type="pct"/>
            <w:tcBorders>
              <w:top w:val="single" w:color="auto" w:sz="6" w:space="0"/>
              <w:bottom w:val="single" w:color="auto" w:sz="6" w:space="0"/>
            </w:tcBorders>
            <w:noWrap/>
            <w:vAlign w:val="center"/>
          </w:tcPr>
          <w:p w14:paraId="2245980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60.0</w:t>
            </w:r>
          </w:p>
        </w:tc>
        <w:tc>
          <w:tcPr>
            <w:tcW w:w="417" w:type="pct"/>
            <w:tcBorders>
              <w:top w:val="single" w:color="auto" w:sz="6" w:space="0"/>
              <w:bottom w:val="single" w:color="auto" w:sz="6" w:space="0"/>
            </w:tcBorders>
            <w:noWrap/>
            <w:vAlign w:val="center"/>
          </w:tcPr>
          <w:p w14:paraId="4CFFD8F8">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56.5</w:t>
            </w:r>
          </w:p>
        </w:tc>
        <w:tc>
          <w:tcPr>
            <w:tcW w:w="413" w:type="pct"/>
            <w:tcBorders>
              <w:top w:val="single" w:color="auto" w:sz="6" w:space="0"/>
              <w:left w:val="single" w:color="auto" w:sz="4" w:space="0"/>
              <w:bottom w:val="single" w:color="auto" w:sz="6" w:space="0"/>
            </w:tcBorders>
            <w:noWrap w:val="0"/>
            <w:vAlign w:val="center"/>
          </w:tcPr>
          <w:p w14:paraId="58CCE41F">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54.0</w:t>
            </w:r>
          </w:p>
        </w:tc>
      </w:tr>
      <w:tr w14:paraId="56E800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9" w:type="pct"/>
            <w:tcBorders>
              <w:top w:val="single" w:color="auto" w:sz="6" w:space="0"/>
              <w:bottom w:val="single" w:color="auto" w:sz="6" w:space="0"/>
            </w:tcBorders>
            <w:noWrap/>
            <w:vAlign w:val="center"/>
          </w:tcPr>
          <w:p w14:paraId="71CE409A">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电焊机</w:t>
            </w:r>
          </w:p>
        </w:tc>
        <w:tc>
          <w:tcPr>
            <w:tcW w:w="417" w:type="pct"/>
            <w:tcBorders>
              <w:top w:val="single" w:color="auto" w:sz="6" w:space="0"/>
              <w:bottom w:val="single" w:color="auto" w:sz="6" w:space="0"/>
            </w:tcBorders>
            <w:noWrap w:val="0"/>
            <w:vAlign w:val="center"/>
          </w:tcPr>
          <w:p w14:paraId="26118AA1">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84</w:t>
            </w:r>
          </w:p>
        </w:tc>
        <w:tc>
          <w:tcPr>
            <w:tcW w:w="584" w:type="pct"/>
            <w:tcBorders>
              <w:top w:val="single" w:color="auto" w:sz="6" w:space="0"/>
              <w:bottom w:val="single" w:color="auto" w:sz="6" w:space="0"/>
            </w:tcBorders>
            <w:noWrap/>
            <w:vAlign w:val="center"/>
          </w:tcPr>
          <w:p w14:paraId="6706D65D">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78.0</w:t>
            </w:r>
          </w:p>
        </w:tc>
        <w:tc>
          <w:tcPr>
            <w:tcW w:w="501" w:type="pct"/>
            <w:tcBorders>
              <w:top w:val="single" w:color="auto" w:sz="6" w:space="0"/>
              <w:bottom w:val="single" w:color="auto" w:sz="6" w:space="0"/>
              <w:right w:val="single" w:color="auto" w:sz="4" w:space="0"/>
            </w:tcBorders>
            <w:noWrap/>
            <w:vAlign w:val="center"/>
          </w:tcPr>
          <w:p w14:paraId="70BD9496">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72.0</w:t>
            </w:r>
          </w:p>
        </w:tc>
        <w:tc>
          <w:tcPr>
            <w:tcW w:w="501" w:type="pct"/>
            <w:tcBorders>
              <w:top w:val="single" w:color="auto" w:sz="6" w:space="0"/>
              <w:left w:val="single" w:color="auto" w:sz="4" w:space="0"/>
              <w:bottom w:val="single" w:color="auto" w:sz="6" w:space="0"/>
            </w:tcBorders>
            <w:noWrap w:val="0"/>
            <w:vAlign w:val="center"/>
          </w:tcPr>
          <w:p w14:paraId="6B248D10">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64.0</w:t>
            </w:r>
          </w:p>
        </w:tc>
        <w:tc>
          <w:tcPr>
            <w:tcW w:w="364" w:type="pct"/>
            <w:tcBorders>
              <w:top w:val="single" w:color="auto" w:sz="6" w:space="0"/>
              <w:bottom w:val="single" w:color="auto" w:sz="6" w:space="0"/>
            </w:tcBorders>
            <w:noWrap/>
            <w:vAlign w:val="center"/>
          </w:tcPr>
          <w:p w14:paraId="43AFA1E0">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61.1</w:t>
            </w:r>
          </w:p>
        </w:tc>
        <w:tc>
          <w:tcPr>
            <w:tcW w:w="480" w:type="pct"/>
            <w:tcBorders>
              <w:top w:val="single" w:color="auto" w:sz="6" w:space="0"/>
              <w:bottom w:val="single" w:color="auto" w:sz="6" w:space="0"/>
            </w:tcBorders>
            <w:noWrap/>
            <w:vAlign w:val="center"/>
          </w:tcPr>
          <w:p w14:paraId="77983FD2">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58.0</w:t>
            </w:r>
          </w:p>
        </w:tc>
        <w:tc>
          <w:tcPr>
            <w:tcW w:w="417" w:type="pct"/>
            <w:tcBorders>
              <w:top w:val="single" w:color="auto" w:sz="6" w:space="0"/>
              <w:bottom w:val="single" w:color="auto" w:sz="6" w:space="0"/>
            </w:tcBorders>
            <w:noWrap/>
            <w:vAlign w:val="center"/>
          </w:tcPr>
          <w:p w14:paraId="7E959DFD">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54.5</w:t>
            </w:r>
          </w:p>
        </w:tc>
        <w:tc>
          <w:tcPr>
            <w:tcW w:w="413" w:type="pct"/>
            <w:tcBorders>
              <w:top w:val="single" w:color="auto" w:sz="6" w:space="0"/>
              <w:left w:val="single" w:color="auto" w:sz="4" w:space="0"/>
              <w:bottom w:val="single" w:color="auto" w:sz="6" w:space="0"/>
            </w:tcBorders>
            <w:noWrap w:val="0"/>
            <w:vAlign w:val="center"/>
          </w:tcPr>
          <w:p w14:paraId="7B7FFD9A">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52.0</w:t>
            </w:r>
          </w:p>
        </w:tc>
      </w:tr>
      <w:tr w14:paraId="0BD47B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9" w:type="pct"/>
            <w:tcBorders>
              <w:top w:val="single" w:color="auto" w:sz="6" w:space="0"/>
              <w:bottom w:val="single" w:color="auto" w:sz="6" w:space="0"/>
            </w:tcBorders>
            <w:noWrap/>
            <w:vAlign w:val="center"/>
          </w:tcPr>
          <w:p w14:paraId="4C34F11D">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切割机</w:t>
            </w:r>
          </w:p>
        </w:tc>
        <w:tc>
          <w:tcPr>
            <w:tcW w:w="417" w:type="pct"/>
            <w:tcBorders>
              <w:top w:val="single" w:color="auto" w:sz="6" w:space="0"/>
              <w:bottom w:val="single" w:color="auto" w:sz="6" w:space="0"/>
            </w:tcBorders>
            <w:noWrap w:val="0"/>
            <w:vAlign w:val="center"/>
          </w:tcPr>
          <w:p w14:paraId="1617D7D2">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96</w:t>
            </w:r>
          </w:p>
        </w:tc>
        <w:tc>
          <w:tcPr>
            <w:tcW w:w="584" w:type="pct"/>
            <w:tcBorders>
              <w:top w:val="single" w:color="auto" w:sz="6" w:space="0"/>
              <w:bottom w:val="single" w:color="auto" w:sz="6" w:space="0"/>
            </w:tcBorders>
            <w:noWrap/>
            <w:vAlign w:val="center"/>
          </w:tcPr>
          <w:p w14:paraId="73F3238E">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90.0</w:t>
            </w:r>
          </w:p>
        </w:tc>
        <w:tc>
          <w:tcPr>
            <w:tcW w:w="501" w:type="pct"/>
            <w:tcBorders>
              <w:top w:val="single" w:color="auto" w:sz="6" w:space="0"/>
              <w:bottom w:val="single" w:color="auto" w:sz="6" w:space="0"/>
              <w:right w:val="single" w:color="auto" w:sz="4" w:space="0"/>
            </w:tcBorders>
            <w:noWrap/>
            <w:vAlign w:val="center"/>
          </w:tcPr>
          <w:p w14:paraId="70BF09ED">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84.0</w:t>
            </w:r>
          </w:p>
        </w:tc>
        <w:tc>
          <w:tcPr>
            <w:tcW w:w="501" w:type="pct"/>
            <w:tcBorders>
              <w:top w:val="single" w:color="auto" w:sz="6" w:space="0"/>
              <w:left w:val="single" w:color="auto" w:sz="4" w:space="0"/>
              <w:bottom w:val="single" w:color="auto" w:sz="6" w:space="0"/>
            </w:tcBorders>
            <w:noWrap w:val="0"/>
            <w:vAlign w:val="center"/>
          </w:tcPr>
          <w:p w14:paraId="32942DC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76.0</w:t>
            </w:r>
          </w:p>
        </w:tc>
        <w:tc>
          <w:tcPr>
            <w:tcW w:w="364" w:type="pct"/>
            <w:tcBorders>
              <w:top w:val="single" w:color="auto" w:sz="6" w:space="0"/>
              <w:bottom w:val="single" w:color="auto" w:sz="6" w:space="0"/>
            </w:tcBorders>
            <w:noWrap/>
            <w:vAlign w:val="center"/>
          </w:tcPr>
          <w:p w14:paraId="7DD8E662">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73.1</w:t>
            </w:r>
          </w:p>
        </w:tc>
        <w:tc>
          <w:tcPr>
            <w:tcW w:w="480" w:type="pct"/>
            <w:tcBorders>
              <w:top w:val="single" w:color="auto" w:sz="6" w:space="0"/>
              <w:bottom w:val="single" w:color="auto" w:sz="6" w:space="0"/>
            </w:tcBorders>
            <w:noWrap/>
            <w:vAlign w:val="center"/>
          </w:tcPr>
          <w:p w14:paraId="02F8F717">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70.0</w:t>
            </w:r>
          </w:p>
        </w:tc>
        <w:tc>
          <w:tcPr>
            <w:tcW w:w="417" w:type="pct"/>
            <w:tcBorders>
              <w:top w:val="single" w:color="auto" w:sz="6" w:space="0"/>
              <w:bottom w:val="single" w:color="auto" w:sz="6" w:space="0"/>
            </w:tcBorders>
            <w:noWrap/>
            <w:vAlign w:val="center"/>
          </w:tcPr>
          <w:p w14:paraId="4C0955DB">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66.5</w:t>
            </w:r>
          </w:p>
        </w:tc>
        <w:tc>
          <w:tcPr>
            <w:tcW w:w="413" w:type="pct"/>
            <w:tcBorders>
              <w:top w:val="single" w:color="auto" w:sz="6" w:space="0"/>
              <w:left w:val="single" w:color="auto" w:sz="4" w:space="0"/>
              <w:bottom w:val="single" w:color="auto" w:sz="6" w:space="0"/>
            </w:tcBorders>
            <w:noWrap w:val="0"/>
            <w:vAlign w:val="center"/>
          </w:tcPr>
          <w:p w14:paraId="2EB43FE8">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64.0</w:t>
            </w:r>
          </w:p>
        </w:tc>
      </w:tr>
      <w:tr w14:paraId="12C3B3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9" w:type="pct"/>
            <w:tcBorders>
              <w:top w:val="single" w:color="auto" w:sz="6" w:space="0"/>
              <w:bottom w:val="single" w:color="auto" w:sz="6" w:space="0"/>
            </w:tcBorders>
            <w:noWrap/>
            <w:vAlign w:val="center"/>
          </w:tcPr>
          <w:p w14:paraId="2187FD70">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载重汽车</w:t>
            </w:r>
          </w:p>
        </w:tc>
        <w:tc>
          <w:tcPr>
            <w:tcW w:w="417" w:type="pct"/>
            <w:tcBorders>
              <w:top w:val="single" w:color="auto" w:sz="6" w:space="0"/>
              <w:bottom w:val="single" w:color="auto" w:sz="6" w:space="0"/>
            </w:tcBorders>
            <w:noWrap w:val="0"/>
            <w:vAlign w:val="center"/>
          </w:tcPr>
          <w:p w14:paraId="29A89BF1">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88</w:t>
            </w:r>
          </w:p>
        </w:tc>
        <w:tc>
          <w:tcPr>
            <w:tcW w:w="584" w:type="pct"/>
            <w:tcBorders>
              <w:top w:val="single" w:color="auto" w:sz="6" w:space="0"/>
              <w:bottom w:val="single" w:color="auto" w:sz="6" w:space="0"/>
            </w:tcBorders>
            <w:noWrap/>
            <w:vAlign w:val="center"/>
          </w:tcPr>
          <w:p w14:paraId="65F0153C">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82.0</w:t>
            </w:r>
          </w:p>
        </w:tc>
        <w:tc>
          <w:tcPr>
            <w:tcW w:w="501" w:type="pct"/>
            <w:tcBorders>
              <w:top w:val="single" w:color="auto" w:sz="6" w:space="0"/>
              <w:bottom w:val="single" w:color="auto" w:sz="6" w:space="0"/>
              <w:right w:val="single" w:color="auto" w:sz="4" w:space="0"/>
            </w:tcBorders>
            <w:noWrap/>
            <w:vAlign w:val="center"/>
          </w:tcPr>
          <w:p w14:paraId="7AAB6B9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76.0</w:t>
            </w:r>
          </w:p>
        </w:tc>
        <w:tc>
          <w:tcPr>
            <w:tcW w:w="501" w:type="pct"/>
            <w:tcBorders>
              <w:top w:val="single" w:color="auto" w:sz="6" w:space="0"/>
              <w:left w:val="single" w:color="auto" w:sz="4" w:space="0"/>
              <w:bottom w:val="single" w:color="auto" w:sz="6" w:space="0"/>
            </w:tcBorders>
            <w:noWrap w:val="0"/>
            <w:vAlign w:val="center"/>
          </w:tcPr>
          <w:p w14:paraId="6C2E6EBE">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68.0</w:t>
            </w:r>
          </w:p>
        </w:tc>
        <w:tc>
          <w:tcPr>
            <w:tcW w:w="364" w:type="pct"/>
            <w:tcBorders>
              <w:top w:val="single" w:color="auto" w:sz="6" w:space="0"/>
              <w:bottom w:val="single" w:color="auto" w:sz="6" w:space="0"/>
            </w:tcBorders>
            <w:noWrap/>
            <w:vAlign w:val="center"/>
          </w:tcPr>
          <w:p w14:paraId="7B311CEC">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65.1</w:t>
            </w:r>
          </w:p>
        </w:tc>
        <w:tc>
          <w:tcPr>
            <w:tcW w:w="480" w:type="pct"/>
            <w:tcBorders>
              <w:top w:val="single" w:color="auto" w:sz="6" w:space="0"/>
              <w:bottom w:val="single" w:color="auto" w:sz="6" w:space="0"/>
            </w:tcBorders>
            <w:noWrap/>
            <w:vAlign w:val="center"/>
          </w:tcPr>
          <w:p w14:paraId="5642E947">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62.0</w:t>
            </w:r>
          </w:p>
        </w:tc>
        <w:tc>
          <w:tcPr>
            <w:tcW w:w="417" w:type="pct"/>
            <w:tcBorders>
              <w:top w:val="single" w:color="auto" w:sz="6" w:space="0"/>
              <w:bottom w:val="single" w:color="auto" w:sz="6" w:space="0"/>
            </w:tcBorders>
            <w:noWrap/>
            <w:vAlign w:val="center"/>
          </w:tcPr>
          <w:p w14:paraId="6609AF02">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58.5</w:t>
            </w:r>
          </w:p>
        </w:tc>
        <w:tc>
          <w:tcPr>
            <w:tcW w:w="413" w:type="pct"/>
            <w:tcBorders>
              <w:top w:val="single" w:color="auto" w:sz="6" w:space="0"/>
              <w:left w:val="single" w:color="auto" w:sz="4" w:space="0"/>
              <w:bottom w:val="single" w:color="auto" w:sz="6" w:space="0"/>
            </w:tcBorders>
            <w:noWrap w:val="0"/>
            <w:vAlign w:val="center"/>
          </w:tcPr>
          <w:p w14:paraId="07463760">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56.0</w:t>
            </w:r>
          </w:p>
        </w:tc>
      </w:tr>
      <w:tr w14:paraId="4BB115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9" w:type="pct"/>
            <w:tcBorders>
              <w:top w:val="single" w:color="auto" w:sz="6" w:space="0"/>
              <w:bottom w:val="single" w:color="auto" w:sz="6" w:space="0"/>
            </w:tcBorders>
            <w:noWrap/>
            <w:vAlign w:val="center"/>
          </w:tcPr>
          <w:p w14:paraId="38B1E6DC">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空压机</w:t>
            </w:r>
          </w:p>
        </w:tc>
        <w:tc>
          <w:tcPr>
            <w:tcW w:w="417" w:type="pct"/>
            <w:tcBorders>
              <w:top w:val="single" w:color="auto" w:sz="6" w:space="0"/>
              <w:bottom w:val="single" w:color="auto" w:sz="6" w:space="0"/>
            </w:tcBorders>
            <w:noWrap w:val="0"/>
            <w:vAlign w:val="center"/>
          </w:tcPr>
          <w:p w14:paraId="3050329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88</w:t>
            </w:r>
          </w:p>
        </w:tc>
        <w:tc>
          <w:tcPr>
            <w:tcW w:w="584" w:type="pct"/>
            <w:tcBorders>
              <w:top w:val="single" w:color="auto" w:sz="6" w:space="0"/>
              <w:bottom w:val="single" w:color="auto" w:sz="6" w:space="0"/>
            </w:tcBorders>
            <w:noWrap/>
            <w:vAlign w:val="center"/>
          </w:tcPr>
          <w:p w14:paraId="382FF21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82.0</w:t>
            </w:r>
          </w:p>
        </w:tc>
        <w:tc>
          <w:tcPr>
            <w:tcW w:w="501" w:type="pct"/>
            <w:tcBorders>
              <w:top w:val="single" w:color="auto" w:sz="6" w:space="0"/>
              <w:bottom w:val="single" w:color="auto" w:sz="6" w:space="0"/>
              <w:right w:val="single" w:color="auto" w:sz="4" w:space="0"/>
            </w:tcBorders>
            <w:noWrap/>
            <w:vAlign w:val="center"/>
          </w:tcPr>
          <w:p w14:paraId="1BF06BF8">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76.0</w:t>
            </w:r>
          </w:p>
        </w:tc>
        <w:tc>
          <w:tcPr>
            <w:tcW w:w="501" w:type="pct"/>
            <w:tcBorders>
              <w:top w:val="single" w:color="auto" w:sz="6" w:space="0"/>
              <w:left w:val="single" w:color="auto" w:sz="4" w:space="0"/>
              <w:bottom w:val="single" w:color="auto" w:sz="6" w:space="0"/>
            </w:tcBorders>
            <w:noWrap w:val="0"/>
            <w:vAlign w:val="center"/>
          </w:tcPr>
          <w:p w14:paraId="7C97AC7D">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68.0</w:t>
            </w:r>
          </w:p>
        </w:tc>
        <w:tc>
          <w:tcPr>
            <w:tcW w:w="364" w:type="pct"/>
            <w:tcBorders>
              <w:top w:val="single" w:color="auto" w:sz="6" w:space="0"/>
              <w:bottom w:val="single" w:color="auto" w:sz="6" w:space="0"/>
            </w:tcBorders>
            <w:noWrap/>
            <w:vAlign w:val="center"/>
          </w:tcPr>
          <w:p w14:paraId="1128D6A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65.1</w:t>
            </w:r>
          </w:p>
        </w:tc>
        <w:tc>
          <w:tcPr>
            <w:tcW w:w="480" w:type="pct"/>
            <w:tcBorders>
              <w:top w:val="single" w:color="auto" w:sz="6" w:space="0"/>
              <w:bottom w:val="single" w:color="auto" w:sz="6" w:space="0"/>
            </w:tcBorders>
            <w:noWrap/>
            <w:vAlign w:val="center"/>
          </w:tcPr>
          <w:p w14:paraId="002EDFCF">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62.0</w:t>
            </w:r>
          </w:p>
        </w:tc>
        <w:tc>
          <w:tcPr>
            <w:tcW w:w="417" w:type="pct"/>
            <w:tcBorders>
              <w:top w:val="single" w:color="auto" w:sz="6" w:space="0"/>
              <w:bottom w:val="single" w:color="auto" w:sz="6" w:space="0"/>
            </w:tcBorders>
            <w:noWrap/>
            <w:vAlign w:val="center"/>
          </w:tcPr>
          <w:p w14:paraId="3FBF5A1C">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58.5</w:t>
            </w:r>
          </w:p>
        </w:tc>
        <w:tc>
          <w:tcPr>
            <w:tcW w:w="413" w:type="pct"/>
            <w:tcBorders>
              <w:top w:val="single" w:color="auto" w:sz="6" w:space="0"/>
              <w:left w:val="single" w:color="auto" w:sz="4" w:space="0"/>
              <w:bottom w:val="single" w:color="auto" w:sz="6" w:space="0"/>
            </w:tcBorders>
            <w:noWrap w:val="0"/>
            <w:vAlign w:val="center"/>
          </w:tcPr>
          <w:p w14:paraId="0BAC49EB">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56.0</w:t>
            </w:r>
          </w:p>
        </w:tc>
      </w:tr>
      <w:tr w14:paraId="78D22E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9" w:type="pct"/>
            <w:tcBorders>
              <w:top w:val="single" w:color="auto" w:sz="6" w:space="0"/>
              <w:bottom w:val="single" w:color="auto" w:sz="6" w:space="0"/>
            </w:tcBorders>
            <w:noWrap/>
            <w:vAlign w:val="center"/>
          </w:tcPr>
          <w:p w14:paraId="08FA7AD4">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柴油发电机</w:t>
            </w:r>
          </w:p>
        </w:tc>
        <w:tc>
          <w:tcPr>
            <w:tcW w:w="707" w:type="dxa"/>
            <w:tcBorders>
              <w:top w:val="single" w:color="auto" w:sz="6" w:space="0"/>
              <w:bottom w:val="single" w:color="auto" w:sz="6" w:space="0"/>
            </w:tcBorders>
            <w:noWrap w:val="0"/>
            <w:vAlign w:val="center"/>
          </w:tcPr>
          <w:p w14:paraId="603C3F73">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96</w:t>
            </w:r>
          </w:p>
        </w:tc>
        <w:tc>
          <w:tcPr>
            <w:tcW w:w="990" w:type="dxa"/>
            <w:tcBorders>
              <w:top w:val="single" w:color="auto" w:sz="6" w:space="0"/>
              <w:bottom w:val="single" w:color="auto" w:sz="6" w:space="0"/>
            </w:tcBorders>
            <w:noWrap/>
            <w:vAlign w:val="center"/>
          </w:tcPr>
          <w:p w14:paraId="3BE156AB">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90.0</w:t>
            </w:r>
          </w:p>
        </w:tc>
        <w:tc>
          <w:tcPr>
            <w:tcW w:w="850" w:type="dxa"/>
            <w:tcBorders>
              <w:top w:val="single" w:color="auto" w:sz="6" w:space="0"/>
              <w:bottom w:val="single" w:color="auto" w:sz="6" w:space="0"/>
              <w:right w:val="single" w:color="auto" w:sz="4" w:space="0"/>
            </w:tcBorders>
            <w:noWrap/>
            <w:vAlign w:val="center"/>
          </w:tcPr>
          <w:p w14:paraId="6EEE95F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84.0</w:t>
            </w:r>
          </w:p>
        </w:tc>
        <w:tc>
          <w:tcPr>
            <w:tcW w:w="850" w:type="dxa"/>
            <w:tcBorders>
              <w:top w:val="single" w:color="auto" w:sz="6" w:space="0"/>
              <w:left w:val="single" w:color="auto" w:sz="4" w:space="0"/>
              <w:bottom w:val="single" w:color="auto" w:sz="6" w:space="0"/>
            </w:tcBorders>
            <w:noWrap w:val="0"/>
            <w:vAlign w:val="center"/>
          </w:tcPr>
          <w:p w14:paraId="1939966C">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76.0</w:t>
            </w:r>
          </w:p>
        </w:tc>
        <w:tc>
          <w:tcPr>
            <w:tcW w:w="617" w:type="dxa"/>
            <w:tcBorders>
              <w:top w:val="single" w:color="auto" w:sz="6" w:space="0"/>
              <w:bottom w:val="single" w:color="auto" w:sz="6" w:space="0"/>
            </w:tcBorders>
            <w:noWrap/>
            <w:vAlign w:val="center"/>
          </w:tcPr>
          <w:p w14:paraId="00416131">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73.1</w:t>
            </w:r>
          </w:p>
        </w:tc>
        <w:tc>
          <w:tcPr>
            <w:tcW w:w="814" w:type="dxa"/>
            <w:tcBorders>
              <w:top w:val="single" w:color="auto" w:sz="6" w:space="0"/>
              <w:bottom w:val="single" w:color="auto" w:sz="6" w:space="0"/>
            </w:tcBorders>
            <w:noWrap/>
            <w:vAlign w:val="center"/>
          </w:tcPr>
          <w:p w14:paraId="4FC83FFD">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70.0</w:t>
            </w:r>
          </w:p>
        </w:tc>
        <w:tc>
          <w:tcPr>
            <w:tcW w:w="707" w:type="dxa"/>
            <w:tcBorders>
              <w:top w:val="single" w:color="auto" w:sz="6" w:space="0"/>
              <w:bottom w:val="single" w:color="auto" w:sz="6" w:space="0"/>
            </w:tcBorders>
            <w:noWrap/>
            <w:vAlign w:val="center"/>
          </w:tcPr>
          <w:p w14:paraId="1EBA3A9C">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66.5</w:t>
            </w:r>
          </w:p>
        </w:tc>
        <w:tc>
          <w:tcPr>
            <w:tcW w:w="700" w:type="dxa"/>
            <w:tcBorders>
              <w:top w:val="single" w:color="auto" w:sz="6" w:space="0"/>
              <w:left w:val="single" w:color="auto" w:sz="4" w:space="0"/>
              <w:bottom w:val="single" w:color="auto" w:sz="6" w:space="0"/>
            </w:tcBorders>
            <w:noWrap w:val="0"/>
            <w:vAlign w:val="center"/>
          </w:tcPr>
          <w:p w14:paraId="2F4AF980">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64.0</w:t>
            </w:r>
          </w:p>
        </w:tc>
      </w:tr>
    </w:tbl>
    <w:p w14:paraId="4987C38F">
      <w:pPr>
        <w:adjustRightInd w:val="0"/>
        <w:snapToGrid w:val="0"/>
        <w:ind w:firstLine="200" w:firstLineChars="100"/>
        <w:rPr>
          <w:rFonts w:hint="default" w:ascii="Times New Roman" w:hAnsi="Times New Roman" w:eastAsia="宋体" w:cs="Times New Roman"/>
          <w:color w:val="auto"/>
          <w:sz w:val="20"/>
          <w:szCs w:val="20"/>
        </w:rPr>
      </w:pPr>
    </w:p>
    <w:p w14:paraId="3CA9319F">
      <w:pPr>
        <w:pStyle w:val="56"/>
        <w:rPr>
          <w:rFonts w:hint="default" w:ascii="Times New Roman" w:hAnsi="Times New Roman" w:eastAsia="宋体" w:cs="Times New Roman"/>
          <w:color w:val="auto"/>
        </w:rPr>
      </w:pPr>
      <w:bookmarkStart w:id="320" w:name="OLE_LINK6"/>
      <w:r>
        <w:rPr>
          <w:rFonts w:hint="default" w:ascii="Times New Roman" w:hAnsi="Times New Roman" w:eastAsia="宋体" w:cs="Times New Roman"/>
          <w:color w:val="auto"/>
        </w:rPr>
        <w:t>根据表5.4-1可知，正常情况下，在距离施工机具50m处施工机具对声环境的贡献值为64.0~76.0dB（A），在距离施工机具100m处施工机具对声环境的贡献值为58.0~70.0dB（A），在距离施工机具200m处施工机具对声环境的贡献值为52.0~64.0dB（A）。</w:t>
      </w:r>
    </w:p>
    <w:p w14:paraId="373EA7CB">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val="en-US" w:eastAsia="zh-CN"/>
        </w:rPr>
        <w:t>根据1.10.4声环境保护目标调查可知，管道改建段沿线200m范围内无学校、医院等分布，主要为散居农户（约</w:t>
      </w:r>
      <w:r>
        <w:rPr>
          <w:rFonts w:hint="default" w:ascii="Times New Roman" w:hAnsi="Times New Roman" w:eastAsia="宋体" w:cs="Times New Roman"/>
          <w:color w:val="auto"/>
          <w:lang w:val="en-US" w:eastAsia="zh-CN" w:bidi="ar"/>
        </w:rPr>
        <w:t>28户84人</w:t>
      </w:r>
      <w:r>
        <w:rPr>
          <w:rFonts w:hint="default"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rPr>
        <w:t>因此，本次评价要求施工过程中：①合理布局施工机械，合理安排施工强度，做好施工组织设计，尽可能将施工机械远离周围的敏感点；②选用符合国家标准的低噪声设备，并加强对设备的维修保养，避免由于设备非正常工作而产生高噪声污染；③合理安排施工时间，禁止夜间（22：00－次日6：00）施工；④施工运输应注意合理安排施工物料的运输时间。在途经附近居民点和学校路段，应减速慢行、禁止鸣笛；⑤施工过程中加强与附近居民的沟通，争取他们的理解和支持；⑥在施工招投标时，将减低环境噪声污染的措施列为施工组织设计内容，并在合同中予以明确。</w:t>
      </w:r>
    </w:p>
    <w:p w14:paraId="242E8AD2">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总的来说，</w:t>
      </w:r>
      <w:bookmarkEnd w:id="320"/>
      <w:bookmarkStart w:id="321" w:name="_Toc45551090"/>
      <w:r>
        <w:rPr>
          <w:rFonts w:hint="default" w:ascii="Times New Roman" w:hAnsi="Times New Roman" w:eastAsia="宋体" w:cs="Times New Roman"/>
          <w:color w:val="auto"/>
          <w:sz w:val="26"/>
          <w:szCs w:val="26"/>
        </w:rPr>
        <w:t>管道施工时对沿线居民有一定程度的影响，但由于施工周期短，且不在夜间施工，通过采取以上噪声防治措施，可最大限度地减少施工噪声对周围环境的影响，施工对沿线各声环境敏感目标的影响可接受。</w:t>
      </w:r>
    </w:p>
    <w:p w14:paraId="2FCA79B8">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322" w:name="_Toc17956"/>
      <w:bookmarkStart w:id="323" w:name="_Toc31524"/>
      <w:bookmarkStart w:id="324" w:name="_Toc60144405"/>
      <w:r>
        <w:rPr>
          <w:rFonts w:hint="default" w:ascii="Times New Roman" w:hAnsi="Times New Roman" w:eastAsia="宋体" w:cs="Times New Roman"/>
          <w:b/>
          <w:color w:val="auto"/>
          <w:sz w:val="26"/>
          <w:szCs w:val="26"/>
        </w:rPr>
        <w:t>5.5固体废物影响分析</w:t>
      </w:r>
      <w:bookmarkEnd w:id="321"/>
      <w:bookmarkEnd w:id="322"/>
      <w:bookmarkEnd w:id="323"/>
      <w:bookmarkEnd w:id="324"/>
    </w:p>
    <w:p w14:paraId="0C61EE6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施工期产生的固体废物主要是生活垃圾和施工废料。</w:t>
      </w:r>
    </w:p>
    <w:p w14:paraId="79D24C3B">
      <w:pPr>
        <w:pStyle w:val="56"/>
        <w:rPr>
          <w:rFonts w:hint="default" w:ascii="Times New Roman" w:hAnsi="Times New Roman" w:eastAsia="宋体" w:cs="Times New Roman"/>
          <w:bCs/>
          <w:color w:val="auto"/>
        </w:rPr>
      </w:pPr>
      <w:r>
        <w:rPr>
          <w:rFonts w:hint="default" w:ascii="Times New Roman" w:hAnsi="Times New Roman" w:eastAsia="宋体" w:cs="Times New Roman"/>
          <w:bCs/>
          <w:color w:val="auto"/>
        </w:rPr>
        <w:t>（1）生活垃圾</w:t>
      </w:r>
    </w:p>
    <w:p w14:paraId="6A8DBF41">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工程施工期生活垃圾产生量约为5kg/d。如果生活垃圾乱堆放，会影响施工场地的美观和卫生情况，同时滋生细菌、蝇、蚊等可能对施工人员身体健康造成危害。本工程针对生活垃圾依托当地现有设施收集后交环卫部门处理的措施，规范生活垃圾的管理，避免其乱堆放，确保施工场地有良好的卫生条件，</w:t>
      </w:r>
      <w:r>
        <w:rPr>
          <w:rFonts w:hint="default" w:ascii="Times New Roman" w:hAnsi="Times New Roman" w:eastAsia="宋体" w:cs="Times New Roman"/>
          <w:color w:val="auto"/>
          <w:shd w:val="clear" w:fill="FFFFFF"/>
          <w:lang w:eastAsia="zh-CN"/>
        </w:rPr>
        <w:t>减少</w:t>
      </w:r>
      <w:r>
        <w:rPr>
          <w:rFonts w:hint="default" w:ascii="Times New Roman" w:hAnsi="Times New Roman" w:eastAsia="宋体" w:cs="Times New Roman"/>
          <w:color w:val="auto"/>
        </w:rPr>
        <w:t>生活垃圾对环境的不良影响。</w:t>
      </w:r>
    </w:p>
    <w:p w14:paraId="6C116E37">
      <w:pPr>
        <w:pStyle w:val="56"/>
        <w:rPr>
          <w:rFonts w:hint="default" w:ascii="Times New Roman" w:hAnsi="Times New Roman" w:eastAsia="宋体" w:cs="Times New Roman"/>
          <w:bCs/>
          <w:color w:val="auto"/>
        </w:rPr>
      </w:pPr>
      <w:r>
        <w:rPr>
          <w:rFonts w:hint="default" w:ascii="Times New Roman" w:hAnsi="Times New Roman" w:eastAsia="宋体" w:cs="Times New Roman"/>
          <w:bCs/>
          <w:color w:val="auto"/>
        </w:rPr>
        <w:t>（2）施工废料</w:t>
      </w:r>
    </w:p>
    <w:p w14:paraId="0DD7051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施工废料主要包括废包装材料、废焊条，清管所产生的少量铁屑、粉尘，以及施工过程中产生的废金属等。可回收施工废料外售废品回收站回收处置，不可回收施工废料收集后送当地环卫部门统一处置。</w:t>
      </w:r>
    </w:p>
    <w:p w14:paraId="574D0E4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综上，本项目固体废物均得到妥善处置，对环境影响很小，</w:t>
      </w:r>
      <w:r>
        <w:rPr>
          <w:rFonts w:hint="default" w:ascii="Times New Roman" w:hAnsi="Times New Roman" w:eastAsia="宋体" w:cs="Times New Roman"/>
          <w:color w:val="auto"/>
          <w:shd w:val="clear" w:fill="FFFFFF"/>
        </w:rPr>
        <w:t>属</w:t>
      </w:r>
      <w:r>
        <w:rPr>
          <w:rFonts w:hint="default" w:ascii="Times New Roman" w:hAnsi="Times New Roman" w:eastAsia="宋体" w:cs="Times New Roman"/>
          <w:color w:val="auto"/>
        </w:rPr>
        <w:t>可接受的范畴。</w:t>
      </w:r>
    </w:p>
    <w:p w14:paraId="62F24502">
      <w:pPr>
        <w:spacing w:line="480" w:lineRule="exact"/>
        <w:ind w:firstLine="522" w:firstLineChars="200"/>
        <w:outlineLvl w:val="1"/>
        <w:rPr>
          <w:rFonts w:hint="default" w:ascii="Times New Roman" w:hAnsi="Times New Roman" w:eastAsia="宋体" w:cs="Times New Roman"/>
          <w:b/>
          <w:color w:val="auto"/>
          <w:sz w:val="26"/>
          <w:szCs w:val="26"/>
        </w:rPr>
      </w:pPr>
      <w:bookmarkStart w:id="325" w:name="_Toc15543"/>
      <w:r>
        <w:rPr>
          <w:rFonts w:hint="default" w:ascii="Times New Roman" w:hAnsi="Times New Roman" w:eastAsia="宋体" w:cs="Times New Roman"/>
          <w:b/>
          <w:color w:val="auto"/>
          <w:sz w:val="26"/>
          <w:szCs w:val="26"/>
        </w:rPr>
        <w:t>5.6生态环境影响分析</w:t>
      </w:r>
      <w:bookmarkEnd w:id="325"/>
    </w:p>
    <w:p w14:paraId="2FB68E6B">
      <w:pPr>
        <w:spacing w:line="480" w:lineRule="exact"/>
        <w:ind w:firstLine="522" w:firstLineChars="200"/>
        <w:outlineLvl w:val="2"/>
        <w:rPr>
          <w:rFonts w:hint="default" w:ascii="Times New Roman" w:hAnsi="Times New Roman" w:eastAsia="宋体" w:cs="Times New Roman"/>
          <w:b/>
          <w:color w:val="auto"/>
          <w:sz w:val="26"/>
          <w:szCs w:val="26"/>
        </w:rPr>
      </w:pPr>
      <w:bookmarkStart w:id="326" w:name="_Toc66971179"/>
      <w:r>
        <w:rPr>
          <w:rFonts w:hint="default" w:ascii="Times New Roman" w:hAnsi="Times New Roman" w:eastAsia="宋体" w:cs="Times New Roman"/>
          <w:b/>
          <w:color w:val="auto"/>
          <w:sz w:val="26"/>
          <w:szCs w:val="26"/>
        </w:rPr>
        <w:t>5.6.1对土地利用的影响</w:t>
      </w:r>
      <w:bookmarkEnd w:id="326"/>
    </w:p>
    <w:p w14:paraId="2D1E081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本项目总占地面积约</w:t>
      </w:r>
      <w:r>
        <w:rPr>
          <w:rFonts w:hint="default" w:ascii="Times New Roman" w:hAnsi="Times New Roman" w:eastAsia="宋体" w:cs="Times New Roman"/>
          <w:color w:val="auto"/>
          <w:lang w:val="en-US" w:eastAsia="zh-CN"/>
        </w:rPr>
        <w:t>0.94h</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。均为临时占地。根据现场调查，临时占地以耕地为主，</w:t>
      </w:r>
      <w:r>
        <w:rPr>
          <w:rFonts w:hint="default" w:ascii="Times New Roman" w:hAnsi="Times New Roman" w:eastAsia="宋体" w:cs="Times New Roman"/>
          <w:bCs/>
          <w:color w:val="auto"/>
        </w:rPr>
        <w:t>工程施工将造成农作物减产</w:t>
      </w:r>
      <w:r>
        <w:rPr>
          <w:rFonts w:hint="default" w:ascii="Times New Roman" w:hAnsi="Times New Roman" w:eastAsia="宋体" w:cs="Times New Roman"/>
          <w:color w:val="auto"/>
        </w:rPr>
        <w:t>。</w:t>
      </w:r>
    </w:p>
    <w:p w14:paraId="316370E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工程临时占地包括管沟开挖、堆管场等。工程临时占地将在短期内改变利用性质，施工结束后，临时占地将恢复其原有土地利用方式，工程施工基本不改变工程的土地利用格局。其中，耕地可立即恢复生产，只影响一季的生产和土地利用方式；荒地则可完全恢复。</w:t>
      </w:r>
    </w:p>
    <w:p w14:paraId="42FD2ED9">
      <w:pPr>
        <w:spacing w:line="480" w:lineRule="exact"/>
        <w:ind w:firstLine="522" w:firstLineChars="200"/>
        <w:outlineLvl w:val="2"/>
        <w:rPr>
          <w:rFonts w:hint="default" w:ascii="Times New Roman" w:hAnsi="Times New Roman" w:eastAsia="宋体" w:cs="Times New Roman"/>
          <w:b/>
          <w:color w:val="auto"/>
          <w:sz w:val="26"/>
          <w:szCs w:val="26"/>
        </w:rPr>
      </w:pPr>
      <w:bookmarkStart w:id="327" w:name="_Toc66971180"/>
      <w:r>
        <w:rPr>
          <w:rFonts w:hint="default" w:ascii="Times New Roman" w:hAnsi="Times New Roman" w:eastAsia="宋体" w:cs="Times New Roman"/>
          <w:b/>
          <w:color w:val="auto"/>
          <w:sz w:val="26"/>
          <w:szCs w:val="26"/>
        </w:rPr>
        <w:t>5.6.2对土壤环境的影响</w:t>
      </w:r>
      <w:bookmarkEnd w:id="327"/>
    </w:p>
    <w:p w14:paraId="0767654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（1）扰乱土壤发生层、破坏土壤结构</w:t>
      </w:r>
    </w:p>
    <w:p w14:paraId="25EB29B3">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土壤结构是经过较长的历史时期形成的，管沟开挖和回填必将破坏土壤的结构。尤其是土壤中的团粒结构，一旦遭到破坏，会经过较长的时间才能恢复，对农田土壤影响更大。农田土壤耕作层是保证农业生产的基础，农作物根系生长和发育的层次深度一般在15~25 cm，管道开挖会扰乱和破坏土壤的耕作层。同时，开挖土堆放两边占用农田，也会破坏农田的耕作土。此外，土层的混合和扰动会改变原有农田耕作层的性质。因此，在整个施工过程中，对土壤耕作层的影响较大。</w:t>
      </w:r>
    </w:p>
    <w:p w14:paraId="7981E72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（2）混合土壤层次，改变土壤质地</w:t>
      </w:r>
    </w:p>
    <w:p w14:paraId="590F9AB6">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土壤质地因地形和土壤形成条件的不同而有较大的变化，即使同一土壤剖面，表层土壤质地与底层的也截然不同。输气管道的开挖和回填，混合原有的土壤层次，会降低土壤的蓄水保肥能力，从而影响土壤的发育，植被的恢复；在农田区将降低土壤的耕作性能，影响农作物的生长，最终导致农作物产量的下降。</w:t>
      </w:r>
    </w:p>
    <w:p w14:paraId="2E00565C">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（3）改变土壤肥力</w:t>
      </w:r>
    </w:p>
    <w:p w14:paraId="70A2B28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土体构型是土壤剖面中各种土层的组合情况。不同土层的特征及理化性质差异较大。表土层养分较心土层好，其有机质、全氮、速效磷、钾等含量高，紧实度、孔隙状况适中，适耕性强。类比同类项目，输气管道工程对土壤养分的影响与土壤的理化性状密切相关。在实行分层堆放，分层覆土的措施下，土壤中有机质将下降</w:t>
      </w:r>
      <w:r>
        <w:rPr>
          <w:rFonts w:hint="default" w:ascii="Times New Roman" w:hAnsi="Times New Roman" w:eastAsia="宋体" w:cs="Times New Roman"/>
          <w:color w:val="auto"/>
          <w:shd w:val="clear" w:fill="FFFFFF"/>
        </w:rPr>
        <w:t>30~40%</w:t>
      </w:r>
      <w:r>
        <w:rPr>
          <w:rFonts w:hint="default" w:ascii="Times New Roman" w:hAnsi="Times New Roman" w:eastAsia="宋体" w:cs="Times New Roman"/>
          <w:color w:val="auto"/>
        </w:rPr>
        <w:t>，土壤养分将下降</w:t>
      </w:r>
      <w:r>
        <w:rPr>
          <w:rFonts w:hint="default" w:ascii="Times New Roman" w:hAnsi="Times New Roman" w:eastAsia="宋体" w:cs="Times New Roman"/>
          <w:color w:val="auto"/>
          <w:shd w:val="clear" w:fill="FFFFFF"/>
        </w:rPr>
        <w:t>30~50%</w:t>
      </w:r>
      <w:r>
        <w:rPr>
          <w:rFonts w:hint="default" w:ascii="Times New Roman" w:hAnsi="Times New Roman" w:eastAsia="宋体" w:cs="Times New Roman"/>
          <w:color w:val="auto"/>
        </w:rPr>
        <w:t>，其中全氮约下降43%，磷素约下降40%，钾素下降43%。故施工对原有土体构型的扰动会使土壤养分状况受到影响。</w:t>
      </w:r>
    </w:p>
    <w:p w14:paraId="58A57D26">
      <w:pPr>
        <w:spacing w:line="480" w:lineRule="exact"/>
        <w:ind w:firstLine="522" w:firstLineChars="200"/>
        <w:outlineLvl w:val="2"/>
        <w:rPr>
          <w:rFonts w:hint="default" w:ascii="Times New Roman" w:hAnsi="Times New Roman" w:eastAsia="宋体" w:cs="Times New Roman"/>
          <w:b/>
          <w:color w:val="auto"/>
          <w:sz w:val="26"/>
          <w:szCs w:val="26"/>
        </w:rPr>
      </w:pPr>
      <w:bookmarkStart w:id="328" w:name="_Toc66971181"/>
      <w:r>
        <w:rPr>
          <w:rFonts w:hint="default" w:ascii="Times New Roman" w:hAnsi="Times New Roman" w:eastAsia="宋体" w:cs="Times New Roman"/>
          <w:b/>
          <w:color w:val="auto"/>
          <w:sz w:val="26"/>
          <w:szCs w:val="26"/>
        </w:rPr>
        <w:t>5.6.3对农业的影响</w:t>
      </w:r>
      <w:bookmarkEnd w:id="328"/>
    </w:p>
    <w:p w14:paraId="52749656">
      <w:pPr>
        <w:adjustRightInd w:val="0"/>
        <w:snapToGrid w:val="0"/>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本项目工程建设对农业的主要影响体现在管线占用耕地对</w:t>
      </w:r>
      <w:r>
        <w:rPr>
          <w:rFonts w:hint="default" w:ascii="Times New Roman" w:hAnsi="Times New Roman" w:eastAsia="宋体" w:cs="Times New Roman"/>
          <w:bCs/>
          <w:color w:val="auto"/>
          <w:sz w:val="26"/>
          <w:szCs w:val="26"/>
          <w:highlight w:val="none"/>
          <w:lang w:val="en-US" w:eastAsia="zh-CN"/>
        </w:rPr>
        <w:t>农</w:t>
      </w:r>
      <w:r>
        <w:rPr>
          <w:rFonts w:hint="default" w:ascii="Times New Roman" w:hAnsi="Times New Roman" w:eastAsia="宋体" w:cs="Times New Roman"/>
          <w:bCs/>
          <w:color w:val="auto"/>
          <w:sz w:val="26"/>
          <w:szCs w:val="26"/>
          <w:highlight w:val="none"/>
        </w:rPr>
        <w:t>作物</w:t>
      </w:r>
      <w:r>
        <w:rPr>
          <w:rFonts w:hint="default" w:ascii="Times New Roman" w:hAnsi="Times New Roman" w:eastAsia="宋体" w:cs="Times New Roman"/>
          <w:bCs/>
          <w:color w:val="auto"/>
          <w:sz w:val="26"/>
          <w:szCs w:val="26"/>
          <w:highlight w:val="none"/>
          <w:lang w:val="en-US" w:eastAsia="zh-CN"/>
        </w:rPr>
        <w:t>和经济</w:t>
      </w:r>
      <w:r>
        <w:rPr>
          <w:rFonts w:hint="default" w:ascii="Times New Roman" w:hAnsi="Times New Roman" w:eastAsia="宋体" w:cs="Times New Roman"/>
          <w:bCs/>
          <w:color w:val="auto"/>
          <w:sz w:val="26"/>
          <w:szCs w:val="26"/>
          <w:highlight w:val="none"/>
        </w:rPr>
        <w:t>作物的影响。</w:t>
      </w:r>
      <w:r>
        <w:rPr>
          <w:rFonts w:hint="default" w:ascii="Times New Roman" w:hAnsi="Times New Roman" w:eastAsia="宋体" w:cs="Times New Roman"/>
          <w:color w:val="auto"/>
          <w:sz w:val="26"/>
          <w:highlight w:val="none"/>
          <w:lang w:bidi="ar"/>
        </w:rPr>
        <w:t>管沟开挖等施工过程将对施工范围内及周边种植的农作物最直接的影响就是使植株遭到破坏，地表裸露，生物量损失。同时，施工过程产生的尘土附着在作物叶片表面，影响植物光</w:t>
      </w:r>
      <w:r>
        <w:rPr>
          <w:rFonts w:hint="default" w:ascii="Times New Roman" w:hAnsi="Times New Roman" w:eastAsia="宋体" w:cs="Times New Roman"/>
          <w:color w:val="auto"/>
          <w:sz w:val="26"/>
          <w:highlight w:val="none"/>
          <w:lang w:val="en-US" w:eastAsia="zh-CN" w:bidi="ar"/>
        </w:rPr>
        <w:t>合</w:t>
      </w:r>
      <w:r>
        <w:rPr>
          <w:rFonts w:hint="default" w:ascii="Times New Roman" w:hAnsi="Times New Roman" w:eastAsia="宋体" w:cs="Times New Roman"/>
          <w:color w:val="auto"/>
          <w:sz w:val="26"/>
          <w:highlight w:val="none"/>
          <w:lang w:bidi="ar"/>
        </w:rPr>
        <w:t>作用，尤其是会对作物幼苗生理特性产生影响；施工人员和施工机械设备的践踏、碾压也</w:t>
      </w:r>
      <w:r>
        <w:rPr>
          <w:rFonts w:hint="default" w:ascii="Times New Roman" w:hAnsi="Times New Roman" w:eastAsia="宋体" w:cs="Times New Roman"/>
          <w:color w:val="auto"/>
          <w:sz w:val="26"/>
          <w:highlight w:val="none"/>
          <w:shd w:val="clear" w:fill="FFFFFF"/>
          <w:lang w:eastAsia="zh-CN" w:bidi="ar"/>
        </w:rPr>
        <w:t>会对</w:t>
      </w:r>
      <w:r>
        <w:rPr>
          <w:rFonts w:hint="default" w:ascii="Times New Roman" w:hAnsi="Times New Roman" w:eastAsia="宋体" w:cs="Times New Roman"/>
          <w:color w:val="auto"/>
          <w:sz w:val="26"/>
          <w:highlight w:val="none"/>
          <w:lang w:bidi="ar"/>
        </w:rPr>
        <w:t>周界作物生产产生不利影响，但是，</w:t>
      </w:r>
      <w:r>
        <w:rPr>
          <w:rFonts w:hint="default" w:ascii="Times New Roman" w:hAnsi="Times New Roman" w:eastAsia="宋体" w:cs="Times New Roman"/>
          <w:color w:val="auto"/>
          <w:sz w:val="26"/>
          <w:highlight w:val="none"/>
          <w:lang w:val="en-US" w:eastAsia="zh-CN" w:bidi="ar"/>
        </w:rPr>
        <w:t>本项目管线较短，</w:t>
      </w:r>
      <w:r>
        <w:rPr>
          <w:rFonts w:hint="default" w:ascii="Times New Roman" w:hAnsi="Times New Roman" w:eastAsia="宋体" w:cs="Times New Roman"/>
          <w:color w:val="auto"/>
          <w:sz w:val="26"/>
          <w:highlight w:val="none"/>
          <w:lang w:bidi="ar"/>
        </w:rPr>
        <w:t>管道分段施工，挖填周期短，</w:t>
      </w:r>
      <w:r>
        <w:rPr>
          <w:rFonts w:hint="default" w:ascii="Times New Roman" w:hAnsi="Times New Roman" w:eastAsia="宋体" w:cs="Times New Roman"/>
          <w:bCs/>
          <w:color w:val="auto"/>
          <w:sz w:val="26"/>
          <w:szCs w:val="26"/>
          <w:highlight w:val="none"/>
        </w:rPr>
        <w:t>施工完成后将立即对临时占地进行恢复，耕地可以全部恢复为原有状态，对区域农业影响有限。对于临时占用耕地造成了当地农民的经济损失，建设单位应严格按照国家和地方相关赔偿政策对受影响的农户进行赔偿。工程施工期间施工单位应加快施工进度，严格控制施工作业范围，禁止随意扩大施工范围并随意损坏农作物。</w:t>
      </w:r>
    </w:p>
    <w:p w14:paraId="51C750CA">
      <w:pPr>
        <w:adjustRightInd w:val="0"/>
        <w:snapToGrid w:val="0"/>
        <w:spacing w:line="480" w:lineRule="exact"/>
        <w:ind w:firstLine="520" w:firstLineChars="200"/>
        <w:rPr>
          <w:rFonts w:hint="default" w:ascii="Times New Roman" w:hAnsi="Times New Roman" w:eastAsia="宋体" w:cs="Times New Roman"/>
          <w:bCs/>
          <w:color w:val="auto"/>
          <w:sz w:val="26"/>
          <w:szCs w:val="26"/>
          <w:highlight w:val="none"/>
          <w:lang w:eastAsia="zh-CN"/>
        </w:rPr>
      </w:pPr>
      <w:r>
        <w:rPr>
          <w:rFonts w:hint="default" w:ascii="Times New Roman" w:hAnsi="Times New Roman" w:eastAsia="宋体" w:cs="Times New Roman"/>
          <w:bCs/>
          <w:color w:val="auto"/>
          <w:sz w:val="26"/>
          <w:szCs w:val="26"/>
          <w:highlight w:val="none"/>
        </w:rPr>
        <w:t>项目</w:t>
      </w:r>
      <w:r>
        <w:rPr>
          <w:rFonts w:hint="default" w:ascii="Times New Roman" w:hAnsi="Times New Roman" w:eastAsia="宋体" w:cs="Times New Roman"/>
          <w:bCs/>
          <w:color w:val="auto"/>
          <w:sz w:val="26"/>
          <w:szCs w:val="26"/>
          <w:highlight w:val="none"/>
          <w:lang w:val="en-US" w:eastAsia="zh-CN"/>
        </w:rPr>
        <w:t>无</w:t>
      </w:r>
      <w:r>
        <w:rPr>
          <w:rFonts w:hint="default" w:ascii="Times New Roman" w:hAnsi="Times New Roman" w:eastAsia="宋体" w:cs="Times New Roman"/>
          <w:bCs/>
          <w:color w:val="auto"/>
          <w:sz w:val="26"/>
          <w:szCs w:val="26"/>
          <w:highlight w:val="none"/>
        </w:rPr>
        <w:t>永久占地</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rPr>
        <w:t>部分管线</w:t>
      </w:r>
      <w:r>
        <w:rPr>
          <w:rFonts w:hint="default" w:ascii="Times New Roman" w:hAnsi="Times New Roman" w:eastAsia="宋体" w:cs="Times New Roman"/>
          <w:bCs/>
          <w:color w:val="auto"/>
          <w:sz w:val="26"/>
          <w:szCs w:val="26"/>
          <w:lang w:val="en-US" w:eastAsia="zh-CN"/>
        </w:rPr>
        <w:t>约614.76m经过永久</w:t>
      </w:r>
      <w:r>
        <w:rPr>
          <w:rFonts w:hint="default" w:ascii="Times New Roman" w:hAnsi="Times New Roman" w:eastAsia="宋体" w:cs="Times New Roman"/>
          <w:bCs/>
          <w:color w:val="auto"/>
          <w:sz w:val="26"/>
          <w:szCs w:val="26"/>
        </w:rPr>
        <w:t>基本农田</w:t>
      </w:r>
      <w:r>
        <w:rPr>
          <w:rFonts w:hint="default" w:ascii="Times New Roman" w:hAnsi="Times New Roman" w:eastAsia="宋体" w:cs="Times New Roman"/>
          <w:bCs/>
          <w:color w:val="auto"/>
          <w:sz w:val="26"/>
          <w:szCs w:val="26"/>
          <w:lang w:eastAsia="zh-CN"/>
        </w:rPr>
        <w:t>，</w:t>
      </w:r>
      <w:r>
        <w:rPr>
          <w:rFonts w:hint="default" w:ascii="Times New Roman" w:hAnsi="Times New Roman" w:eastAsia="宋体" w:cs="Times New Roman"/>
          <w:bCs/>
          <w:color w:val="auto"/>
          <w:sz w:val="26"/>
          <w:szCs w:val="26"/>
          <w:lang w:val="en-US" w:eastAsia="zh-CN"/>
        </w:rPr>
        <w:t>涉及临时占地约0.36</w:t>
      </w:r>
      <w:r>
        <w:rPr>
          <w:rFonts w:hint="default" w:ascii="Times New Roman" w:hAnsi="Times New Roman" w:eastAsia="宋体" w:cs="Times New Roman"/>
          <w:bCs/>
          <w:color w:val="auto"/>
          <w:sz w:val="26"/>
          <w:szCs w:val="26"/>
        </w:rPr>
        <w:t>hm</w:t>
      </w:r>
      <w:r>
        <w:rPr>
          <w:rFonts w:hint="default" w:ascii="Times New Roman" w:hAnsi="Times New Roman" w:eastAsia="宋体" w:cs="Times New Roman"/>
          <w:bCs/>
          <w:color w:val="auto"/>
          <w:sz w:val="26"/>
          <w:szCs w:val="26"/>
          <w:vertAlign w:val="superscript"/>
        </w:rPr>
        <w:t>2</w:t>
      </w:r>
      <w:r>
        <w:rPr>
          <w:rFonts w:hint="default" w:ascii="Times New Roman" w:hAnsi="Times New Roman" w:eastAsia="宋体" w:cs="Times New Roman"/>
          <w:bCs/>
          <w:color w:val="auto"/>
          <w:sz w:val="26"/>
          <w:szCs w:val="26"/>
          <w:lang w:val="en-US" w:eastAsia="zh-CN"/>
        </w:rPr>
        <w:t>，</w:t>
      </w:r>
      <w:r>
        <w:rPr>
          <w:rFonts w:hint="default" w:ascii="Times New Roman" w:hAnsi="Times New Roman" w:eastAsia="宋体" w:cs="Times New Roman"/>
          <w:bCs/>
          <w:color w:val="auto"/>
          <w:sz w:val="26"/>
          <w:szCs w:val="26"/>
        </w:rPr>
        <w:t>生态</w:t>
      </w:r>
      <w:r>
        <w:rPr>
          <w:rFonts w:hint="default" w:ascii="Times New Roman" w:hAnsi="Times New Roman" w:eastAsia="宋体" w:cs="Times New Roman"/>
          <w:color w:val="auto"/>
          <w:sz w:val="26"/>
          <w:szCs w:val="26"/>
        </w:rPr>
        <w:t>评价范围</w:t>
      </w:r>
      <w:r>
        <w:rPr>
          <w:rFonts w:hint="default" w:ascii="Times New Roman" w:hAnsi="Times New Roman" w:eastAsia="宋体" w:cs="Times New Roman"/>
          <w:color w:val="auto"/>
          <w:sz w:val="26"/>
          <w:szCs w:val="26"/>
          <w:lang w:val="en-US" w:eastAsia="zh-CN"/>
        </w:rPr>
        <w:t>所涉</w:t>
      </w:r>
      <w:r>
        <w:rPr>
          <w:rFonts w:hint="default" w:ascii="Times New Roman" w:hAnsi="Times New Roman" w:eastAsia="宋体" w:cs="Times New Roman"/>
          <w:color w:val="auto"/>
          <w:sz w:val="26"/>
          <w:szCs w:val="26"/>
        </w:rPr>
        <w:t>面积约为</w:t>
      </w:r>
      <w:r>
        <w:rPr>
          <w:rFonts w:hint="default" w:ascii="Times New Roman" w:hAnsi="Times New Roman" w:eastAsia="宋体" w:cs="Times New Roman"/>
          <w:bCs/>
          <w:color w:val="auto"/>
          <w:sz w:val="26"/>
          <w:szCs w:val="26"/>
          <w:lang w:val="en-US" w:eastAsia="zh-CN"/>
        </w:rPr>
        <w:t>51.28</w:t>
      </w:r>
      <w:r>
        <w:rPr>
          <w:rFonts w:hint="default" w:ascii="Times New Roman" w:hAnsi="Times New Roman" w:eastAsia="宋体" w:cs="Times New Roman"/>
          <w:bCs/>
          <w:color w:val="auto"/>
          <w:sz w:val="26"/>
          <w:szCs w:val="26"/>
        </w:rPr>
        <w:t>hm</w:t>
      </w:r>
      <w:r>
        <w:rPr>
          <w:rFonts w:hint="default" w:ascii="Times New Roman" w:hAnsi="Times New Roman" w:eastAsia="宋体" w:cs="Times New Roman"/>
          <w:bCs/>
          <w:color w:val="auto"/>
          <w:sz w:val="26"/>
          <w:szCs w:val="26"/>
          <w:vertAlign w:val="superscript"/>
        </w:rPr>
        <w:t>2</w:t>
      </w:r>
      <w:r>
        <w:rPr>
          <w:rFonts w:hint="default" w:ascii="Times New Roman" w:hAnsi="Times New Roman" w:eastAsia="宋体" w:cs="Times New Roman"/>
          <w:bCs/>
          <w:color w:val="auto"/>
          <w:sz w:val="26"/>
          <w:szCs w:val="26"/>
          <w:highlight w:val="none"/>
        </w:rPr>
        <w:t>，主要种植</w:t>
      </w:r>
      <w:r>
        <w:rPr>
          <w:rFonts w:hint="default" w:ascii="Times New Roman" w:hAnsi="Times New Roman" w:eastAsia="宋体" w:cs="Times New Roman"/>
          <w:bCs/>
          <w:color w:val="auto"/>
          <w:sz w:val="26"/>
          <w:szCs w:val="26"/>
          <w:highlight w:val="none"/>
          <w:lang w:val="en-US" w:eastAsia="zh-CN"/>
        </w:rPr>
        <w:t>红薯、水稻（已收割）、玉米（过季）、大豆、应季蔬菜</w:t>
      </w:r>
      <w:r>
        <w:rPr>
          <w:rFonts w:hint="default" w:ascii="Times New Roman" w:hAnsi="Times New Roman" w:eastAsia="宋体" w:cs="Times New Roman"/>
          <w:bCs/>
          <w:color w:val="auto"/>
          <w:sz w:val="26"/>
          <w:szCs w:val="26"/>
          <w:highlight w:val="none"/>
        </w:rPr>
        <w:t>等农作物</w:t>
      </w:r>
      <w:r>
        <w:rPr>
          <w:rFonts w:hint="default" w:ascii="Times New Roman" w:hAnsi="Times New Roman" w:eastAsia="宋体" w:cs="Times New Roman"/>
          <w:bCs/>
          <w:color w:val="auto"/>
          <w:sz w:val="26"/>
          <w:szCs w:val="26"/>
          <w:highlight w:val="none"/>
          <w:lang w:eastAsia="zh-CN"/>
        </w:rPr>
        <w:t>。</w:t>
      </w:r>
    </w:p>
    <w:p w14:paraId="4D8DAC26">
      <w:pPr>
        <w:adjustRightInd w:val="0"/>
        <w:snapToGrid w:val="0"/>
        <w:spacing w:line="480" w:lineRule="exact"/>
        <w:ind w:firstLine="520" w:firstLineChars="200"/>
        <w:rPr>
          <w:rFonts w:hint="default" w:ascii="Times New Roman" w:hAnsi="Times New Roman" w:eastAsia="宋体" w:cs="Times New Roman"/>
          <w:bCs/>
          <w:color w:val="auto"/>
          <w:sz w:val="26"/>
          <w:szCs w:val="26"/>
          <w:highlight w:val="none"/>
          <w:lang w:val="en-US" w:eastAsia="zh-CN"/>
        </w:rPr>
      </w:pPr>
      <w:r>
        <w:rPr>
          <w:rFonts w:hint="default" w:ascii="Times New Roman" w:hAnsi="Times New Roman" w:eastAsia="宋体" w:cs="Times New Roman"/>
          <w:bCs/>
          <w:color w:val="auto"/>
          <w:sz w:val="26"/>
          <w:szCs w:val="26"/>
          <w:highlight w:val="none"/>
        </w:rPr>
        <w:t>本项目为线性工程，</w:t>
      </w:r>
      <w:r>
        <w:rPr>
          <w:rFonts w:hint="default" w:ascii="Times New Roman" w:hAnsi="Times New Roman" w:eastAsia="宋体" w:cs="Times New Roman"/>
          <w:bCs/>
          <w:color w:val="auto"/>
          <w:sz w:val="26"/>
          <w:szCs w:val="26"/>
          <w:highlight w:val="none"/>
          <w:lang w:val="en-US" w:eastAsia="zh-CN"/>
        </w:rPr>
        <w:t>管线较短，其</w:t>
      </w:r>
      <w:r>
        <w:rPr>
          <w:rFonts w:hint="default" w:ascii="Times New Roman" w:hAnsi="Times New Roman" w:eastAsia="宋体" w:cs="Times New Roman"/>
          <w:bCs/>
          <w:color w:val="auto"/>
          <w:sz w:val="26"/>
          <w:szCs w:val="26"/>
          <w:highlight w:val="none"/>
        </w:rPr>
        <w:t>施工周期及占用时间较短，本次评价提出了基本农田环境保护方案及保护对策</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lang w:val="en-US" w:eastAsia="zh-CN"/>
        </w:rPr>
        <w:t>①施工期应尽量避开作物生长季节，减少农业生产损失。②</w:t>
      </w:r>
      <w:r>
        <w:rPr>
          <w:rFonts w:hint="default" w:ascii="Times New Roman" w:hAnsi="Times New Roman" w:eastAsia="宋体" w:cs="Times New Roman"/>
          <w:bCs/>
          <w:color w:val="auto"/>
          <w:sz w:val="26"/>
          <w:szCs w:val="26"/>
          <w:highlight w:val="none"/>
        </w:rPr>
        <w:t>管沟开挖时应严格将表层耕作土和底层土分别堆放，下层土应放置在靠近管沟一侧，堆土距沟边不小于1m，回填时应将耕作土回填到表层</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lang w:val="en-US" w:eastAsia="zh-CN"/>
        </w:rPr>
        <w:t>③</w:t>
      </w:r>
      <w:r>
        <w:rPr>
          <w:rFonts w:hint="default" w:ascii="Times New Roman" w:hAnsi="Times New Roman" w:eastAsia="宋体" w:cs="Times New Roman"/>
          <w:bCs/>
          <w:color w:val="auto"/>
          <w:sz w:val="26"/>
          <w:szCs w:val="26"/>
          <w:highlight w:val="none"/>
        </w:rPr>
        <w:t>管沟填埋时也应分层回填，即底土回填在下，表土回填在上。分层回填前应清理留在土壤中的固体废物</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回填时，还应留足适宜的堆积层，防止因降水、径流造成地表下陷和水土流失。回填后多余的土应平铺在田间或作为田埂、渠埂，不得随意丢弃。</w:t>
      </w:r>
      <w:r>
        <w:rPr>
          <w:rFonts w:hint="default" w:ascii="Times New Roman" w:hAnsi="Times New Roman" w:eastAsia="宋体" w:cs="Times New Roman"/>
          <w:bCs/>
          <w:color w:val="auto"/>
          <w:sz w:val="26"/>
          <w:szCs w:val="26"/>
          <w:highlight w:val="none"/>
          <w:lang w:val="en-US" w:eastAsia="zh-CN"/>
        </w:rPr>
        <w:t>④</w:t>
      </w:r>
      <w:r>
        <w:rPr>
          <w:rFonts w:hint="default" w:ascii="Times New Roman" w:hAnsi="Times New Roman" w:eastAsia="宋体" w:cs="Times New Roman"/>
          <w:bCs/>
          <w:color w:val="auto"/>
          <w:sz w:val="26"/>
          <w:szCs w:val="26"/>
          <w:highlight w:val="none"/>
        </w:rPr>
        <w:t>施工时，应避免农田受施工设备、设施碾压，而失去正常使用功能。例如：机井、灌渠、</w:t>
      </w:r>
      <w:r>
        <w:rPr>
          <w:rFonts w:hint="default" w:ascii="Times New Roman" w:hAnsi="Times New Roman" w:eastAsia="宋体" w:cs="Times New Roman"/>
          <w:bCs/>
          <w:color w:val="auto"/>
          <w:sz w:val="26"/>
          <w:szCs w:val="26"/>
          <w:highlight w:val="none"/>
          <w:shd w:val="clear" w:fill="FFFFFF"/>
          <w:lang w:eastAsia="zh-CN"/>
        </w:rPr>
        <w:t>灌溉站</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一般埋藏较浅</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等水利设施的损坏，会导致灌溉区受益范围内农作物生长受影响。</w:t>
      </w:r>
      <w:r>
        <w:rPr>
          <w:rFonts w:hint="default" w:ascii="Times New Roman" w:hAnsi="Times New Roman" w:eastAsia="宋体" w:cs="Times New Roman"/>
          <w:bCs/>
          <w:color w:val="auto"/>
          <w:sz w:val="26"/>
          <w:szCs w:val="26"/>
          <w:highlight w:val="none"/>
          <w:lang w:val="en-US" w:eastAsia="zh-CN"/>
        </w:rPr>
        <w:t>⑤</w:t>
      </w:r>
      <w:r>
        <w:rPr>
          <w:rFonts w:hint="default" w:ascii="Times New Roman" w:hAnsi="Times New Roman" w:eastAsia="宋体" w:cs="Times New Roman"/>
          <w:bCs/>
          <w:color w:val="auto"/>
          <w:sz w:val="26"/>
          <w:szCs w:val="26"/>
          <w:highlight w:val="none"/>
        </w:rPr>
        <w:t>施工期间建设单位应严格控制施工范围，不得随意加宽施工作业带，尽量减少对永久基本农田的破坏</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lang w:val="en-US" w:eastAsia="zh-CN"/>
        </w:rPr>
        <w:t>⑥</w:t>
      </w:r>
      <w:r>
        <w:rPr>
          <w:rFonts w:hint="default" w:ascii="Times New Roman" w:hAnsi="Times New Roman" w:eastAsia="宋体" w:cs="Times New Roman"/>
          <w:bCs/>
          <w:color w:val="auto"/>
          <w:sz w:val="26"/>
          <w:szCs w:val="26"/>
          <w:highlight w:val="none"/>
        </w:rPr>
        <w:t>施工机械运行及放置期间可能存在渗油，但这种影响是可以避免的，施工单位应加强施工机械的养护，并对施工机械放置场地采取</w:t>
      </w:r>
      <w:r>
        <w:rPr>
          <w:rFonts w:hint="default" w:ascii="Times New Roman" w:hAnsi="Times New Roman" w:eastAsia="宋体" w:cs="Times New Roman"/>
          <w:bCs/>
          <w:color w:val="auto"/>
          <w:sz w:val="26"/>
          <w:szCs w:val="26"/>
          <w:highlight w:val="none"/>
          <w:shd w:val="clear" w:fill="FFFFFF"/>
        </w:rPr>
        <w:t>隔垫</w:t>
      </w:r>
      <w:r>
        <w:rPr>
          <w:rFonts w:hint="default" w:ascii="Times New Roman" w:hAnsi="Times New Roman" w:eastAsia="宋体" w:cs="Times New Roman"/>
          <w:bCs/>
          <w:color w:val="auto"/>
          <w:sz w:val="26"/>
          <w:szCs w:val="26"/>
          <w:highlight w:val="none"/>
        </w:rPr>
        <w:t>措施防止渗油污染土壤。</w:t>
      </w:r>
      <w:r>
        <w:rPr>
          <w:rFonts w:hint="default" w:ascii="Times New Roman" w:hAnsi="Times New Roman" w:eastAsia="宋体" w:cs="Times New Roman"/>
          <w:bCs/>
          <w:color w:val="auto"/>
          <w:sz w:val="26"/>
          <w:szCs w:val="26"/>
          <w:highlight w:val="none"/>
          <w:lang w:val="en-US" w:eastAsia="zh-CN"/>
        </w:rPr>
        <w:t>⑦施工结束后做好农田的恢复工作，</w:t>
      </w:r>
      <w:r>
        <w:rPr>
          <w:rFonts w:hint="default" w:ascii="Times New Roman" w:hAnsi="Times New Roman" w:eastAsia="宋体" w:cs="Times New Roman"/>
          <w:bCs/>
          <w:color w:val="auto"/>
          <w:sz w:val="26"/>
          <w:szCs w:val="26"/>
          <w:highlight w:val="none"/>
        </w:rPr>
        <w:t>施工结束后可立即对临时占用的永久基本农田恢复生产，</w:t>
      </w:r>
      <w:r>
        <w:rPr>
          <w:rFonts w:hint="default" w:ascii="Times New Roman" w:hAnsi="Times New Roman" w:eastAsia="宋体" w:cs="Times New Roman"/>
          <w:bCs/>
          <w:color w:val="auto"/>
          <w:sz w:val="26"/>
          <w:szCs w:val="26"/>
          <w:highlight w:val="none"/>
          <w:lang w:val="en-US" w:eastAsia="zh-CN"/>
        </w:rPr>
        <w:t>清理施工作业区域内的废弃物，按国务院的《土地复垦规定》复垦。凡受到施工车辆、机械破坏的地方，都要及时修整，恢复原貌，植被（包括自然的和人工的）破坏应在施工结束后的当年或来年予以恢复。</w:t>
      </w:r>
    </w:p>
    <w:p w14:paraId="08CF6EA7">
      <w:pPr>
        <w:pStyle w:val="56"/>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通过在施工期采取严格的表土保存措施、施工管理措施及污染物处理处置措施后，项目施工临时占地对永久基本农田的质量影响较小。</w:t>
      </w:r>
    </w:p>
    <w:p w14:paraId="7BF206B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综上所述，在采取积极的赔偿措施、施工管理、耕地恢复措施后，工程施工对农作物的影响可接受。</w:t>
      </w:r>
    </w:p>
    <w:p w14:paraId="1061C7F5">
      <w:pPr>
        <w:spacing w:line="48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5.6.4 对植被资源的影响</w:t>
      </w:r>
    </w:p>
    <w:p w14:paraId="2AA2C56D">
      <w:pPr>
        <w:adjustRightInd w:val="0"/>
        <w:snapToGrid w:val="0"/>
        <w:spacing w:line="460" w:lineRule="exact"/>
        <w:ind w:firstLine="520" w:firstLineChars="200"/>
        <w:rPr>
          <w:rFonts w:hint="default" w:ascii="Times New Roman" w:hAnsi="Times New Roman" w:eastAsia="宋体" w:cs="Times New Roman"/>
          <w:color w:val="auto"/>
          <w:sz w:val="26"/>
        </w:rPr>
      </w:pPr>
      <w:r>
        <w:rPr>
          <w:rFonts w:hint="default" w:ascii="Times New Roman" w:hAnsi="Times New Roman" w:eastAsia="宋体" w:cs="Times New Roman"/>
          <w:color w:val="auto"/>
          <w:sz w:val="26"/>
          <w:szCs w:val="26"/>
        </w:rPr>
        <w:t>本项目</w:t>
      </w:r>
      <w:r>
        <w:rPr>
          <w:rFonts w:hint="default" w:ascii="Times New Roman" w:hAnsi="Times New Roman" w:eastAsia="宋体" w:cs="Times New Roman"/>
          <w:bCs/>
          <w:color w:val="auto"/>
          <w:sz w:val="26"/>
          <w:szCs w:val="26"/>
        </w:rPr>
        <w:t>为</w:t>
      </w:r>
      <w:r>
        <w:rPr>
          <w:rFonts w:hint="default" w:ascii="Times New Roman" w:hAnsi="Times New Roman" w:eastAsia="宋体" w:cs="Times New Roman"/>
          <w:bCs/>
          <w:color w:val="auto"/>
          <w:sz w:val="26"/>
          <w:szCs w:val="26"/>
          <w:lang w:eastAsia="zh-CN"/>
        </w:rPr>
        <w:t>天然气管道改建工程</w:t>
      </w:r>
      <w:r>
        <w:rPr>
          <w:rFonts w:hint="default" w:ascii="Times New Roman" w:hAnsi="Times New Roman" w:eastAsia="宋体" w:cs="Times New Roman"/>
          <w:bCs/>
          <w:color w:val="auto"/>
          <w:sz w:val="26"/>
          <w:szCs w:val="26"/>
        </w:rPr>
        <w:t>，所有占地均为临时占地，无永久占地</w:t>
      </w:r>
      <w:r>
        <w:rPr>
          <w:rFonts w:hint="default" w:ascii="Times New Roman" w:hAnsi="Times New Roman" w:eastAsia="宋体" w:cs="Times New Roman"/>
          <w:color w:val="auto"/>
          <w:sz w:val="26"/>
          <w:szCs w:val="26"/>
          <w:lang w:bidi="ar"/>
        </w:rPr>
        <w:t>。根据现场调查，管线穿越区域主要以</w:t>
      </w:r>
      <w:r>
        <w:rPr>
          <w:rFonts w:hint="default" w:ascii="Times New Roman" w:hAnsi="Times New Roman" w:eastAsia="宋体" w:cs="Times New Roman"/>
          <w:color w:val="auto"/>
          <w:sz w:val="26"/>
          <w:szCs w:val="26"/>
          <w:lang w:val="en-US" w:eastAsia="zh-CN" w:bidi="ar"/>
        </w:rPr>
        <w:t>林地、</w:t>
      </w:r>
      <w:r>
        <w:rPr>
          <w:rFonts w:hint="default" w:ascii="Times New Roman" w:hAnsi="Times New Roman" w:eastAsia="宋体" w:cs="Times New Roman"/>
          <w:color w:val="auto"/>
          <w:sz w:val="26"/>
          <w:szCs w:val="26"/>
          <w:lang w:bidi="ar"/>
        </w:rPr>
        <w:t>耕地为主，周边自然植被</w:t>
      </w:r>
      <w:r>
        <w:rPr>
          <w:rFonts w:hint="default" w:ascii="Times New Roman" w:hAnsi="Times New Roman" w:eastAsia="宋体" w:cs="Times New Roman"/>
          <w:color w:val="auto"/>
          <w:sz w:val="26"/>
          <w:lang w:bidi="ar"/>
        </w:rPr>
        <w:t>都是区域内分布广泛的常见种和广布种。工程施工会对施工区域内的植被进行清除，使相关种类的个体数量减少。但施工区域范围有限，主要为管线的施工作业带及堆管场的占地范围，受影响的个体数量非常有限，工程建设不会造成相关区域植物种群数量的明显改变，不会造成植物种类的减少和植物区系的改变。</w:t>
      </w:r>
    </w:p>
    <w:p w14:paraId="6241FE8A">
      <w:pPr>
        <w:spacing w:line="460" w:lineRule="exact"/>
        <w:ind w:firstLine="520" w:firstLineChars="200"/>
        <w:rPr>
          <w:rFonts w:hint="default" w:ascii="Times New Roman" w:hAnsi="Times New Roman" w:eastAsia="宋体" w:cs="Times New Roman"/>
          <w:color w:val="auto"/>
          <w:sz w:val="26"/>
        </w:rPr>
      </w:pPr>
      <w:r>
        <w:rPr>
          <w:rFonts w:hint="default" w:ascii="Times New Roman" w:hAnsi="Times New Roman" w:eastAsia="宋体" w:cs="Times New Roman"/>
          <w:color w:val="auto"/>
          <w:sz w:val="26"/>
          <w:lang w:bidi="ar"/>
        </w:rPr>
        <w:t>总体来说，项目施工过程中会对该区域植被造成一定的影响，但由于植被均为当地常见物种，不会导致评价区内植物群落的种类数量发生变化，也不会造成植物物种的消失，对区域植被稳定性的破坏较弱。由于项目占地面积较小，施工活动造成的植物生物量损失极小，且项目施工周期短，施工结束后，通过复垦、恢复植被、补偿等措施，评价范围内被破坏的植被可以得到有效</w:t>
      </w:r>
      <w:r>
        <w:rPr>
          <w:rFonts w:hint="default" w:ascii="Times New Roman" w:hAnsi="Times New Roman" w:eastAsia="宋体" w:cs="Times New Roman"/>
          <w:color w:val="auto"/>
          <w:sz w:val="26"/>
          <w:shd w:val="clear" w:fill="FFFFFF"/>
          <w:lang w:bidi="ar"/>
        </w:rPr>
        <w:t>的</w:t>
      </w:r>
      <w:r>
        <w:rPr>
          <w:rFonts w:hint="default" w:ascii="Times New Roman" w:hAnsi="Times New Roman" w:eastAsia="宋体" w:cs="Times New Roman"/>
          <w:color w:val="auto"/>
          <w:sz w:val="26"/>
          <w:lang w:bidi="ar"/>
        </w:rPr>
        <w:t>恢复。</w:t>
      </w:r>
    </w:p>
    <w:p w14:paraId="15882CDD">
      <w:pPr>
        <w:spacing w:line="48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5.6.5 对野生动物的影响</w:t>
      </w:r>
    </w:p>
    <w:p w14:paraId="28DCACAE">
      <w:pPr>
        <w:adjustRightInd w:val="0"/>
        <w:snapToGrid w:val="0"/>
        <w:spacing w:line="46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本工程施工期对评价区内动物的影响可以概括为以下几个方面：临时占地使动物栖息地面积缩小，</w:t>
      </w:r>
      <w:r>
        <w:rPr>
          <w:rFonts w:hint="default" w:ascii="Times New Roman" w:hAnsi="Times New Roman" w:eastAsia="宋体" w:cs="Times New Roman"/>
          <w:bCs/>
          <w:color w:val="auto"/>
          <w:sz w:val="26"/>
          <w:szCs w:val="26"/>
          <w:shd w:val="clear" w:fill="FFFFFF"/>
        </w:rPr>
        <w:t>在</w:t>
      </w:r>
      <w:r>
        <w:rPr>
          <w:rFonts w:hint="default" w:ascii="Times New Roman" w:hAnsi="Times New Roman" w:eastAsia="宋体" w:cs="Times New Roman"/>
          <w:bCs/>
          <w:color w:val="auto"/>
          <w:sz w:val="26"/>
          <w:szCs w:val="26"/>
        </w:rPr>
        <w:t>区域栖息的两爬类、鸟类、兽类的部分栖息地将被直接侵占，迫使其迁往周边区域适宜栖息地；输气管道施工地段的阻隔也可能使一些陆行动物暂时失去迁移行走的通道；施工活动可能直接导致动物巢穴破坏，使动物幼体死亡；输气管线铺设将直接</w:t>
      </w:r>
      <w:r>
        <w:rPr>
          <w:rFonts w:hint="default" w:ascii="Times New Roman" w:hAnsi="Times New Roman" w:eastAsia="宋体" w:cs="Times New Roman"/>
          <w:bCs/>
          <w:color w:val="auto"/>
          <w:sz w:val="26"/>
          <w:szCs w:val="26"/>
          <w:shd w:val="clear" w:fill="FFFFFF"/>
        </w:rPr>
        <w:t>致使</w:t>
      </w:r>
      <w:r>
        <w:rPr>
          <w:rFonts w:hint="default" w:ascii="Times New Roman" w:hAnsi="Times New Roman" w:eastAsia="宋体" w:cs="Times New Roman"/>
          <w:bCs/>
          <w:color w:val="auto"/>
          <w:sz w:val="26"/>
          <w:szCs w:val="26"/>
        </w:rPr>
        <w:t>导致地上覆盖的植被消失，使在此栖息的动物觅食地、活动地面积减少，让在附近栖息的动物产生不适感；施工噪声、机械振动、施工人员活动惊扰野生动物，影响它们的正常活动、觅食及繁殖，</w:t>
      </w:r>
      <w:r>
        <w:rPr>
          <w:rFonts w:hint="default" w:ascii="Times New Roman" w:hAnsi="Times New Roman" w:eastAsia="宋体" w:cs="Times New Roman"/>
          <w:bCs/>
          <w:color w:val="auto"/>
          <w:sz w:val="26"/>
          <w:szCs w:val="26"/>
          <w:shd w:val="clear" w:fill="FFFFFF"/>
          <w:lang w:eastAsia="zh-CN"/>
        </w:rPr>
        <w:t>噪声</w:t>
      </w:r>
      <w:r>
        <w:rPr>
          <w:rFonts w:hint="default" w:ascii="Times New Roman" w:hAnsi="Times New Roman" w:eastAsia="宋体" w:cs="Times New Roman"/>
          <w:bCs/>
          <w:color w:val="auto"/>
          <w:sz w:val="26"/>
          <w:szCs w:val="26"/>
        </w:rPr>
        <w:t>影响严重的将迫使它们暂时迁徙。</w:t>
      </w:r>
    </w:p>
    <w:p w14:paraId="00825F8E">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（1）对兽类的影响</w:t>
      </w:r>
    </w:p>
    <w:p w14:paraId="3BF882DE">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施工期对兽类的影响主要体现在对动物栖息、觅食地所在生态环境的破坏。对施工区植被的破坏和林木的砍伐，各种施工人员以及施工机械的干扰等，均会使评价区及其周边环境发生改变。受影响的主要是适生于灌草丛的小型兽类，将迁移至附近受干扰小的区域，在施工区附近，上述兽类栖息适宜度降低，种类和数量将相应减少。工程建成后，随着植被逐渐恢复，生态环境的好转，人为干扰减少，许多外迁的兽类会陆续回到原来的栖息地。</w:t>
      </w:r>
    </w:p>
    <w:p w14:paraId="5C4DB816">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（2）对鸟类的影响</w:t>
      </w:r>
    </w:p>
    <w:p w14:paraId="6C06111C">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施工期间对鸟类的影响主要体现在沿线人为活动的增加，管线的开挖，以及施工机械噪声产生的惊吓、干扰等。但鸟类可以通过迁徙和飞翔来避免施工对其栖息和觅食的影响。</w:t>
      </w:r>
    </w:p>
    <w:p w14:paraId="3B0069F6">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（3）对</w:t>
      </w:r>
      <w:r>
        <w:rPr>
          <w:rFonts w:hint="default" w:ascii="Times New Roman" w:hAnsi="Times New Roman" w:eastAsia="宋体" w:cs="Times New Roman"/>
          <w:bCs/>
          <w:color w:val="auto"/>
          <w:sz w:val="26"/>
          <w:szCs w:val="26"/>
          <w:lang w:val="en-US" w:eastAsia="zh-CN"/>
        </w:rPr>
        <w:t>两栖</w:t>
      </w:r>
      <w:r>
        <w:rPr>
          <w:rFonts w:hint="default" w:ascii="Times New Roman" w:hAnsi="Times New Roman" w:eastAsia="宋体" w:cs="Times New Roman"/>
          <w:bCs/>
          <w:color w:val="auto"/>
          <w:sz w:val="26"/>
          <w:szCs w:val="26"/>
        </w:rPr>
        <w:t>爬行类动物的影响</w:t>
      </w:r>
    </w:p>
    <w:p w14:paraId="15CF1CA0">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由于管道的铺设、施工人员的进入，会惊扰项目占地及施工范围内的爬行动物，由于原分布区被破坏会导致这些动物迁徙到工程影响区外的相似生境内。由于爬行动物具有较强的运动迁徙能力，对外界环境的适应能力较强，工程建设可能会使一部分爬行动物迁徙栖息地，但对种群数量影响较小。总之，由于管线建设影响的范围有限，只要采取相应的环保措施，工程对爬行动物的影响较小。</w:t>
      </w:r>
    </w:p>
    <w:p w14:paraId="14689908">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综上所述，本项目施工周期很短，施工结束后，立即覆土复原，恢复原有地貌，便不会形成宽的隔离断裂带，不会阻断野生动物的迁徙，也不会明显影响动物栖息。而且，与植物不同，动物易于躲避干扰，就近寻找相同生境定居。施工</w:t>
      </w:r>
      <w:r>
        <w:rPr>
          <w:rFonts w:hint="default" w:ascii="Times New Roman" w:hAnsi="Times New Roman" w:eastAsia="宋体" w:cs="Times New Roman"/>
          <w:bCs/>
          <w:color w:val="auto"/>
          <w:sz w:val="26"/>
          <w:szCs w:val="26"/>
          <w:shd w:val="clear" w:fill="FFFFFF"/>
        </w:rPr>
        <w:t>期</w:t>
      </w:r>
      <w:r>
        <w:rPr>
          <w:rFonts w:hint="default" w:ascii="Times New Roman" w:hAnsi="Times New Roman" w:eastAsia="宋体" w:cs="Times New Roman"/>
          <w:bCs/>
          <w:color w:val="auto"/>
          <w:sz w:val="26"/>
          <w:szCs w:val="26"/>
        </w:rPr>
        <w:t>加强施工人员的教育并及时恢复施工迹地，因此项目建设对野生动物影响很小。</w:t>
      </w:r>
    </w:p>
    <w:p w14:paraId="2AC5C8AB">
      <w:pPr>
        <w:spacing w:line="480" w:lineRule="exact"/>
        <w:ind w:firstLine="522" w:firstLineChars="200"/>
        <w:outlineLvl w:val="2"/>
        <w:rPr>
          <w:rFonts w:hint="default" w:ascii="Times New Roman" w:hAnsi="Times New Roman" w:eastAsia="宋体" w:cs="Times New Roman"/>
          <w:b/>
          <w:color w:val="auto"/>
          <w:sz w:val="26"/>
          <w:szCs w:val="26"/>
        </w:rPr>
      </w:pPr>
      <w:bookmarkStart w:id="329" w:name="_Toc66971188"/>
      <w:r>
        <w:rPr>
          <w:rFonts w:hint="default" w:ascii="Times New Roman" w:hAnsi="Times New Roman" w:eastAsia="宋体" w:cs="Times New Roman"/>
          <w:b/>
          <w:color w:val="auto"/>
          <w:sz w:val="26"/>
          <w:szCs w:val="26"/>
        </w:rPr>
        <w:t>5.6.6对生态完整性的影响</w:t>
      </w:r>
      <w:bookmarkEnd w:id="329"/>
    </w:p>
    <w:p w14:paraId="07903D4C">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管道工程的建设将使评价区植被生境遭到一定程度的破坏、一些生物个体可能丧失部分生长环境，生物多样性会出现一定程度的下降。从调查情况可知，管道建设占地类型主要为</w:t>
      </w:r>
      <w:r>
        <w:rPr>
          <w:rFonts w:hint="default" w:ascii="Times New Roman" w:hAnsi="Times New Roman" w:eastAsia="宋体" w:cs="Times New Roman"/>
          <w:bCs/>
          <w:color w:val="auto"/>
          <w:sz w:val="26"/>
          <w:szCs w:val="26"/>
          <w:lang w:val="en-US" w:eastAsia="zh-CN"/>
        </w:rPr>
        <w:t>林地和</w:t>
      </w:r>
      <w:r>
        <w:rPr>
          <w:rFonts w:hint="default" w:ascii="Times New Roman" w:hAnsi="Times New Roman" w:eastAsia="宋体" w:cs="Times New Roman"/>
          <w:bCs/>
          <w:color w:val="auto"/>
          <w:sz w:val="26"/>
          <w:szCs w:val="26"/>
        </w:rPr>
        <w:t>耕地，自然体系的生产力将下降，但施工完毕后随着临时占地的恢复生产力将有所回升，基本上恢复到建设前的状况。</w:t>
      </w:r>
    </w:p>
    <w:p w14:paraId="4889BADF">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（1）施工期对生态系统占地的影响</w:t>
      </w:r>
    </w:p>
    <w:p w14:paraId="1467F7E1">
      <w:pPr>
        <w:spacing w:line="480" w:lineRule="exact"/>
        <w:ind w:firstLine="520" w:firstLineChars="200"/>
        <w:rPr>
          <w:rFonts w:hint="default" w:ascii="Times New Roman" w:hAnsi="Times New Roman" w:eastAsia="宋体" w:cs="Times New Roman"/>
          <w:bCs/>
          <w:color w:val="auto"/>
          <w:sz w:val="26"/>
          <w:szCs w:val="26"/>
          <w:lang w:eastAsia="zh-CN"/>
        </w:rPr>
      </w:pPr>
      <w:r>
        <w:rPr>
          <w:rFonts w:hint="default" w:ascii="Times New Roman" w:hAnsi="Times New Roman" w:eastAsia="宋体" w:cs="Times New Roman"/>
          <w:bCs/>
          <w:color w:val="auto"/>
          <w:sz w:val="26"/>
          <w:szCs w:val="26"/>
        </w:rPr>
        <w:t>本次评价根据区域生态系统类型及工程占地情况，分析工程占用的生态系统类型、面积及比例，详见下表</w:t>
      </w:r>
      <w:r>
        <w:rPr>
          <w:rFonts w:hint="default" w:ascii="Times New Roman" w:hAnsi="Times New Roman" w:eastAsia="宋体" w:cs="Times New Roman"/>
          <w:bCs/>
          <w:color w:val="auto"/>
          <w:sz w:val="26"/>
          <w:szCs w:val="26"/>
          <w:lang w:eastAsia="zh-CN"/>
        </w:rPr>
        <w:t>。</w:t>
      </w:r>
    </w:p>
    <w:p w14:paraId="68841F48">
      <w:pPr>
        <w:pStyle w:val="106"/>
        <w:spacing w:line="480" w:lineRule="exact"/>
        <w:ind w:firstLine="48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5.6-1</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生态系统占用情况统计</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370"/>
        <w:gridCol w:w="2262"/>
        <w:gridCol w:w="1410"/>
        <w:gridCol w:w="2199"/>
      </w:tblGrid>
      <w:tr w14:paraId="23B7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6" w:type="pct"/>
            <w:gridSpan w:val="2"/>
            <w:noWrap/>
            <w:vAlign w:val="center"/>
          </w:tcPr>
          <w:p w14:paraId="1A4D0B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生态系统分类</w:t>
            </w:r>
          </w:p>
        </w:tc>
        <w:tc>
          <w:tcPr>
            <w:tcW w:w="1264" w:type="pct"/>
            <w:vMerge w:val="restart"/>
            <w:noWrap/>
            <w:vAlign w:val="center"/>
          </w:tcPr>
          <w:p w14:paraId="1BA42F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临时占地面积（hm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w:t>
            </w:r>
          </w:p>
        </w:tc>
        <w:tc>
          <w:tcPr>
            <w:tcW w:w="788" w:type="pct"/>
            <w:vMerge w:val="restart"/>
            <w:noWrap/>
            <w:vAlign w:val="center"/>
          </w:tcPr>
          <w:p w14:paraId="5339FC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占比（%）</w:t>
            </w:r>
          </w:p>
        </w:tc>
        <w:tc>
          <w:tcPr>
            <w:tcW w:w="1229" w:type="pct"/>
            <w:vMerge w:val="restart"/>
            <w:noWrap/>
            <w:vAlign w:val="center"/>
          </w:tcPr>
          <w:p w14:paraId="62C1B6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占评价区比例（%）</w:t>
            </w:r>
          </w:p>
        </w:tc>
      </w:tr>
      <w:tr w14:paraId="0D2F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0" w:type="pct"/>
            <w:noWrap/>
            <w:vAlign w:val="center"/>
          </w:tcPr>
          <w:p w14:paraId="3DE6AC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一级类</w:t>
            </w:r>
          </w:p>
        </w:tc>
        <w:tc>
          <w:tcPr>
            <w:tcW w:w="766" w:type="pct"/>
            <w:noWrap/>
            <w:vAlign w:val="center"/>
          </w:tcPr>
          <w:p w14:paraId="2EF283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二级类</w:t>
            </w:r>
          </w:p>
        </w:tc>
        <w:tc>
          <w:tcPr>
            <w:tcW w:w="1264" w:type="pct"/>
            <w:vMerge w:val="continue"/>
            <w:noWrap/>
            <w:vAlign w:val="center"/>
          </w:tcPr>
          <w:p w14:paraId="5DD2B2EC">
            <w:pPr>
              <w:jc w:val="center"/>
              <w:rPr>
                <w:rFonts w:hint="default" w:ascii="Times New Roman" w:hAnsi="Times New Roman" w:eastAsia="宋体" w:cs="Times New Roman"/>
                <w:i w:val="0"/>
                <w:iCs w:val="0"/>
                <w:color w:val="auto"/>
                <w:sz w:val="21"/>
                <w:szCs w:val="21"/>
                <w:u w:val="none"/>
              </w:rPr>
            </w:pPr>
          </w:p>
        </w:tc>
        <w:tc>
          <w:tcPr>
            <w:tcW w:w="788" w:type="pct"/>
            <w:vMerge w:val="continue"/>
            <w:noWrap/>
            <w:vAlign w:val="center"/>
          </w:tcPr>
          <w:p w14:paraId="40DC769E">
            <w:pPr>
              <w:jc w:val="center"/>
              <w:rPr>
                <w:rFonts w:hint="default" w:ascii="Times New Roman" w:hAnsi="Times New Roman" w:eastAsia="宋体" w:cs="Times New Roman"/>
                <w:i w:val="0"/>
                <w:iCs w:val="0"/>
                <w:color w:val="auto"/>
                <w:sz w:val="21"/>
                <w:szCs w:val="21"/>
                <w:u w:val="none"/>
              </w:rPr>
            </w:pPr>
          </w:p>
        </w:tc>
        <w:tc>
          <w:tcPr>
            <w:tcW w:w="1229" w:type="pct"/>
            <w:vMerge w:val="continue"/>
            <w:noWrap/>
            <w:vAlign w:val="center"/>
          </w:tcPr>
          <w:p w14:paraId="729D48B4">
            <w:pPr>
              <w:jc w:val="center"/>
              <w:rPr>
                <w:rFonts w:hint="default" w:ascii="Times New Roman" w:hAnsi="Times New Roman" w:eastAsia="宋体" w:cs="Times New Roman"/>
                <w:i w:val="0"/>
                <w:iCs w:val="0"/>
                <w:color w:val="auto"/>
                <w:sz w:val="21"/>
                <w:szCs w:val="21"/>
                <w:u w:val="none"/>
              </w:rPr>
            </w:pPr>
          </w:p>
        </w:tc>
      </w:tr>
      <w:tr w14:paraId="58B9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0" w:type="pct"/>
            <w:vMerge w:val="restart"/>
            <w:noWrap w:val="0"/>
            <w:vAlign w:val="center"/>
          </w:tcPr>
          <w:p w14:paraId="73093F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1森林生态系统</w:t>
            </w:r>
          </w:p>
        </w:tc>
        <w:tc>
          <w:tcPr>
            <w:tcW w:w="766" w:type="pct"/>
            <w:noWrap w:val="0"/>
            <w:vAlign w:val="center"/>
          </w:tcPr>
          <w:p w14:paraId="00C7C4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11阔叶林</w:t>
            </w:r>
          </w:p>
        </w:tc>
        <w:tc>
          <w:tcPr>
            <w:tcW w:w="1264" w:type="pct"/>
            <w:noWrap w:val="0"/>
            <w:vAlign w:val="center"/>
          </w:tcPr>
          <w:p w14:paraId="30D58F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788" w:type="pct"/>
            <w:noWrap w:val="0"/>
            <w:vAlign w:val="center"/>
          </w:tcPr>
          <w:p w14:paraId="56E9CD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w:t>
            </w:r>
          </w:p>
        </w:tc>
        <w:tc>
          <w:tcPr>
            <w:tcW w:w="1229" w:type="pct"/>
            <w:noWrap w:val="0"/>
            <w:vAlign w:val="center"/>
          </w:tcPr>
          <w:p w14:paraId="0EA032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w:t>
            </w:r>
          </w:p>
        </w:tc>
      </w:tr>
      <w:tr w14:paraId="463E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0" w:type="pct"/>
            <w:vMerge w:val="continue"/>
            <w:noWrap w:val="0"/>
            <w:vAlign w:val="center"/>
          </w:tcPr>
          <w:p w14:paraId="17625BA3">
            <w:pPr>
              <w:jc w:val="center"/>
              <w:rPr>
                <w:rFonts w:hint="default" w:ascii="Times New Roman" w:hAnsi="Times New Roman" w:eastAsia="宋体" w:cs="Times New Roman"/>
                <w:i w:val="0"/>
                <w:iCs w:val="0"/>
                <w:color w:val="auto"/>
                <w:sz w:val="21"/>
                <w:szCs w:val="21"/>
                <w:u w:val="none"/>
              </w:rPr>
            </w:pPr>
          </w:p>
        </w:tc>
        <w:tc>
          <w:tcPr>
            <w:tcW w:w="766" w:type="pct"/>
            <w:noWrap w:val="0"/>
            <w:vAlign w:val="center"/>
          </w:tcPr>
          <w:p w14:paraId="64EDA4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12针叶林</w:t>
            </w:r>
          </w:p>
        </w:tc>
        <w:tc>
          <w:tcPr>
            <w:tcW w:w="1264" w:type="pct"/>
            <w:noWrap w:val="0"/>
            <w:vAlign w:val="center"/>
          </w:tcPr>
          <w:p w14:paraId="7F812E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0.38</w:t>
            </w:r>
          </w:p>
        </w:tc>
        <w:tc>
          <w:tcPr>
            <w:tcW w:w="788" w:type="pct"/>
            <w:noWrap w:val="0"/>
            <w:vAlign w:val="center"/>
          </w:tcPr>
          <w:p w14:paraId="3338E5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40.43</w:t>
            </w:r>
          </w:p>
        </w:tc>
        <w:tc>
          <w:tcPr>
            <w:tcW w:w="1229" w:type="pct"/>
            <w:noWrap w:val="0"/>
            <w:vAlign w:val="center"/>
          </w:tcPr>
          <w:p w14:paraId="174C73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0.69</w:t>
            </w:r>
          </w:p>
        </w:tc>
      </w:tr>
      <w:tr w14:paraId="7A84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0" w:type="pct"/>
            <w:noWrap w:val="0"/>
            <w:vAlign w:val="center"/>
          </w:tcPr>
          <w:p w14:paraId="05E9DE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2灌丛生态系统</w:t>
            </w:r>
          </w:p>
        </w:tc>
        <w:tc>
          <w:tcPr>
            <w:tcW w:w="766" w:type="pct"/>
            <w:noWrap w:val="0"/>
            <w:vAlign w:val="center"/>
          </w:tcPr>
          <w:p w14:paraId="10085C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21阔叶灌丛</w:t>
            </w:r>
          </w:p>
        </w:tc>
        <w:tc>
          <w:tcPr>
            <w:tcW w:w="1264" w:type="pct"/>
            <w:noWrap w:val="0"/>
            <w:vAlign w:val="center"/>
          </w:tcPr>
          <w:p w14:paraId="348100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788" w:type="pct"/>
            <w:noWrap w:val="0"/>
            <w:vAlign w:val="center"/>
          </w:tcPr>
          <w:p w14:paraId="56BC1B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4.26</w:t>
            </w:r>
          </w:p>
        </w:tc>
        <w:tc>
          <w:tcPr>
            <w:tcW w:w="1229" w:type="pct"/>
            <w:noWrap w:val="0"/>
            <w:vAlign w:val="center"/>
          </w:tcPr>
          <w:p w14:paraId="16011A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0.38</w:t>
            </w:r>
          </w:p>
        </w:tc>
      </w:tr>
      <w:tr w14:paraId="0986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0" w:type="pct"/>
            <w:noWrap w:val="0"/>
            <w:vAlign w:val="center"/>
          </w:tcPr>
          <w:p w14:paraId="096543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3草地生态系统</w:t>
            </w:r>
          </w:p>
        </w:tc>
        <w:tc>
          <w:tcPr>
            <w:tcW w:w="766" w:type="pct"/>
            <w:noWrap w:val="0"/>
            <w:vAlign w:val="center"/>
          </w:tcPr>
          <w:p w14:paraId="67E780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34草丛</w:t>
            </w:r>
          </w:p>
        </w:tc>
        <w:tc>
          <w:tcPr>
            <w:tcW w:w="1264" w:type="pct"/>
            <w:noWrap w:val="0"/>
            <w:vAlign w:val="center"/>
          </w:tcPr>
          <w:p w14:paraId="10090A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788" w:type="pct"/>
            <w:noWrap w:val="0"/>
            <w:vAlign w:val="center"/>
          </w:tcPr>
          <w:p w14:paraId="2C84A3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w:t>
            </w:r>
          </w:p>
        </w:tc>
        <w:tc>
          <w:tcPr>
            <w:tcW w:w="1229" w:type="pct"/>
            <w:noWrap w:val="0"/>
            <w:vAlign w:val="center"/>
          </w:tcPr>
          <w:p w14:paraId="1755D1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2.74</w:t>
            </w:r>
          </w:p>
        </w:tc>
      </w:tr>
      <w:tr w14:paraId="0BBC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0" w:type="pct"/>
            <w:noWrap w:val="0"/>
            <w:vAlign w:val="center"/>
          </w:tcPr>
          <w:p w14:paraId="56EE8C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4湿地生态系统</w:t>
            </w:r>
          </w:p>
        </w:tc>
        <w:tc>
          <w:tcPr>
            <w:tcW w:w="766" w:type="pct"/>
            <w:noWrap w:val="0"/>
            <w:vAlign w:val="center"/>
          </w:tcPr>
          <w:p w14:paraId="7FB04B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42湖泊</w:t>
            </w:r>
          </w:p>
        </w:tc>
        <w:tc>
          <w:tcPr>
            <w:tcW w:w="1264" w:type="pct"/>
            <w:noWrap w:val="0"/>
            <w:vAlign w:val="center"/>
          </w:tcPr>
          <w:p w14:paraId="10819C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788" w:type="pct"/>
            <w:noWrap w:val="0"/>
            <w:vAlign w:val="center"/>
          </w:tcPr>
          <w:p w14:paraId="01B3EB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1.06</w:t>
            </w:r>
          </w:p>
        </w:tc>
        <w:tc>
          <w:tcPr>
            <w:tcW w:w="1229" w:type="pct"/>
            <w:noWrap w:val="0"/>
            <w:vAlign w:val="center"/>
          </w:tcPr>
          <w:p w14:paraId="42D121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w:t>
            </w:r>
          </w:p>
        </w:tc>
      </w:tr>
      <w:tr w14:paraId="0380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0" w:type="pct"/>
            <w:noWrap w:val="0"/>
            <w:vAlign w:val="center"/>
          </w:tcPr>
          <w:p w14:paraId="3B7262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5农田生态系统</w:t>
            </w:r>
          </w:p>
        </w:tc>
        <w:tc>
          <w:tcPr>
            <w:tcW w:w="766" w:type="pct"/>
            <w:noWrap w:val="0"/>
            <w:vAlign w:val="center"/>
          </w:tcPr>
          <w:p w14:paraId="1EB0E3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51耕地</w:t>
            </w:r>
          </w:p>
        </w:tc>
        <w:tc>
          <w:tcPr>
            <w:tcW w:w="1264" w:type="pct"/>
            <w:noWrap w:val="0"/>
            <w:vAlign w:val="center"/>
          </w:tcPr>
          <w:p w14:paraId="19A898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0.44</w:t>
            </w:r>
          </w:p>
        </w:tc>
        <w:tc>
          <w:tcPr>
            <w:tcW w:w="788" w:type="pct"/>
            <w:noWrap w:val="0"/>
            <w:vAlign w:val="center"/>
          </w:tcPr>
          <w:p w14:paraId="602DB5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46.81</w:t>
            </w:r>
          </w:p>
        </w:tc>
        <w:tc>
          <w:tcPr>
            <w:tcW w:w="1229" w:type="pct"/>
            <w:noWrap w:val="0"/>
            <w:vAlign w:val="center"/>
          </w:tcPr>
          <w:p w14:paraId="77CB0A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1.46</w:t>
            </w:r>
          </w:p>
        </w:tc>
      </w:tr>
      <w:tr w14:paraId="657C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0" w:type="pct"/>
            <w:noWrap w:val="0"/>
            <w:vAlign w:val="center"/>
          </w:tcPr>
          <w:p w14:paraId="01F3DE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6城镇生态系统</w:t>
            </w:r>
          </w:p>
        </w:tc>
        <w:tc>
          <w:tcPr>
            <w:tcW w:w="766" w:type="pct"/>
            <w:noWrap w:val="0"/>
            <w:vAlign w:val="center"/>
          </w:tcPr>
          <w:p w14:paraId="345101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63工矿交通</w:t>
            </w:r>
          </w:p>
        </w:tc>
        <w:tc>
          <w:tcPr>
            <w:tcW w:w="1264" w:type="pct"/>
            <w:noWrap w:val="0"/>
            <w:vAlign w:val="center"/>
          </w:tcPr>
          <w:p w14:paraId="0C2702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788" w:type="pct"/>
            <w:noWrap w:val="0"/>
            <w:vAlign w:val="center"/>
          </w:tcPr>
          <w:p w14:paraId="43ED86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3.19</w:t>
            </w:r>
          </w:p>
        </w:tc>
        <w:tc>
          <w:tcPr>
            <w:tcW w:w="1229" w:type="pct"/>
            <w:noWrap w:val="0"/>
            <w:vAlign w:val="center"/>
          </w:tcPr>
          <w:p w14:paraId="540DB1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0.70</w:t>
            </w:r>
          </w:p>
        </w:tc>
      </w:tr>
      <w:tr w14:paraId="69AE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16" w:type="pct"/>
            <w:gridSpan w:val="2"/>
            <w:noWrap w:val="0"/>
            <w:vAlign w:val="center"/>
          </w:tcPr>
          <w:p w14:paraId="2B8197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1264" w:type="pct"/>
            <w:noWrap w:val="0"/>
            <w:vAlign w:val="center"/>
          </w:tcPr>
          <w:p w14:paraId="233342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0.94</w:t>
            </w:r>
          </w:p>
        </w:tc>
        <w:tc>
          <w:tcPr>
            <w:tcW w:w="788" w:type="pct"/>
            <w:noWrap w:val="0"/>
            <w:vAlign w:val="center"/>
          </w:tcPr>
          <w:p w14:paraId="05AB8F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229" w:type="pct"/>
            <w:noWrap/>
            <w:vAlign w:val="center"/>
          </w:tcPr>
          <w:p w14:paraId="25941C7A">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bl>
    <w:p w14:paraId="62B350AF">
      <w:pPr>
        <w:adjustRightInd w:val="0"/>
        <w:snapToGrid w:val="0"/>
        <w:rPr>
          <w:rFonts w:hint="default" w:ascii="Times New Roman" w:hAnsi="Times New Roman" w:eastAsia="宋体" w:cs="Times New Roman"/>
          <w:color w:val="auto"/>
          <w:sz w:val="21"/>
          <w:szCs w:val="21"/>
          <w:lang w:val="en-US" w:eastAsia="zh-CN"/>
        </w:rPr>
      </w:pPr>
    </w:p>
    <w:p w14:paraId="2997CEC8">
      <w:pPr>
        <w:snapToGrid w:val="0"/>
        <w:spacing w:line="480" w:lineRule="atLeas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根据生态系统占用情况统计，项目施工临时占地类型主要为农田生态系统，</w:t>
      </w:r>
      <w:r>
        <w:rPr>
          <w:rFonts w:hint="default" w:ascii="Times New Roman" w:hAnsi="Times New Roman" w:eastAsia="宋体" w:cs="Times New Roman"/>
          <w:bCs/>
          <w:color w:val="auto"/>
          <w:sz w:val="26"/>
          <w:szCs w:val="26"/>
          <w:highlight w:val="none"/>
          <w:lang w:val="en-US" w:eastAsia="zh-CN"/>
        </w:rPr>
        <w:t>总</w:t>
      </w:r>
      <w:r>
        <w:rPr>
          <w:rFonts w:hint="default" w:ascii="Times New Roman" w:hAnsi="Times New Roman" w:eastAsia="宋体" w:cs="Times New Roman"/>
          <w:bCs/>
          <w:color w:val="auto"/>
          <w:sz w:val="26"/>
          <w:szCs w:val="26"/>
          <w:highlight w:val="none"/>
        </w:rPr>
        <w:t>占用面积约</w:t>
      </w:r>
      <w:r>
        <w:rPr>
          <w:rFonts w:hint="default" w:ascii="Times New Roman" w:hAnsi="Times New Roman" w:eastAsia="宋体" w:cs="Times New Roman"/>
          <w:bCs/>
          <w:color w:val="auto"/>
          <w:sz w:val="26"/>
          <w:szCs w:val="26"/>
          <w:highlight w:val="none"/>
          <w:lang w:val="en-US" w:eastAsia="zh-CN"/>
        </w:rPr>
        <w:t>0.44</w:t>
      </w:r>
      <w:r>
        <w:rPr>
          <w:rFonts w:hint="default" w:ascii="Times New Roman" w:hAnsi="Times New Roman" w:eastAsia="宋体" w:cs="Times New Roman"/>
          <w:bCs/>
          <w:color w:val="auto"/>
          <w:sz w:val="26"/>
          <w:szCs w:val="26"/>
          <w:highlight w:val="none"/>
        </w:rPr>
        <w:t>hm</w:t>
      </w:r>
      <w:r>
        <w:rPr>
          <w:rFonts w:hint="default" w:ascii="Times New Roman" w:hAnsi="Times New Roman" w:eastAsia="宋体" w:cs="Times New Roman"/>
          <w:bCs/>
          <w:color w:val="auto"/>
          <w:sz w:val="26"/>
          <w:szCs w:val="26"/>
          <w:highlight w:val="none"/>
          <w:vertAlign w:val="superscript"/>
        </w:rPr>
        <w:t>2</w:t>
      </w:r>
      <w:r>
        <w:rPr>
          <w:rFonts w:hint="default" w:ascii="Times New Roman" w:hAnsi="Times New Roman" w:eastAsia="宋体" w:cs="Times New Roman"/>
          <w:bCs/>
          <w:color w:val="auto"/>
          <w:sz w:val="26"/>
          <w:szCs w:val="26"/>
          <w:highlight w:val="none"/>
        </w:rPr>
        <w:t>，约占评价区农田生态系统的</w:t>
      </w:r>
      <w:r>
        <w:rPr>
          <w:rFonts w:hint="default" w:ascii="Times New Roman" w:hAnsi="Times New Roman" w:eastAsia="宋体" w:cs="Times New Roman"/>
          <w:bCs/>
          <w:color w:val="auto"/>
          <w:sz w:val="26"/>
          <w:szCs w:val="26"/>
          <w:highlight w:val="none"/>
          <w:lang w:val="en-US" w:eastAsia="zh-CN"/>
        </w:rPr>
        <w:t>1.46</w:t>
      </w:r>
      <w:r>
        <w:rPr>
          <w:rFonts w:hint="default" w:ascii="Times New Roman" w:hAnsi="Times New Roman" w:eastAsia="宋体" w:cs="Times New Roman"/>
          <w:bCs/>
          <w:color w:val="auto"/>
          <w:sz w:val="26"/>
          <w:szCs w:val="26"/>
          <w:highlight w:val="none"/>
        </w:rPr>
        <w:t>%，项目施工较短且分段施工，因此占用耕地生态系统的时间较短；其次为森林</w:t>
      </w:r>
      <w:r>
        <w:rPr>
          <w:rFonts w:hint="default" w:ascii="Times New Roman" w:hAnsi="Times New Roman" w:eastAsia="宋体" w:cs="Times New Roman"/>
          <w:bCs/>
          <w:color w:val="auto"/>
          <w:sz w:val="26"/>
          <w:szCs w:val="26"/>
          <w:highlight w:val="none"/>
          <w:shd w:val="clear" w:fill="FFFFFF"/>
        </w:rPr>
        <w:t>生态系统生态系统</w:t>
      </w:r>
      <w:r>
        <w:rPr>
          <w:rFonts w:hint="default" w:ascii="Times New Roman" w:hAnsi="Times New Roman" w:eastAsia="宋体" w:cs="Times New Roman"/>
          <w:bCs/>
          <w:color w:val="auto"/>
          <w:sz w:val="26"/>
          <w:szCs w:val="26"/>
          <w:highlight w:val="none"/>
        </w:rPr>
        <w:t>，占用面积约</w:t>
      </w:r>
      <w:r>
        <w:rPr>
          <w:rFonts w:hint="default" w:ascii="Times New Roman" w:hAnsi="Times New Roman" w:eastAsia="宋体" w:cs="Times New Roman"/>
          <w:bCs/>
          <w:color w:val="auto"/>
          <w:sz w:val="26"/>
          <w:szCs w:val="26"/>
          <w:highlight w:val="none"/>
          <w:lang w:val="en-US" w:eastAsia="zh-CN"/>
        </w:rPr>
        <w:t>0.40</w:t>
      </w:r>
      <w:r>
        <w:rPr>
          <w:rFonts w:hint="default" w:ascii="Times New Roman" w:hAnsi="Times New Roman" w:eastAsia="宋体" w:cs="Times New Roman"/>
          <w:bCs/>
          <w:color w:val="auto"/>
          <w:sz w:val="26"/>
          <w:szCs w:val="26"/>
          <w:highlight w:val="none"/>
        </w:rPr>
        <w:t>hm</w:t>
      </w:r>
      <w:r>
        <w:rPr>
          <w:rFonts w:hint="default" w:ascii="Times New Roman" w:hAnsi="Times New Roman" w:eastAsia="宋体" w:cs="Times New Roman"/>
          <w:bCs/>
          <w:color w:val="auto"/>
          <w:sz w:val="26"/>
          <w:szCs w:val="26"/>
          <w:highlight w:val="none"/>
          <w:vertAlign w:val="superscript"/>
        </w:rPr>
        <w:t>2</w:t>
      </w:r>
      <w:r>
        <w:rPr>
          <w:rFonts w:hint="default" w:ascii="Times New Roman" w:hAnsi="Times New Roman" w:eastAsia="宋体" w:cs="Times New Roman"/>
          <w:bCs/>
          <w:color w:val="auto"/>
          <w:sz w:val="26"/>
          <w:szCs w:val="26"/>
          <w:highlight w:val="none"/>
        </w:rPr>
        <w:t>，约占评价区森林生态系统的</w:t>
      </w:r>
      <w:r>
        <w:rPr>
          <w:rFonts w:hint="default" w:ascii="Times New Roman" w:hAnsi="Times New Roman" w:eastAsia="宋体" w:cs="Times New Roman"/>
          <w:bCs/>
          <w:color w:val="auto"/>
          <w:sz w:val="26"/>
          <w:szCs w:val="26"/>
          <w:highlight w:val="none"/>
          <w:lang w:val="en-US" w:eastAsia="zh-CN"/>
        </w:rPr>
        <w:t>0.73</w:t>
      </w:r>
      <w:r>
        <w:rPr>
          <w:rFonts w:hint="default" w:ascii="Times New Roman" w:hAnsi="Times New Roman" w:eastAsia="宋体" w:cs="Times New Roman"/>
          <w:bCs/>
          <w:color w:val="auto"/>
          <w:sz w:val="26"/>
          <w:szCs w:val="26"/>
          <w:highlight w:val="none"/>
        </w:rPr>
        <w:t>%，管道工程的建设将使评价区植被生境遭到一定程度的破坏，一些生物个体可能丧失部分生长环境，生物多样性会出现一定程度的下降，自然体系的生产力将下降。但项目建设不会造成植被的大面积减少，对森林生态系统的影响很小，不会影响到当地的植物资源利用，以及生物多样性减少导致的生态系统组分失调或简化。施工完毕后随着临时占地的恢复，生产力将有所回升，基本上恢复到建设前的状况。总体来说，项目占地面积较小，不会对评价区生态类型造成明显改变，且项目占地主要为施工临时占地，占地时间短暂，施工完成后占地范围植被会得到一定程度恢复，项目建设对生态环境影响逐渐消失。</w:t>
      </w:r>
    </w:p>
    <w:p w14:paraId="2AA7222B">
      <w:pPr>
        <w:snapToGrid w:val="0"/>
        <w:spacing w:line="480" w:lineRule="atLeas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因此，施工期对生态系统占用的影响可接受。</w:t>
      </w:r>
    </w:p>
    <w:p w14:paraId="2B4E1675">
      <w:pPr>
        <w:snapToGrid w:val="0"/>
        <w:spacing w:line="480" w:lineRule="atLeas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（2）施工期对生态系统生物量和生产力的影响</w:t>
      </w:r>
    </w:p>
    <w:p w14:paraId="21E33AF9">
      <w:pPr>
        <w:snapToGrid w:val="0"/>
        <w:spacing w:line="480" w:lineRule="atLeas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本项目施工过程中的工程占地会使占地范围内植被受到破坏，引起植被生物量损失。对于穿越林地的管段，由于按照《中华人民共和国石油天然气管道保护法》的要求，两侧各5m地域范围内不能进行深根植物种植，植被恢复</w:t>
      </w:r>
      <w:r>
        <w:rPr>
          <w:rFonts w:hint="default" w:ascii="Times New Roman" w:hAnsi="Times New Roman" w:eastAsia="宋体" w:cs="Times New Roman"/>
          <w:bCs/>
          <w:color w:val="auto"/>
          <w:sz w:val="26"/>
          <w:szCs w:val="26"/>
          <w:highlight w:val="none"/>
          <w:shd w:val="clear" w:fill="FFFFFF"/>
        </w:rPr>
        <w:t>以以</w:t>
      </w:r>
      <w:r>
        <w:rPr>
          <w:rFonts w:hint="default" w:ascii="Times New Roman" w:hAnsi="Times New Roman" w:eastAsia="宋体" w:cs="Times New Roman"/>
          <w:bCs/>
          <w:color w:val="auto"/>
          <w:sz w:val="26"/>
          <w:szCs w:val="26"/>
          <w:highlight w:val="none"/>
        </w:rPr>
        <w:t>植草绿化为主，故该管段会造成部分生物量的永</w:t>
      </w:r>
      <w:r>
        <w:rPr>
          <w:rFonts w:hint="default" w:ascii="Times New Roman" w:hAnsi="Times New Roman" w:eastAsia="宋体" w:cs="Times New Roman"/>
          <w:color w:val="auto"/>
          <w:sz w:val="26"/>
          <w:highlight w:val="none"/>
          <w:lang w:bidi="ar"/>
        </w:rPr>
        <w:t>久损失；对于穿越灌草丛、耕地等管段，施工完成后会对占地范围内的植被恢复到原有状态，故该管道造成的生物量损失为临时损失。</w:t>
      </w:r>
    </w:p>
    <w:p w14:paraId="43CC1B77">
      <w:pPr>
        <w:snapToGrid w:val="0"/>
        <w:spacing w:line="480" w:lineRule="exact"/>
        <w:ind w:firstLine="5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6"/>
          <w:highlight w:val="none"/>
          <w:lang w:bidi="ar"/>
        </w:rPr>
        <w:t>根据统计分析，项目导致的生物量和生产力损失情况详见下表</w:t>
      </w:r>
      <w:r>
        <w:rPr>
          <w:rFonts w:hint="default" w:ascii="Times New Roman" w:hAnsi="Times New Roman" w:eastAsia="宋体" w:cs="Times New Roman"/>
          <w:bCs/>
          <w:color w:val="auto"/>
          <w:sz w:val="26"/>
          <w:szCs w:val="26"/>
          <w:highlight w:val="none"/>
        </w:rPr>
        <w:t>。</w:t>
      </w:r>
    </w:p>
    <w:p w14:paraId="2C55DE5E">
      <w:pPr>
        <w:pStyle w:val="106"/>
        <w:spacing w:line="480" w:lineRule="exact"/>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5</w:t>
      </w:r>
      <w:r>
        <w:rPr>
          <w:rFonts w:hint="default" w:ascii="Times New Roman" w:hAnsi="Times New Roman" w:eastAsia="宋体" w:cs="Times New Roman"/>
          <w:b/>
          <w:bCs/>
          <w:color w:val="auto"/>
          <w:highlight w:val="none"/>
          <w:lang w:val="en-US" w:eastAsia="zh-CN"/>
        </w:rPr>
        <w:t>.6-2</w:t>
      </w:r>
      <w:r>
        <w:rPr>
          <w:rFonts w:hint="default" w:ascii="Times New Roman" w:hAnsi="Times New Roman" w:eastAsia="宋体" w:cs="Times New Roman"/>
          <w:b/>
          <w:bCs/>
          <w:color w:val="auto"/>
          <w:highlight w:val="none"/>
        </w:rPr>
        <w:t xml:space="preserve"> 本项目占地引起的植被生物量损失统计表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996"/>
        <w:gridCol w:w="2037"/>
        <w:gridCol w:w="3102"/>
      </w:tblGrid>
      <w:tr w14:paraId="5021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6" w:type="pct"/>
            <w:gridSpan w:val="2"/>
            <w:noWrap w:val="0"/>
            <w:vAlign w:val="center"/>
          </w:tcPr>
          <w:p w14:paraId="789577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损失类型</w:t>
            </w:r>
          </w:p>
        </w:tc>
        <w:tc>
          <w:tcPr>
            <w:tcW w:w="1139" w:type="pct"/>
            <w:noWrap w:val="0"/>
            <w:vAlign w:val="center"/>
          </w:tcPr>
          <w:p w14:paraId="05DA7B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一次性生物量损失</w:t>
            </w:r>
          </w:p>
        </w:tc>
        <w:tc>
          <w:tcPr>
            <w:tcW w:w="1734" w:type="pct"/>
            <w:noWrap w:val="0"/>
            <w:vAlign w:val="center"/>
          </w:tcPr>
          <w:p w14:paraId="38AC7F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永久性生物量损失</w:t>
            </w:r>
          </w:p>
        </w:tc>
      </w:tr>
      <w:tr w14:paraId="2901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6" w:type="pct"/>
            <w:gridSpan w:val="2"/>
            <w:noWrap w:val="0"/>
            <w:vAlign w:val="center"/>
          </w:tcPr>
          <w:p w14:paraId="7CBD28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占地类型</w:t>
            </w:r>
          </w:p>
        </w:tc>
        <w:tc>
          <w:tcPr>
            <w:tcW w:w="1139" w:type="pct"/>
            <w:noWrap w:val="0"/>
            <w:vAlign w:val="center"/>
          </w:tcPr>
          <w:p w14:paraId="6D9BEA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临时占地</w:t>
            </w:r>
          </w:p>
        </w:tc>
        <w:tc>
          <w:tcPr>
            <w:tcW w:w="1734" w:type="pct"/>
            <w:noWrap w:val="0"/>
            <w:vAlign w:val="center"/>
          </w:tcPr>
          <w:p w14:paraId="2A4A7C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管线林地穿越段两侧5m范围</w:t>
            </w:r>
          </w:p>
        </w:tc>
      </w:tr>
      <w:tr w14:paraId="3862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restart"/>
            <w:noWrap w:val="0"/>
            <w:vAlign w:val="center"/>
          </w:tcPr>
          <w:p w14:paraId="1E540F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暖性针叶林</w:t>
            </w:r>
          </w:p>
        </w:tc>
        <w:tc>
          <w:tcPr>
            <w:tcW w:w="1116" w:type="pct"/>
            <w:noWrap w:val="0"/>
            <w:vAlign w:val="center"/>
          </w:tcPr>
          <w:p w14:paraId="09B94A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39" w:type="pct"/>
            <w:noWrap w:val="0"/>
            <w:vAlign w:val="center"/>
          </w:tcPr>
          <w:p w14:paraId="27977C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0.37</w:t>
            </w:r>
          </w:p>
        </w:tc>
        <w:tc>
          <w:tcPr>
            <w:tcW w:w="1734" w:type="pct"/>
            <w:noWrap w:val="0"/>
            <w:vAlign w:val="center"/>
          </w:tcPr>
          <w:p w14:paraId="5E0824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0.37</w:t>
            </w:r>
          </w:p>
        </w:tc>
      </w:tr>
      <w:tr w14:paraId="5104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continue"/>
            <w:noWrap w:val="0"/>
            <w:vAlign w:val="center"/>
          </w:tcPr>
          <w:p w14:paraId="50933F87">
            <w:pPr>
              <w:jc w:val="center"/>
              <w:rPr>
                <w:rFonts w:hint="default" w:ascii="Times New Roman" w:hAnsi="Times New Roman" w:eastAsia="宋体" w:cs="Times New Roman"/>
                <w:i w:val="0"/>
                <w:iCs w:val="0"/>
                <w:color w:val="auto"/>
                <w:sz w:val="21"/>
                <w:szCs w:val="21"/>
                <w:u w:val="none"/>
              </w:rPr>
            </w:pPr>
          </w:p>
        </w:tc>
        <w:tc>
          <w:tcPr>
            <w:tcW w:w="1116" w:type="pct"/>
            <w:noWrap w:val="0"/>
            <w:vAlign w:val="center"/>
          </w:tcPr>
          <w:p w14:paraId="5BAE5B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39" w:type="pct"/>
            <w:noWrap w:val="0"/>
            <w:vAlign w:val="center"/>
          </w:tcPr>
          <w:p w14:paraId="24F343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72.30</w:t>
            </w:r>
          </w:p>
        </w:tc>
        <w:tc>
          <w:tcPr>
            <w:tcW w:w="1734" w:type="pct"/>
            <w:noWrap w:val="0"/>
            <w:vAlign w:val="center"/>
          </w:tcPr>
          <w:p w14:paraId="11F902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69.80</w:t>
            </w:r>
          </w:p>
        </w:tc>
      </w:tr>
      <w:tr w14:paraId="5D93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restart"/>
            <w:noWrap w:val="0"/>
            <w:vAlign w:val="center"/>
          </w:tcPr>
          <w:p w14:paraId="26D9ED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落叶阔叶林</w:t>
            </w:r>
          </w:p>
        </w:tc>
        <w:tc>
          <w:tcPr>
            <w:tcW w:w="1116" w:type="pct"/>
            <w:noWrap w:val="0"/>
            <w:vAlign w:val="center"/>
          </w:tcPr>
          <w:p w14:paraId="58E7D3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39" w:type="pct"/>
            <w:noWrap w:val="0"/>
            <w:vAlign w:val="center"/>
          </w:tcPr>
          <w:p w14:paraId="321A45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734" w:type="pct"/>
            <w:noWrap w:val="0"/>
            <w:vAlign w:val="center"/>
          </w:tcPr>
          <w:p w14:paraId="3C8634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4B95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continue"/>
            <w:noWrap w:val="0"/>
            <w:vAlign w:val="center"/>
          </w:tcPr>
          <w:p w14:paraId="706E64E4">
            <w:pPr>
              <w:jc w:val="center"/>
              <w:rPr>
                <w:rFonts w:hint="default" w:ascii="Times New Roman" w:hAnsi="Times New Roman" w:eastAsia="宋体" w:cs="Times New Roman"/>
                <w:i w:val="0"/>
                <w:iCs w:val="0"/>
                <w:color w:val="auto"/>
                <w:sz w:val="21"/>
                <w:szCs w:val="21"/>
                <w:u w:val="none"/>
              </w:rPr>
            </w:pPr>
          </w:p>
        </w:tc>
        <w:tc>
          <w:tcPr>
            <w:tcW w:w="1116" w:type="pct"/>
            <w:noWrap w:val="0"/>
            <w:vAlign w:val="center"/>
          </w:tcPr>
          <w:p w14:paraId="3D9388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39" w:type="pct"/>
            <w:noWrap w:val="0"/>
            <w:vAlign w:val="center"/>
          </w:tcPr>
          <w:p w14:paraId="64B210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118.60</w:t>
            </w:r>
          </w:p>
        </w:tc>
        <w:tc>
          <w:tcPr>
            <w:tcW w:w="1734" w:type="pct"/>
            <w:noWrap w:val="0"/>
            <w:vAlign w:val="center"/>
          </w:tcPr>
          <w:p w14:paraId="5C5984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116.10</w:t>
            </w:r>
          </w:p>
        </w:tc>
      </w:tr>
      <w:tr w14:paraId="37DE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restart"/>
            <w:noWrap w:val="0"/>
            <w:vAlign w:val="center"/>
          </w:tcPr>
          <w:p w14:paraId="3A4881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竹林</w:t>
            </w:r>
          </w:p>
        </w:tc>
        <w:tc>
          <w:tcPr>
            <w:tcW w:w="1116" w:type="pct"/>
            <w:noWrap w:val="0"/>
            <w:vAlign w:val="center"/>
          </w:tcPr>
          <w:p w14:paraId="1CAA1D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39" w:type="pct"/>
            <w:noWrap w:val="0"/>
            <w:vAlign w:val="center"/>
          </w:tcPr>
          <w:p w14:paraId="10BE21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734" w:type="pct"/>
            <w:noWrap w:val="0"/>
            <w:vAlign w:val="center"/>
          </w:tcPr>
          <w:p w14:paraId="70BB18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43BF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continue"/>
            <w:noWrap w:val="0"/>
            <w:vAlign w:val="center"/>
          </w:tcPr>
          <w:p w14:paraId="5ED7BF89">
            <w:pPr>
              <w:jc w:val="center"/>
              <w:rPr>
                <w:rFonts w:hint="default" w:ascii="Times New Roman" w:hAnsi="Times New Roman" w:eastAsia="宋体" w:cs="Times New Roman"/>
                <w:i w:val="0"/>
                <w:iCs w:val="0"/>
                <w:color w:val="auto"/>
                <w:sz w:val="21"/>
                <w:szCs w:val="21"/>
                <w:u w:val="none"/>
              </w:rPr>
            </w:pPr>
          </w:p>
        </w:tc>
        <w:tc>
          <w:tcPr>
            <w:tcW w:w="1116" w:type="pct"/>
            <w:noWrap w:val="0"/>
            <w:vAlign w:val="center"/>
          </w:tcPr>
          <w:p w14:paraId="5D0613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39" w:type="pct"/>
            <w:noWrap w:val="0"/>
            <w:vAlign w:val="center"/>
          </w:tcPr>
          <w:p w14:paraId="0152FD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14.30</w:t>
            </w:r>
          </w:p>
        </w:tc>
        <w:tc>
          <w:tcPr>
            <w:tcW w:w="1734" w:type="pct"/>
            <w:noWrap w:val="0"/>
            <w:vAlign w:val="center"/>
          </w:tcPr>
          <w:p w14:paraId="4A4CFE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11.80</w:t>
            </w:r>
          </w:p>
        </w:tc>
      </w:tr>
      <w:tr w14:paraId="2950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restart"/>
            <w:noWrap w:val="0"/>
            <w:vAlign w:val="center"/>
          </w:tcPr>
          <w:p w14:paraId="55C7C7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常绿阔叶灌丛</w:t>
            </w:r>
          </w:p>
        </w:tc>
        <w:tc>
          <w:tcPr>
            <w:tcW w:w="1116" w:type="pct"/>
            <w:noWrap w:val="0"/>
            <w:vAlign w:val="center"/>
          </w:tcPr>
          <w:p w14:paraId="585080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39" w:type="pct"/>
            <w:noWrap w:val="0"/>
            <w:vAlign w:val="center"/>
          </w:tcPr>
          <w:p w14:paraId="5700E6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734" w:type="pct"/>
            <w:noWrap w:val="0"/>
            <w:vAlign w:val="center"/>
          </w:tcPr>
          <w:p w14:paraId="125FE4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8FE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continue"/>
            <w:noWrap w:val="0"/>
            <w:vAlign w:val="center"/>
          </w:tcPr>
          <w:p w14:paraId="623D4C5B">
            <w:pPr>
              <w:jc w:val="center"/>
              <w:rPr>
                <w:rFonts w:hint="default" w:ascii="Times New Roman" w:hAnsi="Times New Roman" w:eastAsia="宋体" w:cs="Times New Roman"/>
                <w:i w:val="0"/>
                <w:iCs w:val="0"/>
                <w:color w:val="auto"/>
                <w:sz w:val="21"/>
                <w:szCs w:val="21"/>
                <w:u w:val="none"/>
              </w:rPr>
            </w:pPr>
          </w:p>
        </w:tc>
        <w:tc>
          <w:tcPr>
            <w:tcW w:w="1116" w:type="pct"/>
            <w:noWrap w:val="0"/>
            <w:vAlign w:val="center"/>
          </w:tcPr>
          <w:p w14:paraId="709940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39" w:type="pct"/>
            <w:noWrap w:val="0"/>
            <w:vAlign w:val="center"/>
          </w:tcPr>
          <w:p w14:paraId="4BBAED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11.90</w:t>
            </w:r>
          </w:p>
        </w:tc>
        <w:tc>
          <w:tcPr>
            <w:tcW w:w="1734" w:type="pct"/>
            <w:noWrap w:val="0"/>
            <w:vAlign w:val="center"/>
          </w:tcPr>
          <w:p w14:paraId="19BA2D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23B9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restart"/>
            <w:noWrap w:val="0"/>
            <w:vAlign w:val="center"/>
          </w:tcPr>
          <w:p w14:paraId="402263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落叶阔叶灌丛</w:t>
            </w:r>
          </w:p>
        </w:tc>
        <w:tc>
          <w:tcPr>
            <w:tcW w:w="1116" w:type="pct"/>
            <w:noWrap w:val="0"/>
            <w:vAlign w:val="center"/>
          </w:tcPr>
          <w:p w14:paraId="2B6C45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39" w:type="pct"/>
            <w:noWrap w:val="0"/>
            <w:vAlign w:val="center"/>
          </w:tcPr>
          <w:p w14:paraId="004143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1734" w:type="pct"/>
            <w:noWrap w:val="0"/>
            <w:vAlign w:val="center"/>
          </w:tcPr>
          <w:p w14:paraId="1D682E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533A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continue"/>
            <w:noWrap w:val="0"/>
            <w:vAlign w:val="center"/>
          </w:tcPr>
          <w:p w14:paraId="534AFAB9">
            <w:pPr>
              <w:jc w:val="center"/>
              <w:rPr>
                <w:rFonts w:hint="default" w:ascii="Times New Roman" w:hAnsi="Times New Roman" w:eastAsia="宋体" w:cs="Times New Roman"/>
                <w:i w:val="0"/>
                <w:iCs w:val="0"/>
                <w:color w:val="auto"/>
                <w:sz w:val="21"/>
                <w:szCs w:val="21"/>
                <w:u w:val="none"/>
              </w:rPr>
            </w:pPr>
          </w:p>
        </w:tc>
        <w:tc>
          <w:tcPr>
            <w:tcW w:w="1116" w:type="pct"/>
            <w:noWrap w:val="0"/>
            <w:vAlign w:val="center"/>
          </w:tcPr>
          <w:p w14:paraId="0F3DA0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39" w:type="pct"/>
            <w:noWrap w:val="0"/>
            <w:vAlign w:val="center"/>
          </w:tcPr>
          <w:p w14:paraId="4638BA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9.50</w:t>
            </w:r>
          </w:p>
        </w:tc>
        <w:tc>
          <w:tcPr>
            <w:tcW w:w="1734" w:type="pct"/>
            <w:noWrap w:val="0"/>
            <w:vAlign w:val="center"/>
          </w:tcPr>
          <w:p w14:paraId="5352A0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C8B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restart"/>
            <w:noWrap w:val="0"/>
            <w:vAlign w:val="center"/>
          </w:tcPr>
          <w:p w14:paraId="799FD3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草丛</w:t>
            </w:r>
          </w:p>
        </w:tc>
        <w:tc>
          <w:tcPr>
            <w:tcW w:w="1116" w:type="pct"/>
            <w:noWrap w:val="0"/>
            <w:vAlign w:val="center"/>
          </w:tcPr>
          <w:p w14:paraId="4EE27A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39" w:type="pct"/>
            <w:noWrap w:val="0"/>
            <w:vAlign w:val="center"/>
          </w:tcPr>
          <w:p w14:paraId="123B1F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734" w:type="pct"/>
            <w:noWrap w:val="0"/>
            <w:vAlign w:val="center"/>
          </w:tcPr>
          <w:p w14:paraId="05842B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4C2D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continue"/>
            <w:noWrap w:val="0"/>
            <w:vAlign w:val="center"/>
          </w:tcPr>
          <w:p w14:paraId="1F8832E1">
            <w:pPr>
              <w:jc w:val="center"/>
              <w:rPr>
                <w:rFonts w:hint="default" w:ascii="Times New Roman" w:hAnsi="Times New Roman" w:eastAsia="宋体" w:cs="Times New Roman"/>
                <w:i w:val="0"/>
                <w:iCs w:val="0"/>
                <w:color w:val="auto"/>
                <w:sz w:val="21"/>
                <w:szCs w:val="21"/>
                <w:u w:val="none"/>
              </w:rPr>
            </w:pPr>
          </w:p>
        </w:tc>
        <w:tc>
          <w:tcPr>
            <w:tcW w:w="1116" w:type="pct"/>
            <w:noWrap w:val="0"/>
            <w:vAlign w:val="center"/>
          </w:tcPr>
          <w:p w14:paraId="20150B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39" w:type="pct"/>
            <w:noWrap w:val="0"/>
            <w:vAlign w:val="center"/>
          </w:tcPr>
          <w:p w14:paraId="5C4142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1734" w:type="pct"/>
            <w:noWrap w:val="0"/>
            <w:vAlign w:val="center"/>
          </w:tcPr>
          <w:p w14:paraId="17DDE1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EE7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restart"/>
            <w:noWrap w:val="0"/>
            <w:vAlign w:val="center"/>
          </w:tcPr>
          <w:p w14:paraId="458C2C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耕地</w:t>
            </w:r>
          </w:p>
        </w:tc>
        <w:tc>
          <w:tcPr>
            <w:tcW w:w="1116" w:type="pct"/>
            <w:noWrap w:val="0"/>
            <w:vAlign w:val="center"/>
          </w:tcPr>
          <w:p w14:paraId="289565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39" w:type="pct"/>
            <w:noWrap w:val="0"/>
            <w:vAlign w:val="center"/>
          </w:tcPr>
          <w:p w14:paraId="2BB1A0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0.44</w:t>
            </w:r>
          </w:p>
        </w:tc>
        <w:tc>
          <w:tcPr>
            <w:tcW w:w="1734" w:type="pct"/>
            <w:noWrap w:val="0"/>
            <w:vAlign w:val="center"/>
          </w:tcPr>
          <w:p w14:paraId="44F48E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F38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continue"/>
            <w:noWrap w:val="0"/>
            <w:vAlign w:val="center"/>
          </w:tcPr>
          <w:p w14:paraId="29379C02">
            <w:pPr>
              <w:jc w:val="center"/>
              <w:rPr>
                <w:rFonts w:hint="default" w:ascii="Times New Roman" w:hAnsi="Times New Roman" w:eastAsia="宋体" w:cs="Times New Roman"/>
                <w:i w:val="0"/>
                <w:iCs w:val="0"/>
                <w:color w:val="auto"/>
                <w:sz w:val="21"/>
                <w:szCs w:val="21"/>
                <w:u w:val="none"/>
              </w:rPr>
            </w:pPr>
          </w:p>
        </w:tc>
        <w:tc>
          <w:tcPr>
            <w:tcW w:w="1116" w:type="pct"/>
            <w:noWrap w:val="0"/>
            <w:vAlign w:val="center"/>
          </w:tcPr>
          <w:p w14:paraId="5F38D2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39" w:type="pct"/>
            <w:noWrap w:val="0"/>
            <w:vAlign w:val="center"/>
          </w:tcPr>
          <w:p w14:paraId="5AA7AC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734" w:type="pct"/>
            <w:noWrap w:val="0"/>
            <w:vAlign w:val="center"/>
          </w:tcPr>
          <w:p w14:paraId="3FBC5E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8BF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restart"/>
            <w:noWrap w:val="0"/>
            <w:vAlign w:val="center"/>
          </w:tcPr>
          <w:p w14:paraId="25B92C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水域</w:t>
            </w:r>
          </w:p>
        </w:tc>
        <w:tc>
          <w:tcPr>
            <w:tcW w:w="1116" w:type="pct"/>
            <w:noWrap w:val="0"/>
            <w:vAlign w:val="center"/>
          </w:tcPr>
          <w:p w14:paraId="72F238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39" w:type="pct"/>
            <w:noWrap w:val="0"/>
            <w:vAlign w:val="center"/>
          </w:tcPr>
          <w:p w14:paraId="1C8B01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734" w:type="pct"/>
            <w:noWrap w:val="0"/>
            <w:vAlign w:val="center"/>
          </w:tcPr>
          <w:p w14:paraId="059731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4A1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vMerge w:val="continue"/>
            <w:noWrap w:val="0"/>
            <w:vAlign w:val="center"/>
          </w:tcPr>
          <w:p w14:paraId="6E91CF11">
            <w:pPr>
              <w:jc w:val="center"/>
              <w:rPr>
                <w:rFonts w:hint="default" w:ascii="Times New Roman" w:hAnsi="Times New Roman" w:eastAsia="宋体" w:cs="Times New Roman"/>
                <w:i w:val="0"/>
                <w:iCs w:val="0"/>
                <w:color w:val="auto"/>
                <w:sz w:val="21"/>
                <w:szCs w:val="21"/>
                <w:u w:val="none"/>
              </w:rPr>
            </w:pPr>
          </w:p>
        </w:tc>
        <w:tc>
          <w:tcPr>
            <w:tcW w:w="1116" w:type="pct"/>
            <w:noWrap w:val="0"/>
            <w:vAlign w:val="center"/>
          </w:tcPr>
          <w:p w14:paraId="0B3BC9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39" w:type="pct"/>
            <w:noWrap w:val="0"/>
            <w:vAlign w:val="center"/>
          </w:tcPr>
          <w:p w14:paraId="606A8A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734" w:type="pct"/>
            <w:noWrap w:val="0"/>
            <w:vAlign w:val="center"/>
          </w:tcPr>
          <w:p w14:paraId="008DDF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175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noWrap w:val="0"/>
            <w:vAlign w:val="center"/>
          </w:tcPr>
          <w:p w14:paraId="425042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其他无植被地段</w:t>
            </w:r>
          </w:p>
        </w:tc>
        <w:tc>
          <w:tcPr>
            <w:tcW w:w="1116" w:type="pct"/>
            <w:noWrap w:val="0"/>
            <w:vAlign w:val="center"/>
          </w:tcPr>
          <w:p w14:paraId="3DE74A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39" w:type="pct"/>
            <w:noWrap w:val="0"/>
            <w:vAlign w:val="center"/>
          </w:tcPr>
          <w:p w14:paraId="31C283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1734" w:type="pct"/>
            <w:noWrap w:val="0"/>
            <w:vAlign w:val="center"/>
          </w:tcPr>
          <w:p w14:paraId="1EE3E2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67A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6" w:type="pct"/>
            <w:gridSpan w:val="2"/>
            <w:noWrap w:val="0"/>
            <w:vAlign w:val="center"/>
          </w:tcPr>
          <w:p w14:paraId="62F5B0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损失生物量合计</w:t>
            </w:r>
          </w:p>
        </w:tc>
        <w:tc>
          <w:tcPr>
            <w:tcW w:w="1139" w:type="pct"/>
            <w:noWrap w:val="0"/>
            <w:vAlign w:val="center"/>
          </w:tcPr>
          <w:p w14:paraId="734DA2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32.37</w:t>
            </w:r>
          </w:p>
        </w:tc>
        <w:tc>
          <w:tcPr>
            <w:tcW w:w="1734" w:type="pct"/>
            <w:noWrap w:val="0"/>
            <w:vAlign w:val="center"/>
          </w:tcPr>
          <w:p w14:paraId="5AAA8A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28.27</w:t>
            </w:r>
          </w:p>
        </w:tc>
      </w:tr>
      <w:tr w14:paraId="6B5F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26" w:type="pct"/>
            <w:gridSpan w:val="2"/>
            <w:noWrap w:val="0"/>
            <w:vAlign w:val="center"/>
          </w:tcPr>
          <w:p w14:paraId="16CD49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总计</w:t>
            </w:r>
          </w:p>
        </w:tc>
        <w:tc>
          <w:tcPr>
            <w:tcW w:w="2873" w:type="pct"/>
            <w:gridSpan w:val="2"/>
            <w:noWrap w:val="0"/>
            <w:vAlign w:val="center"/>
          </w:tcPr>
          <w:p w14:paraId="1E2025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60.64</w:t>
            </w:r>
          </w:p>
        </w:tc>
      </w:tr>
    </w:tbl>
    <w:p w14:paraId="5FBD8065">
      <w:pPr>
        <w:pStyle w:val="106"/>
        <w:rPr>
          <w:rFonts w:hint="default" w:ascii="Times New Roman" w:hAnsi="Times New Roman" w:eastAsia="宋体" w:cs="Times New Roman"/>
          <w:b/>
          <w:bCs/>
          <w:color w:val="auto"/>
          <w:highlight w:val="none"/>
        </w:rPr>
      </w:pPr>
    </w:p>
    <w:p w14:paraId="788A9384">
      <w:pPr>
        <w:pStyle w:val="106"/>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5.</w:t>
      </w:r>
      <w:r>
        <w:rPr>
          <w:rFonts w:hint="default" w:ascii="Times New Roman" w:hAnsi="Times New Roman" w:eastAsia="宋体" w:cs="Times New Roman"/>
          <w:b/>
          <w:bCs/>
          <w:color w:val="auto"/>
          <w:highlight w:val="none"/>
          <w:lang w:val="en-US" w:eastAsia="zh-CN"/>
        </w:rPr>
        <w:t>6-3</w:t>
      </w:r>
      <w:r>
        <w:rPr>
          <w:rFonts w:hint="default" w:ascii="Times New Roman" w:hAnsi="Times New Roman" w:eastAsia="宋体" w:cs="Times New Roman"/>
          <w:b/>
          <w:bCs/>
          <w:color w:val="auto"/>
          <w:highlight w:val="none"/>
        </w:rPr>
        <w:t xml:space="preserve"> 本项目占地引起的植被生产力损失统计表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5"/>
        <w:gridCol w:w="1798"/>
        <w:gridCol w:w="2039"/>
        <w:gridCol w:w="3100"/>
      </w:tblGrid>
      <w:tr w14:paraId="6B8D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2126" w:type="pct"/>
            <w:gridSpan w:val="2"/>
            <w:noWrap w:val="0"/>
            <w:vAlign w:val="center"/>
          </w:tcPr>
          <w:p w14:paraId="0DC2BC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损失类型</w:t>
            </w:r>
          </w:p>
        </w:tc>
        <w:tc>
          <w:tcPr>
            <w:tcW w:w="1140" w:type="pct"/>
            <w:noWrap w:val="0"/>
            <w:vAlign w:val="center"/>
          </w:tcPr>
          <w:p w14:paraId="7F9206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一次性生产力损失</w:t>
            </w:r>
          </w:p>
        </w:tc>
        <w:tc>
          <w:tcPr>
            <w:tcW w:w="1733" w:type="pct"/>
            <w:noWrap w:val="0"/>
            <w:vAlign w:val="center"/>
          </w:tcPr>
          <w:p w14:paraId="199D9F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永久性生产力损失</w:t>
            </w:r>
          </w:p>
        </w:tc>
      </w:tr>
      <w:tr w14:paraId="5D13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26" w:type="pct"/>
            <w:gridSpan w:val="2"/>
            <w:noWrap w:val="0"/>
            <w:vAlign w:val="center"/>
          </w:tcPr>
          <w:p w14:paraId="7A4C2C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占地类型</w:t>
            </w:r>
          </w:p>
        </w:tc>
        <w:tc>
          <w:tcPr>
            <w:tcW w:w="1140" w:type="pct"/>
            <w:noWrap w:val="0"/>
            <w:vAlign w:val="center"/>
          </w:tcPr>
          <w:p w14:paraId="099CA6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临时占地</w:t>
            </w:r>
          </w:p>
        </w:tc>
        <w:tc>
          <w:tcPr>
            <w:tcW w:w="1733" w:type="pct"/>
            <w:noWrap w:val="0"/>
            <w:vAlign w:val="center"/>
          </w:tcPr>
          <w:p w14:paraId="2533BB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管线林地穿越段两侧5m范围</w:t>
            </w:r>
          </w:p>
        </w:tc>
      </w:tr>
      <w:tr w14:paraId="0CD2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1" w:type="pct"/>
            <w:vMerge w:val="restart"/>
            <w:noWrap w:val="0"/>
            <w:vAlign w:val="center"/>
          </w:tcPr>
          <w:p w14:paraId="7A6094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暖性针叶林</w:t>
            </w:r>
          </w:p>
        </w:tc>
        <w:tc>
          <w:tcPr>
            <w:tcW w:w="1004" w:type="pct"/>
            <w:noWrap w:val="0"/>
            <w:vAlign w:val="center"/>
          </w:tcPr>
          <w:p w14:paraId="754F89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40" w:type="pct"/>
            <w:noWrap w:val="0"/>
            <w:vAlign w:val="center"/>
          </w:tcPr>
          <w:p w14:paraId="5C12DA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0.37</w:t>
            </w:r>
          </w:p>
        </w:tc>
        <w:tc>
          <w:tcPr>
            <w:tcW w:w="1733" w:type="pct"/>
            <w:noWrap w:val="0"/>
            <w:vAlign w:val="center"/>
          </w:tcPr>
          <w:p w14:paraId="0341BA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0.37</w:t>
            </w:r>
          </w:p>
        </w:tc>
      </w:tr>
      <w:tr w14:paraId="05B6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1" w:type="pct"/>
            <w:vMerge w:val="continue"/>
            <w:noWrap w:val="0"/>
            <w:vAlign w:val="center"/>
          </w:tcPr>
          <w:p w14:paraId="7B5D40A2">
            <w:pPr>
              <w:jc w:val="center"/>
              <w:rPr>
                <w:rFonts w:hint="default" w:ascii="Times New Roman" w:hAnsi="Times New Roman" w:eastAsia="宋体" w:cs="Times New Roman"/>
                <w:i w:val="0"/>
                <w:iCs w:val="0"/>
                <w:color w:val="auto"/>
                <w:sz w:val="21"/>
                <w:szCs w:val="21"/>
                <w:u w:val="none"/>
              </w:rPr>
            </w:pPr>
          </w:p>
        </w:tc>
        <w:tc>
          <w:tcPr>
            <w:tcW w:w="1004" w:type="pct"/>
            <w:noWrap w:val="0"/>
            <w:vAlign w:val="center"/>
          </w:tcPr>
          <w:p w14:paraId="19C70C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40" w:type="pct"/>
            <w:noWrap w:val="0"/>
            <w:vAlign w:val="center"/>
          </w:tcPr>
          <w:p w14:paraId="355F7D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1733" w:type="pct"/>
            <w:noWrap w:val="0"/>
            <w:vAlign w:val="center"/>
          </w:tcPr>
          <w:p w14:paraId="3C5B1B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4.90</w:t>
            </w:r>
          </w:p>
        </w:tc>
      </w:tr>
      <w:tr w14:paraId="3471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1" w:type="pct"/>
            <w:vMerge w:val="restart"/>
            <w:noWrap w:val="0"/>
            <w:vAlign w:val="center"/>
          </w:tcPr>
          <w:p w14:paraId="26685F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落叶阔叶林</w:t>
            </w:r>
          </w:p>
        </w:tc>
        <w:tc>
          <w:tcPr>
            <w:tcW w:w="1004" w:type="pct"/>
            <w:noWrap w:val="0"/>
            <w:vAlign w:val="center"/>
          </w:tcPr>
          <w:p w14:paraId="0BD7EA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40" w:type="pct"/>
            <w:noWrap w:val="0"/>
            <w:vAlign w:val="center"/>
          </w:tcPr>
          <w:p w14:paraId="107ADF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733" w:type="pct"/>
            <w:noWrap w:val="0"/>
            <w:vAlign w:val="center"/>
          </w:tcPr>
          <w:p w14:paraId="30C474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4A9E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1" w:type="pct"/>
            <w:vMerge w:val="continue"/>
            <w:noWrap w:val="0"/>
            <w:vAlign w:val="center"/>
          </w:tcPr>
          <w:p w14:paraId="6B5DF3F4">
            <w:pPr>
              <w:jc w:val="center"/>
              <w:rPr>
                <w:rFonts w:hint="default" w:ascii="Times New Roman" w:hAnsi="Times New Roman" w:eastAsia="宋体" w:cs="Times New Roman"/>
                <w:i w:val="0"/>
                <w:iCs w:val="0"/>
                <w:color w:val="auto"/>
                <w:sz w:val="21"/>
                <w:szCs w:val="21"/>
                <w:u w:val="none"/>
              </w:rPr>
            </w:pPr>
          </w:p>
        </w:tc>
        <w:tc>
          <w:tcPr>
            <w:tcW w:w="1004" w:type="pct"/>
            <w:noWrap w:val="0"/>
            <w:vAlign w:val="center"/>
          </w:tcPr>
          <w:p w14:paraId="3B9DCF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40" w:type="pct"/>
            <w:noWrap w:val="0"/>
            <w:vAlign w:val="center"/>
          </w:tcPr>
          <w:p w14:paraId="2F3D82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8.80</w:t>
            </w:r>
          </w:p>
        </w:tc>
        <w:tc>
          <w:tcPr>
            <w:tcW w:w="1733" w:type="pct"/>
            <w:noWrap w:val="0"/>
            <w:vAlign w:val="center"/>
          </w:tcPr>
          <w:p w14:paraId="456E98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6.10</w:t>
            </w:r>
          </w:p>
        </w:tc>
      </w:tr>
      <w:tr w14:paraId="4A76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1" w:type="pct"/>
            <w:vMerge w:val="restart"/>
            <w:noWrap w:val="0"/>
            <w:vAlign w:val="center"/>
          </w:tcPr>
          <w:p w14:paraId="40147F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竹林</w:t>
            </w:r>
          </w:p>
        </w:tc>
        <w:tc>
          <w:tcPr>
            <w:tcW w:w="1004" w:type="pct"/>
            <w:noWrap w:val="0"/>
            <w:vAlign w:val="center"/>
          </w:tcPr>
          <w:p w14:paraId="44C1BC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40" w:type="pct"/>
            <w:noWrap w:val="0"/>
            <w:vAlign w:val="center"/>
          </w:tcPr>
          <w:p w14:paraId="24F916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733" w:type="pct"/>
            <w:noWrap w:val="0"/>
            <w:vAlign w:val="center"/>
          </w:tcPr>
          <w:p w14:paraId="5239AB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5BAA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1" w:type="pct"/>
            <w:vMerge w:val="continue"/>
            <w:noWrap w:val="0"/>
            <w:vAlign w:val="center"/>
          </w:tcPr>
          <w:p w14:paraId="52E9039F">
            <w:pPr>
              <w:jc w:val="center"/>
              <w:rPr>
                <w:rFonts w:hint="default" w:ascii="Times New Roman" w:hAnsi="Times New Roman" w:eastAsia="宋体" w:cs="Times New Roman"/>
                <w:i w:val="0"/>
                <w:iCs w:val="0"/>
                <w:color w:val="auto"/>
                <w:sz w:val="21"/>
                <w:szCs w:val="21"/>
                <w:u w:val="none"/>
              </w:rPr>
            </w:pPr>
          </w:p>
        </w:tc>
        <w:tc>
          <w:tcPr>
            <w:tcW w:w="1004" w:type="pct"/>
            <w:noWrap w:val="0"/>
            <w:vAlign w:val="center"/>
          </w:tcPr>
          <w:p w14:paraId="28B192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40" w:type="pct"/>
            <w:noWrap w:val="0"/>
            <w:vAlign w:val="center"/>
          </w:tcPr>
          <w:p w14:paraId="138E8C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4.30</w:t>
            </w:r>
          </w:p>
        </w:tc>
        <w:tc>
          <w:tcPr>
            <w:tcW w:w="1733" w:type="pct"/>
            <w:noWrap w:val="0"/>
            <w:vAlign w:val="center"/>
          </w:tcPr>
          <w:p w14:paraId="5B3B73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1.60</w:t>
            </w:r>
          </w:p>
        </w:tc>
      </w:tr>
      <w:tr w14:paraId="6692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1" w:type="pct"/>
            <w:vMerge w:val="restart"/>
            <w:noWrap w:val="0"/>
            <w:vAlign w:val="center"/>
          </w:tcPr>
          <w:p w14:paraId="3B899B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常绿阔叶灌丛</w:t>
            </w:r>
          </w:p>
        </w:tc>
        <w:tc>
          <w:tcPr>
            <w:tcW w:w="1004" w:type="pct"/>
            <w:noWrap w:val="0"/>
            <w:vAlign w:val="center"/>
          </w:tcPr>
          <w:p w14:paraId="515383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40" w:type="pct"/>
            <w:noWrap w:val="0"/>
            <w:vAlign w:val="center"/>
          </w:tcPr>
          <w:p w14:paraId="724EE2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733" w:type="pct"/>
            <w:noWrap w:val="0"/>
            <w:vAlign w:val="center"/>
          </w:tcPr>
          <w:p w14:paraId="2C980E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6D1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1" w:type="pct"/>
            <w:vMerge w:val="continue"/>
            <w:noWrap w:val="0"/>
            <w:vAlign w:val="center"/>
          </w:tcPr>
          <w:p w14:paraId="3E9E9171">
            <w:pPr>
              <w:jc w:val="center"/>
              <w:rPr>
                <w:rFonts w:hint="default" w:ascii="Times New Roman" w:hAnsi="Times New Roman" w:eastAsia="宋体" w:cs="Times New Roman"/>
                <w:i w:val="0"/>
                <w:iCs w:val="0"/>
                <w:color w:val="auto"/>
                <w:sz w:val="21"/>
                <w:szCs w:val="21"/>
                <w:u w:val="none"/>
              </w:rPr>
            </w:pPr>
          </w:p>
        </w:tc>
        <w:tc>
          <w:tcPr>
            <w:tcW w:w="1004" w:type="pct"/>
            <w:noWrap w:val="0"/>
            <w:vAlign w:val="center"/>
          </w:tcPr>
          <w:p w14:paraId="0676BF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40" w:type="pct"/>
            <w:noWrap w:val="0"/>
            <w:vAlign w:val="center"/>
          </w:tcPr>
          <w:p w14:paraId="0EA81F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5.90</w:t>
            </w:r>
          </w:p>
        </w:tc>
        <w:tc>
          <w:tcPr>
            <w:tcW w:w="1733" w:type="pct"/>
            <w:noWrap w:val="0"/>
            <w:vAlign w:val="center"/>
          </w:tcPr>
          <w:p w14:paraId="668B64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2B9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1" w:type="pct"/>
            <w:vMerge w:val="restart"/>
            <w:noWrap w:val="0"/>
            <w:vAlign w:val="center"/>
          </w:tcPr>
          <w:p w14:paraId="18A168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落叶阔叶灌丛</w:t>
            </w:r>
          </w:p>
        </w:tc>
        <w:tc>
          <w:tcPr>
            <w:tcW w:w="1004" w:type="pct"/>
            <w:noWrap w:val="0"/>
            <w:vAlign w:val="center"/>
          </w:tcPr>
          <w:p w14:paraId="7D9C05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40" w:type="pct"/>
            <w:noWrap w:val="0"/>
            <w:vAlign w:val="center"/>
          </w:tcPr>
          <w:p w14:paraId="42E95C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1733" w:type="pct"/>
            <w:noWrap w:val="0"/>
            <w:vAlign w:val="center"/>
          </w:tcPr>
          <w:p w14:paraId="581C2A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580E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1" w:type="pct"/>
            <w:vMerge w:val="continue"/>
            <w:noWrap w:val="0"/>
            <w:vAlign w:val="center"/>
          </w:tcPr>
          <w:p w14:paraId="1D5EA222">
            <w:pPr>
              <w:jc w:val="center"/>
              <w:rPr>
                <w:rFonts w:hint="default" w:ascii="Times New Roman" w:hAnsi="Times New Roman" w:eastAsia="宋体" w:cs="Times New Roman"/>
                <w:i w:val="0"/>
                <w:iCs w:val="0"/>
                <w:color w:val="auto"/>
                <w:sz w:val="21"/>
                <w:szCs w:val="21"/>
                <w:u w:val="none"/>
              </w:rPr>
            </w:pPr>
          </w:p>
        </w:tc>
        <w:tc>
          <w:tcPr>
            <w:tcW w:w="1004" w:type="pct"/>
            <w:noWrap w:val="0"/>
            <w:vAlign w:val="center"/>
          </w:tcPr>
          <w:p w14:paraId="6DC901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40" w:type="pct"/>
            <w:noWrap w:val="0"/>
            <w:vAlign w:val="center"/>
          </w:tcPr>
          <w:p w14:paraId="3AECF3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5.25</w:t>
            </w:r>
          </w:p>
        </w:tc>
        <w:tc>
          <w:tcPr>
            <w:tcW w:w="1733" w:type="pct"/>
            <w:noWrap w:val="0"/>
            <w:vAlign w:val="center"/>
          </w:tcPr>
          <w:p w14:paraId="4243D2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5B4A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1" w:type="pct"/>
            <w:vMerge w:val="restart"/>
            <w:noWrap w:val="0"/>
            <w:vAlign w:val="center"/>
          </w:tcPr>
          <w:p w14:paraId="098341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草丛</w:t>
            </w:r>
          </w:p>
        </w:tc>
        <w:tc>
          <w:tcPr>
            <w:tcW w:w="1004" w:type="pct"/>
            <w:noWrap w:val="0"/>
            <w:vAlign w:val="center"/>
          </w:tcPr>
          <w:p w14:paraId="2C5B49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40" w:type="pct"/>
            <w:noWrap w:val="0"/>
            <w:vAlign w:val="center"/>
          </w:tcPr>
          <w:p w14:paraId="5046A6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733" w:type="pct"/>
            <w:noWrap w:val="0"/>
            <w:vAlign w:val="center"/>
          </w:tcPr>
          <w:p w14:paraId="5C38B5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129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1" w:type="pct"/>
            <w:vMerge w:val="continue"/>
            <w:noWrap w:val="0"/>
            <w:vAlign w:val="center"/>
          </w:tcPr>
          <w:p w14:paraId="0252387E">
            <w:pPr>
              <w:jc w:val="center"/>
              <w:rPr>
                <w:rFonts w:hint="default" w:ascii="Times New Roman" w:hAnsi="Times New Roman" w:eastAsia="宋体" w:cs="Times New Roman"/>
                <w:i w:val="0"/>
                <w:iCs w:val="0"/>
                <w:color w:val="auto"/>
                <w:sz w:val="21"/>
                <w:szCs w:val="21"/>
                <w:u w:val="none"/>
              </w:rPr>
            </w:pPr>
          </w:p>
        </w:tc>
        <w:tc>
          <w:tcPr>
            <w:tcW w:w="1004" w:type="pct"/>
            <w:noWrap w:val="0"/>
            <w:vAlign w:val="center"/>
          </w:tcPr>
          <w:p w14:paraId="30EFAD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40" w:type="pct"/>
            <w:noWrap w:val="0"/>
            <w:vAlign w:val="center"/>
          </w:tcPr>
          <w:p w14:paraId="158857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2.70</w:t>
            </w:r>
          </w:p>
        </w:tc>
        <w:tc>
          <w:tcPr>
            <w:tcW w:w="1733" w:type="pct"/>
            <w:noWrap w:val="0"/>
            <w:vAlign w:val="center"/>
          </w:tcPr>
          <w:p w14:paraId="4FC9E9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648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1" w:type="pct"/>
            <w:vMerge w:val="restart"/>
            <w:noWrap w:val="0"/>
            <w:vAlign w:val="center"/>
          </w:tcPr>
          <w:p w14:paraId="5C5FFF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耕地</w:t>
            </w:r>
          </w:p>
        </w:tc>
        <w:tc>
          <w:tcPr>
            <w:tcW w:w="1004" w:type="pct"/>
            <w:noWrap w:val="0"/>
            <w:vAlign w:val="center"/>
          </w:tcPr>
          <w:p w14:paraId="150F91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40" w:type="pct"/>
            <w:noWrap w:val="0"/>
            <w:vAlign w:val="center"/>
          </w:tcPr>
          <w:p w14:paraId="47C894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0.44</w:t>
            </w:r>
          </w:p>
        </w:tc>
        <w:tc>
          <w:tcPr>
            <w:tcW w:w="1733" w:type="pct"/>
            <w:noWrap w:val="0"/>
            <w:vAlign w:val="center"/>
          </w:tcPr>
          <w:p w14:paraId="2AE637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4E4C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1" w:type="pct"/>
            <w:vMerge w:val="continue"/>
            <w:noWrap w:val="0"/>
            <w:vAlign w:val="center"/>
          </w:tcPr>
          <w:p w14:paraId="1EFABE0C">
            <w:pPr>
              <w:jc w:val="center"/>
              <w:rPr>
                <w:rFonts w:hint="default" w:ascii="Times New Roman" w:hAnsi="Times New Roman" w:eastAsia="宋体" w:cs="Times New Roman"/>
                <w:i w:val="0"/>
                <w:iCs w:val="0"/>
                <w:color w:val="auto"/>
                <w:sz w:val="21"/>
                <w:szCs w:val="21"/>
                <w:u w:val="none"/>
              </w:rPr>
            </w:pPr>
          </w:p>
        </w:tc>
        <w:tc>
          <w:tcPr>
            <w:tcW w:w="1004" w:type="pct"/>
            <w:noWrap w:val="0"/>
            <w:vAlign w:val="center"/>
          </w:tcPr>
          <w:p w14:paraId="6526AD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40" w:type="pct"/>
            <w:noWrap w:val="0"/>
            <w:vAlign w:val="center"/>
          </w:tcPr>
          <w:p w14:paraId="1591B8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7.20</w:t>
            </w:r>
          </w:p>
        </w:tc>
        <w:tc>
          <w:tcPr>
            <w:tcW w:w="1733" w:type="pct"/>
            <w:noWrap w:val="0"/>
            <w:vAlign w:val="center"/>
          </w:tcPr>
          <w:p w14:paraId="7006E1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2481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1" w:type="pct"/>
            <w:vMerge w:val="restart"/>
            <w:noWrap w:val="0"/>
            <w:vAlign w:val="center"/>
          </w:tcPr>
          <w:p w14:paraId="1DC478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水域</w:t>
            </w:r>
          </w:p>
        </w:tc>
        <w:tc>
          <w:tcPr>
            <w:tcW w:w="1004" w:type="pct"/>
            <w:noWrap w:val="0"/>
            <w:vAlign w:val="center"/>
          </w:tcPr>
          <w:p w14:paraId="714CFF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面积/hm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40" w:type="pct"/>
            <w:noWrap w:val="0"/>
            <w:vAlign w:val="center"/>
          </w:tcPr>
          <w:p w14:paraId="1D1599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733" w:type="pct"/>
            <w:noWrap w:val="0"/>
            <w:vAlign w:val="center"/>
          </w:tcPr>
          <w:p w14:paraId="4A9305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C04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1" w:type="pct"/>
            <w:vMerge w:val="continue"/>
            <w:noWrap w:val="0"/>
            <w:vAlign w:val="center"/>
          </w:tcPr>
          <w:p w14:paraId="19134F02">
            <w:pPr>
              <w:jc w:val="center"/>
              <w:rPr>
                <w:rFonts w:hint="default" w:ascii="Times New Roman" w:hAnsi="Times New Roman" w:eastAsia="宋体" w:cs="Times New Roman"/>
                <w:i w:val="0"/>
                <w:iCs w:val="0"/>
                <w:color w:val="auto"/>
                <w:sz w:val="21"/>
                <w:szCs w:val="21"/>
                <w:u w:val="none"/>
              </w:rPr>
            </w:pPr>
          </w:p>
        </w:tc>
        <w:tc>
          <w:tcPr>
            <w:tcW w:w="1004" w:type="pct"/>
            <w:noWrap w:val="0"/>
            <w:vAlign w:val="center"/>
          </w:tcPr>
          <w:p w14:paraId="261A71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单位面积生物量</w:t>
            </w:r>
          </w:p>
        </w:tc>
        <w:tc>
          <w:tcPr>
            <w:tcW w:w="1140" w:type="pct"/>
            <w:noWrap w:val="0"/>
            <w:vAlign w:val="center"/>
          </w:tcPr>
          <w:p w14:paraId="102A80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0.50</w:t>
            </w:r>
          </w:p>
        </w:tc>
        <w:tc>
          <w:tcPr>
            <w:tcW w:w="1733" w:type="pct"/>
            <w:noWrap w:val="0"/>
            <w:vAlign w:val="center"/>
          </w:tcPr>
          <w:p w14:paraId="76F8A0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8EF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1" w:type="pct"/>
            <w:noWrap w:val="0"/>
            <w:vAlign w:val="center"/>
          </w:tcPr>
          <w:p w14:paraId="2299AD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其他无植被地段</w:t>
            </w:r>
          </w:p>
        </w:tc>
        <w:tc>
          <w:tcPr>
            <w:tcW w:w="1004" w:type="pct"/>
            <w:noWrap w:val="0"/>
            <w:vAlign w:val="center"/>
          </w:tcPr>
          <w:p w14:paraId="5AF5DF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0" w:type="pct"/>
            <w:noWrap w:val="0"/>
            <w:vAlign w:val="center"/>
          </w:tcPr>
          <w:p w14:paraId="4E1F2C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1733" w:type="pct"/>
            <w:noWrap w:val="0"/>
            <w:vAlign w:val="center"/>
          </w:tcPr>
          <w:p w14:paraId="201A8F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C62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26" w:type="pct"/>
            <w:gridSpan w:val="2"/>
            <w:noWrap w:val="0"/>
            <w:vAlign w:val="center"/>
          </w:tcPr>
          <w:p w14:paraId="561A1F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损失生产力合计</w:t>
            </w:r>
          </w:p>
        </w:tc>
        <w:tc>
          <w:tcPr>
            <w:tcW w:w="1140" w:type="pct"/>
            <w:noWrap w:val="0"/>
            <w:vAlign w:val="center"/>
          </w:tcPr>
          <w:p w14:paraId="0650B8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6.47</w:t>
            </w:r>
          </w:p>
        </w:tc>
        <w:tc>
          <w:tcPr>
            <w:tcW w:w="1733" w:type="pct"/>
            <w:noWrap w:val="0"/>
            <w:vAlign w:val="center"/>
          </w:tcPr>
          <w:p w14:paraId="349D44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1.95</w:t>
            </w:r>
          </w:p>
        </w:tc>
      </w:tr>
      <w:tr w14:paraId="12D8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26" w:type="pct"/>
            <w:gridSpan w:val="2"/>
            <w:noWrap w:val="0"/>
            <w:vAlign w:val="center"/>
          </w:tcPr>
          <w:p w14:paraId="5B6C90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总计</w:t>
            </w:r>
          </w:p>
        </w:tc>
        <w:tc>
          <w:tcPr>
            <w:tcW w:w="2873" w:type="pct"/>
            <w:gridSpan w:val="2"/>
            <w:noWrap w:val="0"/>
            <w:vAlign w:val="center"/>
          </w:tcPr>
          <w:p w14:paraId="68E4A2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8.43</w:t>
            </w:r>
          </w:p>
        </w:tc>
      </w:tr>
    </w:tbl>
    <w:p w14:paraId="7A663140">
      <w:pPr>
        <w:widowControl w:val="0"/>
        <w:adjustRightInd w:val="0"/>
        <w:jc w:val="both"/>
        <w:textAlignment w:val="baseline"/>
        <w:rPr>
          <w:rFonts w:hint="default" w:ascii="Times New Roman" w:hAnsi="Times New Roman" w:eastAsia="宋体" w:cs="Times New Roman"/>
          <w:snapToGrid w:val="0"/>
          <w:color w:val="auto"/>
          <w:kern w:val="2"/>
          <w:sz w:val="21"/>
          <w:szCs w:val="21"/>
          <w:lang w:val="en-US" w:eastAsia="zh-CN"/>
        </w:rPr>
      </w:pPr>
    </w:p>
    <w:p w14:paraId="7AEDE1CA">
      <w:pPr>
        <w:keepNext w:val="0"/>
        <w:keepLines w:val="0"/>
        <w:pageBreakBefore w:val="0"/>
        <w:widowControl/>
        <w:kinsoku/>
        <w:wordWrap w:val="0"/>
        <w:overflowPunct/>
        <w:topLinePunct w:val="0"/>
        <w:autoSpaceDE/>
        <w:autoSpaceDN/>
        <w:bidi w:val="0"/>
        <w:adjustRightInd/>
        <w:snapToGrid w:val="0"/>
        <w:spacing w:line="480" w:lineRule="atLeast"/>
        <w:ind w:firstLine="520" w:firstLineChars="200"/>
        <w:textAlignment w:val="auto"/>
        <w:rPr>
          <w:rFonts w:hint="default" w:ascii="Times New Roman" w:hAnsi="Times New Roman" w:eastAsia="宋体" w:cs="Times New Roman"/>
          <w:color w:val="auto"/>
          <w:sz w:val="26"/>
          <w:szCs w:val="26"/>
          <w:highlight w:val="none"/>
          <w:lang w:bidi="ar"/>
        </w:rPr>
      </w:pPr>
      <w:r>
        <w:rPr>
          <w:rFonts w:hint="default" w:ascii="Times New Roman" w:hAnsi="Times New Roman" w:eastAsia="宋体" w:cs="Times New Roman"/>
          <w:color w:val="auto"/>
          <w:sz w:val="26"/>
          <w:szCs w:val="26"/>
          <w:highlight w:val="none"/>
          <w:lang w:val="en-US" w:eastAsia="zh-CN" w:bidi="ar"/>
        </w:rPr>
        <w:t>据</w:t>
      </w:r>
      <w:r>
        <w:rPr>
          <w:rFonts w:hint="default" w:ascii="Times New Roman" w:hAnsi="Times New Roman" w:eastAsia="宋体" w:cs="Times New Roman"/>
          <w:color w:val="auto"/>
          <w:sz w:val="26"/>
          <w:szCs w:val="26"/>
          <w:highlight w:val="none"/>
          <w:lang w:bidi="ar"/>
        </w:rPr>
        <w:t>上表统计结果可知，本项目占地造成的生物量和生产力损失约</w:t>
      </w:r>
      <w:r>
        <w:rPr>
          <w:rFonts w:hint="default" w:ascii="Times New Roman" w:hAnsi="Times New Roman" w:eastAsia="宋体" w:cs="Times New Roman"/>
          <w:color w:val="auto"/>
          <w:sz w:val="26"/>
          <w:szCs w:val="26"/>
          <w:highlight w:val="none"/>
          <w:lang w:val="en-US" w:eastAsia="zh-CN" w:bidi="ar"/>
        </w:rPr>
        <w:t>60.64</w:t>
      </w:r>
      <w:r>
        <w:rPr>
          <w:rFonts w:hint="default" w:ascii="Times New Roman" w:hAnsi="Times New Roman" w:eastAsia="宋体" w:cs="Times New Roman"/>
          <w:color w:val="auto"/>
          <w:sz w:val="26"/>
          <w:szCs w:val="26"/>
          <w:highlight w:val="none"/>
          <w:lang w:bidi="ar"/>
        </w:rPr>
        <w:t>t、</w:t>
      </w:r>
      <w:r>
        <w:rPr>
          <w:rFonts w:hint="default" w:ascii="Times New Roman" w:hAnsi="Times New Roman" w:eastAsia="宋体" w:cs="Times New Roman"/>
          <w:color w:val="auto"/>
          <w:sz w:val="26"/>
          <w:szCs w:val="26"/>
          <w:highlight w:val="none"/>
          <w:lang w:val="en-US" w:eastAsia="zh-CN" w:bidi="ar"/>
        </w:rPr>
        <w:t>8.43</w:t>
      </w:r>
      <w:r>
        <w:rPr>
          <w:rFonts w:hint="default" w:ascii="Times New Roman" w:hAnsi="Times New Roman" w:eastAsia="宋体" w:cs="Times New Roman"/>
          <w:color w:val="auto"/>
          <w:sz w:val="26"/>
          <w:szCs w:val="26"/>
          <w:highlight w:val="none"/>
          <w:lang w:bidi="ar"/>
        </w:rPr>
        <w:t>tC/a，约占评价区总生物量和总生产力的</w:t>
      </w:r>
      <w:r>
        <w:rPr>
          <w:rFonts w:hint="default" w:ascii="Times New Roman" w:hAnsi="Times New Roman" w:eastAsia="宋体" w:cs="Times New Roman"/>
          <w:color w:val="auto"/>
          <w:sz w:val="26"/>
          <w:szCs w:val="26"/>
          <w:highlight w:val="none"/>
          <w:lang w:val="en-US" w:eastAsia="zh-CN" w:bidi="ar"/>
        </w:rPr>
        <w:t>1.37</w:t>
      </w:r>
      <w:r>
        <w:rPr>
          <w:rFonts w:hint="default" w:ascii="Times New Roman" w:hAnsi="Times New Roman" w:eastAsia="宋体" w:cs="Times New Roman"/>
          <w:color w:val="auto"/>
          <w:sz w:val="26"/>
          <w:szCs w:val="26"/>
          <w:highlight w:val="none"/>
          <w:lang w:bidi="ar"/>
        </w:rPr>
        <w:t>%、</w:t>
      </w:r>
      <w:r>
        <w:rPr>
          <w:rFonts w:hint="default" w:ascii="Times New Roman" w:hAnsi="Times New Roman" w:eastAsia="宋体" w:cs="Times New Roman"/>
          <w:color w:val="auto"/>
          <w:sz w:val="26"/>
          <w:szCs w:val="26"/>
          <w:highlight w:val="none"/>
          <w:lang w:val="en-US" w:eastAsia="zh-CN" w:bidi="ar"/>
        </w:rPr>
        <w:t>1.19</w:t>
      </w:r>
      <w:r>
        <w:rPr>
          <w:rFonts w:hint="default" w:ascii="Times New Roman" w:hAnsi="Times New Roman" w:eastAsia="宋体" w:cs="Times New Roman"/>
          <w:color w:val="auto"/>
          <w:sz w:val="26"/>
          <w:szCs w:val="26"/>
          <w:highlight w:val="none"/>
          <w:lang w:bidi="ar"/>
        </w:rPr>
        <w:t>%。其中一次性植被生物量和生产力损失约</w:t>
      </w:r>
      <w:r>
        <w:rPr>
          <w:rFonts w:hint="default" w:ascii="Times New Roman" w:hAnsi="Times New Roman" w:eastAsia="宋体" w:cs="Times New Roman"/>
          <w:color w:val="auto"/>
          <w:sz w:val="26"/>
          <w:szCs w:val="26"/>
          <w:highlight w:val="none"/>
          <w:lang w:val="en-US" w:eastAsia="zh-CN" w:bidi="ar"/>
        </w:rPr>
        <w:t>32.37</w:t>
      </w:r>
      <w:r>
        <w:rPr>
          <w:rFonts w:hint="default" w:ascii="Times New Roman" w:hAnsi="Times New Roman" w:eastAsia="宋体" w:cs="Times New Roman"/>
          <w:color w:val="auto"/>
          <w:sz w:val="26"/>
          <w:szCs w:val="26"/>
          <w:highlight w:val="none"/>
          <w:lang w:bidi="ar"/>
        </w:rPr>
        <w:t>、</w:t>
      </w:r>
      <w:r>
        <w:rPr>
          <w:rFonts w:hint="default" w:ascii="Times New Roman" w:hAnsi="Times New Roman" w:eastAsia="宋体" w:cs="Times New Roman"/>
          <w:color w:val="auto"/>
          <w:sz w:val="26"/>
          <w:szCs w:val="26"/>
          <w:highlight w:val="none"/>
          <w:lang w:val="en-US" w:eastAsia="zh-CN" w:bidi="ar"/>
        </w:rPr>
        <w:t>6.47</w:t>
      </w:r>
      <w:r>
        <w:rPr>
          <w:rFonts w:hint="default" w:ascii="Times New Roman" w:hAnsi="Times New Roman" w:eastAsia="宋体" w:cs="Times New Roman"/>
          <w:color w:val="auto"/>
          <w:sz w:val="26"/>
          <w:szCs w:val="26"/>
          <w:highlight w:val="none"/>
          <w:lang w:bidi="ar"/>
        </w:rPr>
        <w:t>tC/a，约占评价区总生物量和总生产力的</w:t>
      </w:r>
      <w:r>
        <w:rPr>
          <w:rFonts w:hint="default" w:ascii="Times New Roman" w:hAnsi="Times New Roman" w:eastAsia="宋体" w:cs="Times New Roman"/>
          <w:color w:val="auto"/>
          <w:sz w:val="26"/>
          <w:szCs w:val="26"/>
          <w:highlight w:val="none"/>
          <w:lang w:val="en-US" w:eastAsia="zh-CN" w:bidi="ar"/>
        </w:rPr>
        <w:t>0.73</w:t>
      </w:r>
      <w:r>
        <w:rPr>
          <w:rFonts w:hint="default" w:ascii="Times New Roman" w:hAnsi="Times New Roman" w:eastAsia="宋体" w:cs="Times New Roman"/>
          <w:color w:val="auto"/>
          <w:sz w:val="26"/>
          <w:szCs w:val="26"/>
          <w:highlight w:val="none"/>
          <w:lang w:bidi="ar"/>
        </w:rPr>
        <w:t>%、</w:t>
      </w:r>
      <w:r>
        <w:rPr>
          <w:rFonts w:hint="default" w:ascii="Times New Roman" w:hAnsi="Times New Roman" w:eastAsia="宋体" w:cs="Times New Roman"/>
          <w:color w:val="auto"/>
          <w:sz w:val="26"/>
          <w:szCs w:val="26"/>
          <w:highlight w:val="none"/>
          <w:lang w:val="en-US" w:eastAsia="zh-CN" w:bidi="ar"/>
        </w:rPr>
        <w:t>0.92</w:t>
      </w:r>
      <w:r>
        <w:rPr>
          <w:rFonts w:hint="default" w:ascii="Times New Roman" w:hAnsi="Times New Roman" w:eastAsia="宋体" w:cs="Times New Roman"/>
          <w:color w:val="auto"/>
          <w:sz w:val="26"/>
          <w:szCs w:val="26"/>
          <w:highlight w:val="none"/>
          <w:lang w:bidi="ar"/>
        </w:rPr>
        <w:t>%，主要是施工作业带</w:t>
      </w:r>
      <w:r>
        <w:rPr>
          <w:rFonts w:hint="default" w:ascii="Times New Roman" w:hAnsi="Times New Roman" w:eastAsia="宋体" w:cs="Times New Roman"/>
          <w:color w:val="auto"/>
          <w:sz w:val="26"/>
          <w:szCs w:val="26"/>
          <w:highlight w:val="none"/>
          <w:lang w:eastAsia="zh-CN" w:bidi="ar"/>
        </w:rPr>
        <w:t>、</w:t>
      </w:r>
      <w:r>
        <w:rPr>
          <w:rFonts w:hint="default" w:ascii="Times New Roman" w:hAnsi="Times New Roman" w:eastAsia="宋体" w:cs="Times New Roman"/>
          <w:color w:val="auto"/>
          <w:sz w:val="26"/>
          <w:szCs w:val="26"/>
          <w:highlight w:val="none"/>
          <w:lang w:val="en-US" w:eastAsia="zh-CN" w:bidi="ar"/>
        </w:rPr>
        <w:t>堆管场</w:t>
      </w:r>
      <w:r>
        <w:rPr>
          <w:rFonts w:hint="default" w:ascii="Times New Roman" w:hAnsi="Times New Roman" w:eastAsia="宋体" w:cs="Times New Roman"/>
          <w:color w:val="auto"/>
          <w:sz w:val="26"/>
          <w:szCs w:val="26"/>
          <w:highlight w:val="none"/>
          <w:lang w:bidi="ar"/>
        </w:rPr>
        <w:t>等临时占地导致植被破坏，从而造成生物量和生产力的损失，施工期临时占地是短期的、可恢复的，随着施工活动的结束，会对施工作业带及施工迹地及时进行植被恢复，随着次生演替的进行，临时占地导致的生物量和生产力损失在施工结束后的2~3年内可以得到一定程度的弥补，可有效缓解施工活动造成的生物量和生产力的损失，临时占地对区域生物量和生产力造成的损失较小。</w:t>
      </w:r>
    </w:p>
    <w:p w14:paraId="446357E9">
      <w:pPr>
        <w:keepNext w:val="0"/>
        <w:keepLines w:val="0"/>
        <w:pageBreakBefore w:val="0"/>
        <w:widowControl/>
        <w:kinsoku/>
        <w:wordWrap w:val="0"/>
        <w:overflowPunct/>
        <w:topLinePunct w:val="0"/>
        <w:autoSpaceDE/>
        <w:autoSpaceDN/>
        <w:bidi w:val="0"/>
        <w:adjustRightInd/>
        <w:snapToGrid w:val="0"/>
        <w:spacing w:line="480" w:lineRule="atLeast"/>
        <w:ind w:firstLine="520" w:firstLineChars="200"/>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highlight w:val="none"/>
          <w:lang w:bidi="ar"/>
        </w:rPr>
        <w:t>项目造成的永久性生物量和生产力损失分别约</w:t>
      </w:r>
      <w:r>
        <w:rPr>
          <w:rFonts w:hint="default" w:ascii="Times New Roman" w:hAnsi="Times New Roman" w:eastAsia="宋体" w:cs="Times New Roman"/>
          <w:color w:val="auto"/>
          <w:sz w:val="26"/>
          <w:szCs w:val="26"/>
          <w:highlight w:val="none"/>
          <w:lang w:val="en-US" w:eastAsia="zh-CN" w:bidi="ar"/>
        </w:rPr>
        <w:t>28.27</w:t>
      </w:r>
      <w:r>
        <w:rPr>
          <w:rFonts w:hint="default" w:ascii="Times New Roman" w:hAnsi="Times New Roman" w:eastAsia="宋体" w:cs="Times New Roman"/>
          <w:color w:val="auto"/>
          <w:sz w:val="26"/>
          <w:szCs w:val="26"/>
          <w:highlight w:val="none"/>
          <w:lang w:bidi="ar"/>
        </w:rPr>
        <w:t>t、</w:t>
      </w:r>
      <w:r>
        <w:rPr>
          <w:rFonts w:hint="default" w:ascii="Times New Roman" w:hAnsi="Times New Roman" w:eastAsia="宋体" w:cs="Times New Roman"/>
          <w:color w:val="auto"/>
          <w:sz w:val="26"/>
          <w:szCs w:val="26"/>
          <w:highlight w:val="none"/>
          <w:lang w:val="en-US" w:eastAsia="zh-CN" w:bidi="ar"/>
        </w:rPr>
        <w:t>1.95</w:t>
      </w:r>
      <w:r>
        <w:rPr>
          <w:rFonts w:hint="default" w:ascii="Times New Roman" w:hAnsi="Times New Roman" w:eastAsia="宋体" w:cs="Times New Roman"/>
          <w:color w:val="auto"/>
          <w:sz w:val="26"/>
          <w:szCs w:val="26"/>
          <w:highlight w:val="none"/>
          <w:lang w:bidi="ar"/>
        </w:rPr>
        <w:t>tC/a，约占价区总生物量和总生产力的</w:t>
      </w:r>
      <w:r>
        <w:rPr>
          <w:rFonts w:hint="default" w:ascii="Times New Roman" w:hAnsi="Times New Roman" w:eastAsia="宋体" w:cs="Times New Roman"/>
          <w:color w:val="auto"/>
          <w:sz w:val="26"/>
          <w:szCs w:val="26"/>
          <w:highlight w:val="none"/>
          <w:lang w:val="en-US" w:eastAsia="zh-CN" w:bidi="ar"/>
        </w:rPr>
        <w:t>0.64</w:t>
      </w:r>
      <w:r>
        <w:rPr>
          <w:rFonts w:hint="default" w:ascii="Times New Roman" w:hAnsi="Times New Roman" w:eastAsia="宋体" w:cs="Times New Roman"/>
          <w:color w:val="auto"/>
          <w:sz w:val="26"/>
          <w:szCs w:val="26"/>
          <w:highlight w:val="none"/>
          <w:lang w:bidi="ar"/>
        </w:rPr>
        <w:t>%、</w:t>
      </w:r>
      <w:r>
        <w:rPr>
          <w:rFonts w:hint="default" w:ascii="Times New Roman" w:hAnsi="Times New Roman" w:eastAsia="宋体" w:cs="Times New Roman"/>
          <w:color w:val="auto"/>
          <w:sz w:val="26"/>
          <w:szCs w:val="26"/>
          <w:highlight w:val="none"/>
          <w:lang w:val="en-US" w:eastAsia="zh-CN" w:bidi="ar"/>
        </w:rPr>
        <w:t>0.28</w:t>
      </w:r>
      <w:r>
        <w:rPr>
          <w:rFonts w:hint="default" w:ascii="Times New Roman" w:hAnsi="Times New Roman" w:eastAsia="宋体" w:cs="Times New Roman"/>
          <w:color w:val="auto"/>
          <w:sz w:val="26"/>
          <w:szCs w:val="26"/>
          <w:highlight w:val="none"/>
          <w:lang w:bidi="ar"/>
        </w:rPr>
        <w:t>%，主要是管线林地穿越段两侧5m范围内因施工结束后不能种植乔木等深根植被造成的损失。由于穿越林地的施工作业带进行植被恢复，可一定程度上对造成的生物量和生产力损失进行</w:t>
      </w:r>
      <w:r>
        <w:rPr>
          <w:rFonts w:hint="default" w:ascii="Times New Roman" w:hAnsi="Times New Roman" w:eastAsia="宋体" w:cs="Times New Roman"/>
          <w:bCs/>
          <w:color w:val="auto"/>
          <w:sz w:val="26"/>
          <w:szCs w:val="26"/>
        </w:rPr>
        <w:t>弥补</w:t>
      </w:r>
      <w:r>
        <w:rPr>
          <w:rFonts w:hint="default" w:ascii="Times New Roman" w:hAnsi="Times New Roman" w:eastAsia="宋体" w:cs="Times New Roman"/>
          <w:color w:val="auto"/>
          <w:sz w:val="26"/>
          <w:szCs w:val="26"/>
          <w:highlight w:val="none"/>
          <w:lang w:bidi="ar"/>
        </w:rPr>
        <w:t>，项目建设造成永久性损失的生物量和生产力相对于整个区域而言占比极小，且故项目建设对植物资源的影响较小。因此，本</w:t>
      </w:r>
      <w:r>
        <w:rPr>
          <w:rFonts w:hint="default" w:ascii="Times New Roman" w:hAnsi="Times New Roman" w:eastAsia="宋体" w:cs="Times New Roman"/>
          <w:bCs/>
          <w:color w:val="auto"/>
          <w:sz w:val="26"/>
          <w:szCs w:val="26"/>
        </w:rPr>
        <w:t>项目</w:t>
      </w:r>
      <w:r>
        <w:rPr>
          <w:rFonts w:hint="default" w:ascii="Times New Roman" w:hAnsi="Times New Roman" w:eastAsia="宋体" w:cs="Times New Roman"/>
          <w:color w:val="auto"/>
          <w:sz w:val="26"/>
          <w:szCs w:val="26"/>
          <w:highlight w:val="none"/>
          <w:lang w:bidi="ar"/>
        </w:rPr>
        <w:t>的施工期对整个评价区生态系统生物量和生产力的影响可接受。</w:t>
      </w:r>
    </w:p>
    <w:p w14:paraId="43D0B1A4">
      <w:pPr>
        <w:snapToGrid w:val="0"/>
        <w:spacing w:line="480" w:lineRule="atLeas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总体来看，工程影响范围是线条状，地表植被的损失将对现有生态系统产生一定的影响，但由于损失的面积相对于沿线地区是少量的，且完工后的恢复又将弥补部分损失的生物量；同时，根据现场调查，在工程影响范围内、受工程影响的植被均属一般常见种，其生长范围广，适应性强，不存在因局部植被管理不慎而导致植物种群消失或灭绝。因此，本工程的建设不会影响区域生态系统的稳定性和完整性。</w:t>
      </w:r>
    </w:p>
    <w:p w14:paraId="3CA5CE8C">
      <w:pPr>
        <w:spacing w:line="48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lang w:val="en-US" w:eastAsia="zh-CN"/>
        </w:rPr>
        <w:t>5.6.7</w:t>
      </w:r>
      <w:r>
        <w:rPr>
          <w:rFonts w:hint="default" w:ascii="Times New Roman" w:hAnsi="Times New Roman" w:eastAsia="宋体" w:cs="Times New Roman"/>
          <w:b/>
          <w:color w:val="auto"/>
          <w:sz w:val="26"/>
          <w:szCs w:val="26"/>
        </w:rPr>
        <w:t>对</w:t>
      </w:r>
      <w:r>
        <w:rPr>
          <w:rFonts w:hint="default" w:ascii="Times New Roman" w:hAnsi="Times New Roman" w:eastAsia="宋体" w:cs="Times New Roman"/>
          <w:b/>
          <w:color w:val="auto"/>
          <w:sz w:val="26"/>
          <w:szCs w:val="26"/>
          <w:lang w:val="en-US" w:eastAsia="zh-CN"/>
        </w:rPr>
        <w:t>天然林</w:t>
      </w:r>
      <w:r>
        <w:rPr>
          <w:rFonts w:hint="default" w:ascii="Times New Roman" w:hAnsi="Times New Roman" w:eastAsia="宋体" w:cs="Times New Roman"/>
          <w:b/>
          <w:color w:val="auto"/>
          <w:sz w:val="26"/>
          <w:szCs w:val="26"/>
        </w:rPr>
        <w:t>的影响</w:t>
      </w:r>
    </w:p>
    <w:p w14:paraId="27701E37">
      <w:pPr>
        <w:snapToGrid w:val="0"/>
        <w:spacing w:line="480" w:lineRule="atLeast"/>
        <w:ind w:firstLine="520" w:firstLineChars="200"/>
        <w:rPr>
          <w:rFonts w:hint="default" w:ascii="Times New Roman" w:hAnsi="Times New Roman" w:eastAsia="宋体" w:cs="Times New Roman"/>
          <w:color w:val="auto"/>
          <w:sz w:val="26"/>
          <w:szCs w:val="26"/>
          <w:highlight w:val="none"/>
          <w:lang w:eastAsia="zh-CN"/>
        </w:rPr>
      </w:pPr>
      <w:r>
        <w:rPr>
          <w:rFonts w:hint="default" w:ascii="Times New Roman" w:hAnsi="Times New Roman" w:eastAsia="宋体" w:cs="Times New Roman"/>
          <w:bCs/>
          <w:color w:val="auto"/>
          <w:sz w:val="26"/>
          <w:szCs w:val="26"/>
          <w:highlight w:val="none"/>
        </w:rPr>
        <w:t>本项目</w:t>
      </w:r>
      <w:r>
        <w:rPr>
          <w:rFonts w:hint="default" w:ascii="Times New Roman" w:hAnsi="Times New Roman" w:eastAsia="宋体" w:cs="Times New Roman"/>
          <w:bCs/>
          <w:color w:val="auto"/>
          <w:sz w:val="26"/>
          <w:szCs w:val="26"/>
          <w:highlight w:val="none"/>
          <w:lang w:val="en-US" w:eastAsia="zh-CN"/>
        </w:rPr>
        <w:t>无</w:t>
      </w:r>
      <w:r>
        <w:rPr>
          <w:rFonts w:hint="default" w:ascii="Times New Roman" w:hAnsi="Times New Roman" w:eastAsia="宋体" w:cs="Times New Roman"/>
          <w:bCs/>
          <w:color w:val="auto"/>
          <w:sz w:val="26"/>
          <w:szCs w:val="26"/>
          <w:highlight w:val="none"/>
        </w:rPr>
        <w:t>永久占地</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部分管线约</w:t>
      </w:r>
      <w:r>
        <w:rPr>
          <w:rFonts w:hint="default" w:ascii="Times New Roman" w:hAnsi="Times New Roman" w:eastAsia="宋体" w:cs="Times New Roman"/>
          <w:bCs/>
          <w:color w:val="auto"/>
          <w:sz w:val="26"/>
          <w:szCs w:val="26"/>
          <w:highlight w:val="none"/>
          <w:lang w:val="en-US" w:eastAsia="zh-CN"/>
        </w:rPr>
        <w:t>622.35</w:t>
      </w:r>
      <w:r>
        <w:rPr>
          <w:rFonts w:hint="default" w:ascii="Times New Roman" w:hAnsi="Times New Roman" w:eastAsia="宋体" w:cs="Times New Roman"/>
          <w:bCs/>
          <w:color w:val="auto"/>
          <w:sz w:val="26"/>
          <w:szCs w:val="26"/>
          <w:highlight w:val="none"/>
        </w:rPr>
        <w:t>m经过天然林，涉及临时占地约</w:t>
      </w:r>
      <w:r>
        <w:rPr>
          <w:rFonts w:hint="default" w:ascii="Times New Roman" w:hAnsi="Times New Roman" w:eastAsia="宋体" w:cs="Times New Roman"/>
          <w:bCs/>
          <w:color w:val="auto"/>
          <w:sz w:val="26"/>
          <w:szCs w:val="26"/>
          <w:highlight w:val="none"/>
          <w:lang w:val="en-US" w:eastAsia="zh-CN"/>
        </w:rPr>
        <w:t>0.38</w:t>
      </w:r>
      <w:r>
        <w:rPr>
          <w:rFonts w:hint="default" w:ascii="Times New Roman" w:hAnsi="Times New Roman" w:eastAsia="宋体" w:cs="Times New Roman"/>
          <w:bCs/>
          <w:color w:val="auto"/>
          <w:sz w:val="26"/>
          <w:szCs w:val="26"/>
          <w:highlight w:val="none"/>
        </w:rPr>
        <w:t>hm</w:t>
      </w:r>
      <w:r>
        <w:rPr>
          <w:rFonts w:hint="default" w:ascii="Times New Roman" w:hAnsi="Times New Roman" w:eastAsia="宋体" w:cs="Times New Roman"/>
          <w:bCs/>
          <w:color w:val="auto"/>
          <w:sz w:val="26"/>
          <w:szCs w:val="26"/>
          <w:highlight w:val="none"/>
          <w:vertAlign w:val="superscript"/>
        </w:rPr>
        <w:t>2</w:t>
      </w:r>
      <w:r>
        <w:rPr>
          <w:rFonts w:hint="default" w:ascii="Times New Roman" w:hAnsi="Times New Roman" w:eastAsia="宋体" w:cs="Times New Roman"/>
          <w:color w:val="auto"/>
          <w:sz w:val="26"/>
          <w:szCs w:val="26"/>
          <w:highlight w:val="none"/>
        </w:rPr>
        <w:t>，评价范围内天然林面积约为</w:t>
      </w:r>
      <w:r>
        <w:rPr>
          <w:rFonts w:hint="default" w:ascii="Times New Roman" w:hAnsi="Times New Roman" w:eastAsia="宋体" w:cs="Times New Roman"/>
          <w:color w:val="auto"/>
          <w:sz w:val="26"/>
          <w:szCs w:val="26"/>
          <w:highlight w:val="none"/>
          <w:lang w:val="en-US" w:eastAsia="zh-CN"/>
        </w:rPr>
        <w:t>51.28</w:t>
      </w:r>
      <w:r>
        <w:rPr>
          <w:rFonts w:hint="default" w:ascii="Times New Roman" w:hAnsi="Times New Roman" w:eastAsia="宋体" w:cs="Times New Roman"/>
          <w:color w:val="auto"/>
          <w:sz w:val="26"/>
          <w:szCs w:val="26"/>
          <w:highlight w:val="none"/>
        </w:rPr>
        <w:t>hm</w:t>
      </w:r>
      <w:r>
        <w:rPr>
          <w:rFonts w:hint="default" w:ascii="Times New Roman" w:hAnsi="Times New Roman" w:eastAsia="宋体" w:cs="Times New Roman"/>
          <w:color w:val="auto"/>
          <w:sz w:val="26"/>
          <w:szCs w:val="26"/>
          <w:highlight w:val="none"/>
          <w:vertAlign w:val="superscript"/>
        </w:rPr>
        <w:t>2</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lang w:val="en-US" w:eastAsia="zh-CN"/>
        </w:rPr>
        <w:t>占比0.66%。</w:t>
      </w:r>
      <w:r>
        <w:rPr>
          <w:rFonts w:hint="default" w:ascii="Times New Roman" w:hAnsi="Times New Roman" w:eastAsia="宋体" w:cs="Times New Roman"/>
          <w:color w:val="auto"/>
          <w:sz w:val="26"/>
          <w:szCs w:val="26"/>
          <w:highlight w:val="none"/>
        </w:rPr>
        <w:t>评价范围内天然林</w:t>
      </w:r>
      <w:r>
        <w:rPr>
          <w:rFonts w:hint="default" w:ascii="Times New Roman" w:hAnsi="Times New Roman" w:eastAsia="宋体" w:cs="Times New Roman"/>
          <w:color w:val="auto"/>
          <w:sz w:val="26"/>
          <w:szCs w:val="26"/>
        </w:rPr>
        <w:t>植被主要为</w:t>
      </w:r>
      <w:r>
        <w:rPr>
          <w:rFonts w:hint="default" w:ascii="Times New Roman" w:hAnsi="Times New Roman" w:eastAsia="宋体" w:cs="Times New Roman"/>
          <w:color w:val="auto"/>
          <w:sz w:val="26"/>
          <w:szCs w:val="26"/>
          <w:lang w:val="en-US" w:eastAsia="zh-CN"/>
        </w:rPr>
        <w:t>马尾松、杉木</w:t>
      </w:r>
      <w:r>
        <w:rPr>
          <w:rFonts w:hint="default" w:ascii="Times New Roman" w:hAnsi="Times New Roman" w:eastAsia="宋体" w:cs="Times New Roman"/>
          <w:color w:val="auto"/>
          <w:sz w:val="26"/>
          <w:szCs w:val="26"/>
        </w:rPr>
        <w:t>等，灌草植被主要是</w:t>
      </w:r>
      <w:r>
        <w:rPr>
          <w:rFonts w:hint="default" w:ascii="Times New Roman" w:hAnsi="Times New Roman" w:eastAsia="宋体" w:cs="Times New Roman"/>
          <w:color w:val="auto"/>
          <w:sz w:val="26"/>
          <w:szCs w:val="26"/>
          <w:lang w:val="en-US" w:eastAsia="zh-CN"/>
        </w:rPr>
        <w:t>盐麸木</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油茶</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柃木</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江南越橘</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狗脊</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红雾水葛</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棕叶狗尾草</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淡竹叶</w:t>
      </w:r>
      <w:r>
        <w:rPr>
          <w:rFonts w:hint="default" w:ascii="Times New Roman" w:hAnsi="Times New Roman" w:eastAsia="宋体" w:cs="Times New Roman"/>
          <w:color w:val="auto"/>
          <w:sz w:val="26"/>
          <w:szCs w:val="26"/>
        </w:rPr>
        <w:t>等</w:t>
      </w:r>
      <w:r>
        <w:rPr>
          <w:rFonts w:hint="default" w:ascii="Times New Roman" w:hAnsi="Times New Roman" w:eastAsia="宋体" w:cs="Times New Roman"/>
          <w:color w:val="auto"/>
          <w:sz w:val="26"/>
          <w:szCs w:val="26"/>
          <w:highlight w:val="none"/>
          <w:lang w:eastAsia="zh-CN"/>
        </w:rPr>
        <w:t>。</w:t>
      </w:r>
    </w:p>
    <w:p w14:paraId="7785EFB0">
      <w:pPr>
        <w:snapToGrid w:val="0"/>
        <w:spacing w:line="480" w:lineRule="atLeas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项目施工确实会对</w:t>
      </w:r>
      <w:r>
        <w:rPr>
          <w:rFonts w:hint="default" w:ascii="Times New Roman" w:hAnsi="Times New Roman" w:eastAsia="宋体" w:cs="Times New Roman"/>
          <w:bCs/>
          <w:color w:val="auto"/>
          <w:sz w:val="26"/>
          <w:szCs w:val="26"/>
          <w:lang w:eastAsia="zh-CN"/>
        </w:rPr>
        <w:t>天然林</w:t>
      </w:r>
      <w:r>
        <w:rPr>
          <w:rFonts w:hint="default" w:ascii="Times New Roman" w:hAnsi="Times New Roman" w:eastAsia="宋体" w:cs="Times New Roman"/>
          <w:bCs/>
          <w:color w:val="auto"/>
          <w:sz w:val="26"/>
          <w:szCs w:val="26"/>
        </w:rPr>
        <w:t>植被造成一定的影响，在管线施工过程中，开挖管沟区将底土翻出，使土体结构几乎全部改变</w:t>
      </w:r>
      <w:r>
        <w:rPr>
          <w:rFonts w:hint="default" w:ascii="Times New Roman" w:hAnsi="Times New Roman" w:eastAsia="宋体" w:cs="Times New Roman"/>
          <w:bCs/>
          <w:color w:val="auto"/>
          <w:sz w:val="26"/>
          <w:szCs w:val="26"/>
          <w:lang w:eastAsia="zh-CN"/>
        </w:rPr>
        <w:t>；</w:t>
      </w:r>
      <w:r>
        <w:rPr>
          <w:rFonts w:hint="default" w:ascii="Times New Roman" w:hAnsi="Times New Roman" w:eastAsia="宋体" w:cs="Times New Roman"/>
          <w:bCs/>
          <w:color w:val="auto"/>
          <w:sz w:val="26"/>
          <w:szCs w:val="26"/>
        </w:rPr>
        <w:t>挖掘区的</w:t>
      </w:r>
      <w:r>
        <w:rPr>
          <w:rFonts w:hint="default" w:ascii="Times New Roman" w:hAnsi="Times New Roman" w:eastAsia="宋体" w:cs="Times New Roman"/>
          <w:bCs/>
          <w:color w:val="auto"/>
          <w:sz w:val="26"/>
          <w:szCs w:val="26"/>
          <w:lang w:val="en-US" w:eastAsia="zh-CN"/>
        </w:rPr>
        <w:t>天然</w:t>
      </w:r>
      <w:r>
        <w:rPr>
          <w:rFonts w:hint="default" w:ascii="Times New Roman" w:hAnsi="Times New Roman" w:eastAsia="宋体" w:cs="Times New Roman"/>
          <w:bCs/>
          <w:color w:val="auto"/>
          <w:sz w:val="26"/>
          <w:szCs w:val="26"/>
        </w:rPr>
        <w:t>林植被全部被破坏，管线两侧的植被则受到不同程度的破坏和影响</w:t>
      </w:r>
      <w:r>
        <w:rPr>
          <w:rFonts w:hint="default" w:ascii="Times New Roman" w:hAnsi="Times New Roman" w:eastAsia="宋体" w:cs="Times New Roman"/>
          <w:bCs/>
          <w:color w:val="auto"/>
          <w:sz w:val="26"/>
          <w:szCs w:val="26"/>
          <w:lang w:eastAsia="zh-CN"/>
        </w:rPr>
        <w:t>；</w:t>
      </w:r>
      <w:r>
        <w:rPr>
          <w:rFonts w:hint="default" w:ascii="Times New Roman" w:hAnsi="Times New Roman" w:eastAsia="宋体" w:cs="Times New Roman"/>
          <w:bCs/>
          <w:color w:val="auto"/>
          <w:sz w:val="26"/>
          <w:szCs w:val="26"/>
        </w:rPr>
        <w:t>施工廊道切割原生林，形成宽</w:t>
      </w:r>
      <w:r>
        <w:rPr>
          <w:rFonts w:hint="default" w:ascii="Times New Roman" w:hAnsi="Times New Roman" w:eastAsia="宋体" w:cs="Times New Roman"/>
          <w:bCs/>
          <w:color w:val="auto"/>
          <w:sz w:val="26"/>
          <w:szCs w:val="26"/>
          <w:lang w:val="en-US" w:eastAsia="zh-CN"/>
        </w:rPr>
        <w:t>6</w:t>
      </w:r>
      <w:r>
        <w:rPr>
          <w:rFonts w:hint="default" w:ascii="Times New Roman" w:hAnsi="Times New Roman" w:eastAsia="宋体" w:cs="Times New Roman"/>
          <w:bCs/>
          <w:color w:val="auto"/>
          <w:sz w:val="26"/>
          <w:szCs w:val="26"/>
        </w:rPr>
        <w:t>m的线性屏障</w:t>
      </w:r>
      <w:r>
        <w:rPr>
          <w:rFonts w:hint="default" w:ascii="Times New Roman" w:hAnsi="Times New Roman" w:eastAsia="宋体" w:cs="Times New Roman"/>
          <w:bCs/>
          <w:color w:val="auto"/>
          <w:sz w:val="26"/>
          <w:szCs w:val="26"/>
          <w:lang w:eastAsia="zh-CN"/>
        </w:rPr>
        <w:t>。</w:t>
      </w:r>
      <w:r>
        <w:rPr>
          <w:rFonts w:hint="default" w:ascii="Times New Roman" w:hAnsi="Times New Roman" w:eastAsia="宋体" w:cs="Times New Roman"/>
          <w:bCs/>
          <w:color w:val="auto"/>
          <w:sz w:val="26"/>
          <w:szCs w:val="26"/>
          <w:lang w:val="en-US" w:eastAsia="zh-CN"/>
        </w:rPr>
        <w:t>但项目占用</w:t>
      </w:r>
      <w:r>
        <w:rPr>
          <w:rFonts w:hint="default" w:ascii="Times New Roman" w:hAnsi="Times New Roman" w:eastAsia="宋体" w:cs="Times New Roman"/>
          <w:bCs/>
          <w:color w:val="auto"/>
          <w:sz w:val="26"/>
          <w:szCs w:val="26"/>
          <w:lang w:eastAsia="zh-CN"/>
        </w:rPr>
        <w:t>天然林</w:t>
      </w:r>
      <w:r>
        <w:rPr>
          <w:rFonts w:hint="default" w:ascii="Times New Roman" w:hAnsi="Times New Roman" w:eastAsia="宋体" w:cs="Times New Roman"/>
          <w:bCs/>
          <w:color w:val="auto"/>
          <w:sz w:val="26"/>
          <w:szCs w:val="26"/>
          <w:lang w:val="en-US" w:eastAsia="zh-CN"/>
        </w:rPr>
        <w:t>的</w:t>
      </w:r>
      <w:r>
        <w:rPr>
          <w:rFonts w:hint="default" w:ascii="Times New Roman" w:hAnsi="Times New Roman" w:eastAsia="宋体" w:cs="Times New Roman"/>
          <w:bCs/>
          <w:color w:val="auto"/>
          <w:sz w:val="26"/>
          <w:szCs w:val="26"/>
        </w:rPr>
        <w:t>植被类型主要为</w:t>
      </w:r>
      <w:r>
        <w:rPr>
          <w:rFonts w:hint="default" w:ascii="Times New Roman" w:hAnsi="Times New Roman" w:eastAsia="宋体" w:cs="Times New Roman"/>
          <w:bCs/>
          <w:color w:val="auto"/>
          <w:sz w:val="26"/>
          <w:szCs w:val="26"/>
          <w:lang w:val="en-US" w:eastAsia="zh-CN"/>
        </w:rPr>
        <w:t>马尾松</w:t>
      </w:r>
      <w:r>
        <w:rPr>
          <w:rFonts w:hint="default" w:ascii="Times New Roman" w:hAnsi="Times New Roman" w:eastAsia="宋体" w:cs="Times New Roman"/>
          <w:bCs/>
          <w:color w:val="auto"/>
          <w:sz w:val="26"/>
          <w:szCs w:val="26"/>
        </w:rPr>
        <w:t>，属于当地常见种，其生长范围广，适应性强，不存在因局部植被管理不慎而导致评价区内植物群落的种类发生变化，也不会造成植物物种的消失或灭绝。因此，对区域植被稳定性的破坏较弱。此外，项目施工周期短，施工结束后，通过恢复植被、补偿等措施，评价范围内被破坏的</w:t>
      </w:r>
      <w:r>
        <w:rPr>
          <w:rFonts w:hint="default" w:ascii="Times New Roman" w:hAnsi="Times New Roman" w:eastAsia="宋体" w:cs="Times New Roman"/>
          <w:bCs/>
          <w:color w:val="auto"/>
          <w:sz w:val="26"/>
          <w:szCs w:val="26"/>
          <w:lang w:eastAsia="zh-CN"/>
        </w:rPr>
        <w:t>天然林</w:t>
      </w:r>
      <w:r>
        <w:rPr>
          <w:rFonts w:hint="default" w:ascii="Times New Roman" w:hAnsi="Times New Roman" w:eastAsia="宋体" w:cs="Times New Roman"/>
          <w:bCs/>
          <w:color w:val="auto"/>
          <w:sz w:val="26"/>
          <w:szCs w:val="26"/>
        </w:rPr>
        <w:t>植被可以得到一定</w:t>
      </w:r>
      <w:r>
        <w:rPr>
          <w:rFonts w:hint="default" w:ascii="Times New Roman" w:hAnsi="Times New Roman" w:eastAsia="宋体" w:cs="Times New Roman"/>
          <w:bCs/>
          <w:color w:val="auto"/>
          <w:sz w:val="26"/>
          <w:szCs w:val="26"/>
          <w:lang w:val="en-US" w:eastAsia="zh-CN"/>
        </w:rPr>
        <w:t>程度</w:t>
      </w:r>
      <w:r>
        <w:rPr>
          <w:rFonts w:hint="default" w:ascii="Times New Roman" w:hAnsi="Times New Roman" w:eastAsia="宋体" w:cs="Times New Roman"/>
          <w:bCs/>
          <w:color w:val="auto"/>
          <w:sz w:val="26"/>
          <w:szCs w:val="26"/>
        </w:rPr>
        <w:t>的恢复。</w:t>
      </w:r>
    </w:p>
    <w:p w14:paraId="555BB213">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由于</w:t>
      </w:r>
      <w:r>
        <w:rPr>
          <w:rFonts w:hint="default" w:ascii="Times New Roman" w:hAnsi="Times New Roman" w:eastAsia="宋体" w:cs="Times New Roman"/>
          <w:bCs/>
          <w:color w:val="auto"/>
          <w:sz w:val="26"/>
          <w:szCs w:val="26"/>
          <w:lang w:eastAsia="zh-CN"/>
        </w:rPr>
        <w:t>天然林</w:t>
      </w:r>
      <w:r>
        <w:rPr>
          <w:rFonts w:hint="default" w:ascii="Times New Roman" w:hAnsi="Times New Roman" w:eastAsia="宋体" w:cs="Times New Roman"/>
          <w:bCs/>
          <w:color w:val="auto"/>
          <w:sz w:val="26"/>
          <w:szCs w:val="26"/>
        </w:rPr>
        <w:t>所在的生态区位重要或者生态状况脆弱，对国土生态安全、生物多样性保护和经济社会可持续发展具有重要作用，因此，项目施工期对</w:t>
      </w:r>
      <w:r>
        <w:rPr>
          <w:rFonts w:hint="default" w:ascii="Times New Roman" w:hAnsi="Times New Roman" w:eastAsia="宋体" w:cs="Times New Roman"/>
          <w:bCs/>
          <w:color w:val="auto"/>
          <w:sz w:val="26"/>
          <w:szCs w:val="26"/>
          <w:lang w:eastAsia="zh-CN"/>
        </w:rPr>
        <w:t>天然林</w:t>
      </w:r>
      <w:r>
        <w:rPr>
          <w:rFonts w:hint="default" w:ascii="Times New Roman" w:hAnsi="Times New Roman" w:eastAsia="宋体" w:cs="Times New Roman"/>
          <w:bCs/>
          <w:color w:val="auto"/>
          <w:sz w:val="26"/>
          <w:szCs w:val="26"/>
        </w:rPr>
        <w:t>的影响应当降低至最小。在项目施工期应加强施工管理，科学合理施工，维护植物的生境条件，减少水土流失，杜绝对工程用地范围以外林地的不良影响；积极遵守有关</w:t>
      </w:r>
      <w:r>
        <w:rPr>
          <w:rFonts w:hint="default" w:ascii="Times New Roman" w:hAnsi="Times New Roman" w:eastAsia="宋体" w:cs="Times New Roman"/>
          <w:bCs/>
          <w:color w:val="auto"/>
          <w:sz w:val="26"/>
          <w:szCs w:val="26"/>
          <w:lang w:eastAsia="zh-CN"/>
        </w:rPr>
        <w:t>天然林</w:t>
      </w:r>
      <w:r>
        <w:rPr>
          <w:rFonts w:hint="default" w:ascii="Times New Roman" w:hAnsi="Times New Roman" w:eastAsia="宋体" w:cs="Times New Roman"/>
          <w:bCs/>
          <w:color w:val="auto"/>
          <w:sz w:val="26"/>
          <w:szCs w:val="26"/>
        </w:rPr>
        <w:t>资源保护工程的村规民约、告示、管护目标、管理措施；积极配合护林员管护沿线森林资源；主动或配合做好森林“三防”工作（防止森林火灾、防止盗伐滥伐林木、防止森林病虫害），保护野生动植物及其栖息环境，杜绝非法占用林地。因此，项目对</w:t>
      </w:r>
      <w:r>
        <w:rPr>
          <w:rFonts w:hint="default" w:ascii="Times New Roman" w:hAnsi="Times New Roman" w:eastAsia="宋体" w:cs="Times New Roman"/>
          <w:bCs/>
          <w:color w:val="auto"/>
          <w:sz w:val="26"/>
          <w:szCs w:val="26"/>
          <w:lang w:eastAsia="zh-CN"/>
        </w:rPr>
        <w:t>天然林</w:t>
      </w:r>
      <w:r>
        <w:rPr>
          <w:rFonts w:hint="default" w:ascii="Times New Roman" w:hAnsi="Times New Roman" w:eastAsia="宋体" w:cs="Times New Roman"/>
          <w:bCs/>
          <w:color w:val="auto"/>
          <w:sz w:val="26"/>
          <w:szCs w:val="26"/>
        </w:rPr>
        <w:t>的影响可接受。</w:t>
      </w:r>
    </w:p>
    <w:p w14:paraId="164B822A">
      <w:pPr>
        <w:snapToGrid w:val="0"/>
        <w:spacing w:line="480" w:lineRule="atLeast"/>
        <w:ind w:firstLine="520" w:firstLineChars="200"/>
        <w:rPr>
          <w:rFonts w:hint="default" w:ascii="Times New Roman" w:hAnsi="Times New Roman" w:eastAsia="宋体" w:cs="Times New Roman"/>
          <w:bCs/>
          <w:color w:val="auto"/>
          <w:sz w:val="26"/>
          <w:szCs w:val="26"/>
        </w:rPr>
      </w:pPr>
    </w:p>
    <w:p w14:paraId="0819CC5B">
      <w:pPr>
        <w:snapToGrid w:val="0"/>
        <w:spacing w:line="480" w:lineRule="atLeast"/>
        <w:ind w:firstLine="520" w:firstLineChars="200"/>
        <w:rPr>
          <w:rFonts w:hint="default" w:ascii="Times New Roman" w:hAnsi="Times New Roman" w:eastAsia="宋体" w:cs="Times New Roman"/>
          <w:bCs/>
          <w:color w:val="auto"/>
          <w:sz w:val="26"/>
          <w:szCs w:val="26"/>
        </w:rPr>
      </w:pPr>
    </w:p>
    <w:p w14:paraId="38FDBB86">
      <w:pPr>
        <w:snapToGrid w:val="0"/>
        <w:spacing w:line="480" w:lineRule="atLeast"/>
        <w:ind w:firstLine="520" w:firstLineChars="200"/>
        <w:rPr>
          <w:rFonts w:hint="default" w:ascii="Times New Roman" w:hAnsi="Times New Roman" w:eastAsia="宋体" w:cs="Times New Roman"/>
          <w:bCs/>
          <w:color w:val="auto"/>
          <w:sz w:val="26"/>
          <w:szCs w:val="26"/>
        </w:rPr>
      </w:pPr>
    </w:p>
    <w:p w14:paraId="67701959">
      <w:pPr>
        <w:adjustRightInd w:val="0"/>
        <w:snapToGrid w:val="0"/>
        <w:spacing w:after="120" w:afterLines="50"/>
        <w:jc w:val="center"/>
        <w:outlineLvl w:val="0"/>
        <w:rPr>
          <w:rFonts w:hint="default" w:ascii="Times New Roman" w:hAnsi="Times New Roman" w:eastAsia="宋体" w:cs="Times New Roman"/>
          <w:b/>
          <w:color w:val="auto"/>
          <w:sz w:val="32"/>
          <w:szCs w:val="32"/>
        </w:rPr>
      </w:pPr>
      <w:r>
        <w:rPr>
          <w:rFonts w:hint="default" w:ascii="Times New Roman" w:hAnsi="Times New Roman" w:eastAsia="宋体" w:cs="Times New Roman"/>
          <w:bCs/>
          <w:color w:val="auto"/>
          <w:sz w:val="26"/>
          <w:szCs w:val="26"/>
        </w:rPr>
        <w:br w:type="page"/>
      </w:r>
      <w:bookmarkStart w:id="330" w:name="_Toc27147"/>
      <w:bookmarkStart w:id="331" w:name="_Toc60144408"/>
      <w:bookmarkStart w:id="332" w:name="_Toc45551093"/>
      <w:bookmarkStart w:id="333" w:name="_Toc1818"/>
      <w:r>
        <w:rPr>
          <w:rFonts w:hint="default" w:ascii="Times New Roman" w:hAnsi="Times New Roman" w:eastAsia="宋体" w:cs="Times New Roman"/>
          <w:b/>
          <w:color w:val="auto"/>
          <w:sz w:val="32"/>
          <w:szCs w:val="32"/>
        </w:rPr>
        <w:t>6运营期环境影响分析</w:t>
      </w:r>
      <w:bookmarkEnd w:id="330"/>
      <w:bookmarkEnd w:id="331"/>
      <w:bookmarkEnd w:id="332"/>
      <w:bookmarkEnd w:id="333"/>
    </w:p>
    <w:p w14:paraId="14704A6C">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334" w:name="_Toc22862"/>
      <w:bookmarkStart w:id="335" w:name="_Toc60144411"/>
      <w:bookmarkStart w:id="336" w:name="_Toc14662"/>
      <w:bookmarkStart w:id="337" w:name="_Toc45551096"/>
      <w:bookmarkStart w:id="338" w:name="_Toc16957"/>
      <w:bookmarkStart w:id="339" w:name="_Toc60144409"/>
      <w:bookmarkStart w:id="340" w:name="_Toc45551094"/>
      <w:r>
        <w:rPr>
          <w:rFonts w:hint="default" w:ascii="Times New Roman" w:hAnsi="Times New Roman" w:eastAsia="宋体" w:cs="Times New Roman"/>
          <w:b/>
          <w:color w:val="auto"/>
          <w:sz w:val="26"/>
          <w:szCs w:val="26"/>
        </w:rPr>
        <w:t>6.</w:t>
      </w:r>
      <w:r>
        <w:rPr>
          <w:rFonts w:hint="default" w:ascii="Times New Roman" w:hAnsi="Times New Roman" w:eastAsia="宋体" w:cs="Times New Roman"/>
          <w:b/>
          <w:color w:val="auto"/>
          <w:sz w:val="26"/>
          <w:szCs w:val="26"/>
          <w:lang w:val="en-US" w:eastAsia="zh-CN"/>
        </w:rPr>
        <w:t>1</w:t>
      </w:r>
      <w:r>
        <w:rPr>
          <w:rFonts w:hint="default" w:ascii="Times New Roman" w:hAnsi="Times New Roman" w:eastAsia="宋体" w:cs="Times New Roman"/>
          <w:b/>
          <w:color w:val="auto"/>
          <w:sz w:val="26"/>
          <w:szCs w:val="26"/>
        </w:rPr>
        <w:t>环境空气影响分析</w:t>
      </w:r>
      <w:bookmarkEnd w:id="334"/>
      <w:bookmarkEnd w:id="335"/>
      <w:bookmarkEnd w:id="336"/>
      <w:bookmarkEnd w:id="337"/>
    </w:p>
    <w:p w14:paraId="3B4A1BD8">
      <w:pPr>
        <w:spacing w:line="500" w:lineRule="exact"/>
        <w:ind w:firstLine="522" w:firstLineChars="200"/>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6.3.1正常工况</w:t>
      </w:r>
    </w:p>
    <w:p w14:paraId="05593300">
      <w:pPr>
        <w:spacing w:line="50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sz w:val="26"/>
          <w:szCs w:val="26"/>
        </w:rPr>
        <w:t>本项目运营期天然气在管道内密闭运输，项目不设放空系统，运营过程无废气排放，对环境空气无影响。</w:t>
      </w:r>
    </w:p>
    <w:p w14:paraId="4860F0FA">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341" w:name="_Toc23430"/>
      <w:r>
        <w:rPr>
          <w:rFonts w:hint="default" w:ascii="Times New Roman" w:hAnsi="Times New Roman" w:eastAsia="宋体" w:cs="Times New Roman"/>
          <w:b/>
          <w:color w:val="auto"/>
          <w:sz w:val="26"/>
          <w:szCs w:val="26"/>
        </w:rPr>
        <w:t>6.</w:t>
      </w:r>
      <w:r>
        <w:rPr>
          <w:rFonts w:hint="default" w:ascii="Times New Roman" w:hAnsi="Times New Roman" w:eastAsia="宋体" w:cs="Times New Roman"/>
          <w:b/>
          <w:color w:val="auto"/>
          <w:sz w:val="26"/>
          <w:szCs w:val="26"/>
          <w:lang w:val="en-US" w:eastAsia="zh-CN"/>
        </w:rPr>
        <w:t>2</w:t>
      </w:r>
      <w:r>
        <w:rPr>
          <w:rFonts w:hint="default" w:ascii="Times New Roman" w:hAnsi="Times New Roman" w:eastAsia="宋体" w:cs="Times New Roman"/>
          <w:b/>
          <w:color w:val="auto"/>
          <w:sz w:val="26"/>
          <w:szCs w:val="26"/>
        </w:rPr>
        <w:t>地表水环境影响分析</w:t>
      </w:r>
      <w:bookmarkEnd w:id="338"/>
      <w:bookmarkEnd w:id="339"/>
      <w:bookmarkEnd w:id="340"/>
      <w:bookmarkEnd w:id="341"/>
    </w:p>
    <w:p w14:paraId="72EC6FEA">
      <w:pPr>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正常工况下，天然气于管线中密闭输送，管道采用外防腐层和强制电流阴极保护联合方式，正常运营期对地表水不会造成影响。在发生泄漏事故时，由于天然气中以CH</w:t>
      </w:r>
      <w:r>
        <w:rPr>
          <w:rFonts w:hint="default" w:ascii="Times New Roman" w:hAnsi="Times New Roman" w:eastAsia="宋体" w:cs="Times New Roman"/>
          <w:color w:val="auto"/>
          <w:sz w:val="26"/>
          <w:szCs w:val="26"/>
          <w:vertAlign w:val="subscript"/>
        </w:rPr>
        <w:t>4</w:t>
      </w:r>
      <w:r>
        <w:rPr>
          <w:rFonts w:hint="default" w:ascii="Times New Roman" w:hAnsi="Times New Roman" w:eastAsia="宋体" w:cs="Times New Roman"/>
          <w:color w:val="auto"/>
          <w:sz w:val="26"/>
          <w:szCs w:val="26"/>
        </w:rPr>
        <w:t>为主，在水中的溶解度极低，对水环境影响小。</w:t>
      </w:r>
      <w:r>
        <w:rPr>
          <w:rFonts w:hint="default" w:ascii="Times New Roman" w:hAnsi="Times New Roman" w:eastAsia="宋体" w:cs="Times New Roman"/>
          <w:color w:val="auto"/>
          <w:sz w:val="26"/>
          <w:szCs w:val="26"/>
          <w:lang w:val="en-US" w:eastAsia="zh-CN"/>
        </w:rPr>
        <w:t>工程不新增人员编制，不设办公场所，故无生活污水产生。本项目对地表水环境无影响。</w:t>
      </w:r>
    </w:p>
    <w:p w14:paraId="1962CCF9">
      <w:pPr>
        <w:spacing w:line="500" w:lineRule="exact"/>
        <w:ind w:firstLine="520" w:firstLineChars="2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拟建项目评价范围内涉及地表水饮用水源保护区1处：薄刀岭水库饮用水源保护区。薄刀岭水库饮用水源保护区位于改建管线的北侧，管线整体从水源保护区下游经过，陆域保护范围最近距离约68m，水域保护范围最近距离约100m，该水域范围现状为干涸状态。本项目管线输送净化天然气，无腐蚀性，天然气的主要成分甲烷（</w:t>
      </w:r>
      <w:r>
        <w:rPr>
          <w:rFonts w:hint="default" w:ascii="Times New Roman" w:hAnsi="Times New Roman" w:eastAsia="宋体" w:cs="Times New Roman"/>
          <w:color w:val="auto"/>
          <w:sz w:val="26"/>
          <w:szCs w:val="26"/>
        </w:rPr>
        <w:t>微溶于水</w:t>
      </w:r>
      <w:r>
        <w:rPr>
          <w:rFonts w:hint="default"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rPr>
        <w:t>是轻质气体密度低于空气，</w:t>
      </w:r>
      <w:r>
        <w:rPr>
          <w:rFonts w:hint="default" w:ascii="Times New Roman" w:hAnsi="Times New Roman" w:eastAsia="宋体" w:cs="Times New Roman"/>
          <w:color w:val="auto"/>
          <w:sz w:val="26"/>
          <w:szCs w:val="26"/>
          <w:lang w:val="en-US" w:eastAsia="zh-CN"/>
        </w:rPr>
        <w:t>即便出现泄漏</w:t>
      </w:r>
      <w:r>
        <w:rPr>
          <w:rFonts w:hint="default" w:ascii="Times New Roman" w:hAnsi="Times New Roman" w:eastAsia="宋体" w:cs="Times New Roman"/>
          <w:color w:val="auto"/>
          <w:sz w:val="26"/>
          <w:szCs w:val="26"/>
        </w:rPr>
        <w:t>挥发至空气中</w:t>
      </w:r>
      <w:r>
        <w:rPr>
          <w:rFonts w:hint="default" w:ascii="Times New Roman" w:hAnsi="Times New Roman" w:eastAsia="宋体" w:cs="Times New Roman"/>
          <w:color w:val="auto"/>
          <w:sz w:val="26"/>
          <w:szCs w:val="26"/>
          <w:lang w:val="en-US" w:eastAsia="zh-CN"/>
        </w:rPr>
        <w:t>对</w:t>
      </w:r>
      <w:r>
        <w:rPr>
          <w:rFonts w:hint="default" w:ascii="Times New Roman" w:hAnsi="Times New Roman" w:eastAsia="宋体" w:cs="Times New Roman"/>
          <w:color w:val="auto"/>
          <w:sz w:val="26"/>
          <w:szCs w:val="26"/>
          <w:lang w:eastAsia="zh-CN"/>
        </w:rPr>
        <w:t>饮用水源和饮用水源保护区的影响</w:t>
      </w:r>
      <w:r>
        <w:rPr>
          <w:rFonts w:hint="default" w:ascii="Times New Roman" w:hAnsi="Times New Roman" w:eastAsia="宋体" w:cs="Times New Roman"/>
          <w:color w:val="auto"/>
          <w:sz w:val="26"/>
          <w:szCs w:val="26"/>
          <w:lang w:val="en-US" w:eastAsia="zh-CN"/>
        </w:rPr>
        <w:t>也没有明显影响。</w:t>
      </w:r>
    </w:p>
    <w:p w14:paraId="52A1BF73">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342" w:name="_Toc60144410"/>
      <w:bookmarkStart w:id="343" w:name="_Toc25528"/>
      <w:bookmarkStart w:id="344" w:name="_Toc913"/>
      <w:bookmarkStart w:id="345" w:name="_Toc45551095"/>
      <w:r>
        <w:rPr>
          <w:rFonts w:hint="default" w:ascii="Times New Roman" w:hAnsi="Times New Roman" w:eastAsia="宋体" w:cs="Times New Roman"/>
          <w:b/>
          <w:color w:val="auto"/>
          <w:sz w:val="26"/>
          <w:szCs w:val="26"/>
        </w:rPr>
        <w:t>6.</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地下水环境影响分析</w:t>
      </w:r>
      <w:bookmarkEnd w:id="342"/>
      <w:bookmarkEnd w:id="343"/>
      <w:bookmarkEnd w:id="344"/>
      <w:bookmarkEnd w:id="345"/>
    </w:p>
    <w:p w14:paraId="218622D7">
      <w:pPr>
        <w:spacing w:line="50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运营</w:t>
      </w:r>
      <w:r>
        <w:rPr>
          <w:rFonts w:hint="default" w:ascii="Times New Roman" w:hAnsi="Times New Roman" w:eastAsia="宋体" w:cs="Times New Roman"/>
          <w:bCs/>
          <w:color w:val="auto"/>
          <w:sz w:val="26"/>
          <w:szCs w:val="26"/>
          <w:shd w:val="clear" w:fill="FFFFFF"/>
        </w:rPr>
        <w:t>期</w:t>
      </w:r>
      <w:r>
        <w:rPr>
          <w:rFonts w:hint="default" w:ascii="Times New Roman" w:hAnsi="Times New Roman" w:eastAsia="宋体" w:cs="Times New Roman"/>
          <w:bCs/>
          <w:color w:val="auto"/>
          <w:sz w:val="26"/>
          <w:szCs w:val="26"/>
        </w:rPr>
        <w:t>管线埋设于地下，管道输送介质为天然气，运营期间无废水产生。管道防腐设计严格按照相关规定，采用外防腐层和阴极保护联合保护的方案对管道进行保护，因此对地下水也不会造成影响。</w:t>
      </w:r>
    </w:p>
    <w:p w14:paraId="18CD3510">
      <w:pPr>
        <w:spacing w:line="50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管道运营期间的非正常状态可能有：管道连接处泄漏；腐蚀；撞击或人为破坏等造成管道破裂而泄漏；</w:t>
      </w:r>
      <w:r>
        <w:rPr>
          <w:rFonts w:hint="default" w:ascii="Times New Roman" w:hAnsi="Times New Roman" w:eastAsia="宋体" w:cs="Times New Roman"/>
          <w:bCs/>
          <w:color w:val="auto"/>
          <w:sz w:val="26"/>
          <w:szCs w:val="26"/>
          <w:shd w:val="clear" w:fill="FFFFFF"/>
        </w:rPr>
        <w:t>由</w:t>
      </w:r>
      <w:r>
        <w:rPr>
          <w:rFonts w:hint="default" w:ascii="Times New Roman" w:hAnsi="Times New Roman" w:eastAsia="宋体" w:cs="Times New Roman"/>
          <w:bCs/>
          <w:color w:val="auto"/>
          <w:sz w:val="26"/>
          <w:szCs w:val="26"/>
        </w:rPr>
        <w:t>自然灾害而造成的破裂泄漏等。一旦管道破裂出现泄漏时，天然气将通过土壤孔隙逸出进入大气，即使位于地下水位以下的管道出现泄漏时，天然气不溶于水也会从水中逸出进入包气带土壤，再从土壤孔隙逸出进入大气，不会对地下水产生影响。</w:t>
      </w:r>
    </w:p>
    <w:p w14:paraId="39A44156">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346" w:name="_Toc45551097"/>
      <w:bookmarkStart w:id="347" w:name="_Toc8717"/>
      <w:bookmarkStart w:id="348" w:name="_Toc60144412"/>
      <w:bookmarkStart w:id="349" w:name="_Toc29642"/>
      <w:r>
        <w:rPr>
          <w:rFonts w:hint="default" w:ascii="Times New Roman" w:hAnsi="Times New Roman" w:eastAsia="宋体" w:cs="Times New Roman"/>
          <w:b/>
          <w:color w:val="auto"/>
          <w:sz w:val="26"/>
          <w:szCs w:val="26"/>
        </w:rPr>
        <w:t>6.4声环境影响分析</w:t>
      </w:r>
      <w:bookmarkEnd w:id="346"/>
      <w:bookmarkEnd w:id="347"/>
      <w:bookmarkEnd w:id="348"/>
      <w:bookmarkEnd w:id="349"/>
    </w:p>
    <w:p w14:paraId="24984E6D">
      <w:pPr>
        <w:spacing w:line="500" w:lineRule="exact"/>
        <w:ind w:firstLine="520" w:firstLineChars="200"/>
        <w:rPr>
          <w:rFonts w:hint="default" w:ascii="Times New Roman" w:hAnsi="Times New Roman" w:eastAsia="宋体" w:cs="Times New Roman"/>
          <w:bCs/>
          <w:color w:val="auto"/>
          <w:sz w:val="26"/>
          <w:szCs w:val="26"/>
        </w:rPr>
      </w:pPr>
      <w:bookmarkStart w:id="350" w:name="_Toc9488"/>
      <w:bookmarkStart w:id="351" w:name="_Toc60144413"/>
      <w:bookmarkStart w:id="352" w:name="_Toc45551098"/>
      <w:r>
        <w:rPr>
          <w:rFonts w:hint="default" w:ascii="Times New Roman" w:hAnsi="Times New Roman" w:eastAsia="宋体" w:cs="Times New Roman"/>
          <w:bCs/>
          <w:color w:val="auto"/>
          <w:sz w:val="26"/>
          <w:szCs w:val="26"/>
        </w:rPr>
        <w:t>输气管道全线采用埋地敷设，在正常生产过程中不会产生噪声污染。因此本项目运营期</w:t>
      </w:r>
      <w:r>
        <w:rPr>
          <w:rFonts w:hint="default" w:ascii="Times New Roman" w:hAnsi="Times New Roman" w:eastAsia="宋体" w:cs="Times New Roman"/>
          <w:bCs/>
          <w:color w:val="auto"/>
          <w:sz w:val="26"/>
          <w:szCs w:val="26"/>
          <w:lang w:val="en-US" w:eastAsia="zh-CN"/>
        </w:rPr>
        <w:t>不会</w:t>
      </w:r>
      <w:r>
        <w:rPr>
          <w:rFonts w:hint="default" w:ascii="Times New Roman" w:hAnsi="Times New Roman" w:eastAsia="宋体" w:cs="Times New Roman"/>
          <w:bCs/>
          <w:color w:val="auto"/>
          <w:sz w:val="26"/>
          <w:szCs w:val="26"/>
        </w:rPr>
        <w:t>对声环境</w:t>
      </w:r>
      <w:r>
        <w:rPr>
          <w:rFonts w:hint="default" w:ascii="Times New Roman" w:hAnsi="Times New Roman" w:eastAsia="宋体" w:cs="Times New Roman"/>
          <w:bCs/>
          <w:color w:val="auto"/>
          <w:sz w:val="26"/>
          <w:szCs w:val="26"/>
          <w:lang w:val="en-US" w:eastAsia="zh-CN"/>
        </w:rPr>
        <w:t>产生</w:t>
      </w:r>
      <w:r>
        <w:rPr>
          <w:rFonts w:hint="default" w:ascii="Times New Roman" w:hAnsi="Times New Roman" w:eastAsia="宋体" w:cs="Times New Roman"/>
          <w:bCs/>
          <w:color w:val="auto"/>
          <w:sz w:val="26"/>
          <w:szCs w:val="26"/>
        </w:rPr>
        <w:t>影响。</w:t>
      </w:r>
    </w:p>
    <w:p w14:paraId="694887A2">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353" w:name="_Toc19651"/>
      <w:r>
        <w:rPr>
          <w:rFonts w:hint="default" w:ascii="Times New Roman" w:hAnsi="Times New Roman" w:eastAsia="宋体" w:cs="Times New Roman"/>
          <w:b/>
          <w:color w:val="auto"/>
          <w:sz w:val="26"/>
          <w:szCs w:val="26"/>
        </w:rPr>
        <w:t>6.5固体废物影响分析</w:t>
      </w:r>
      <w:bookmarkEnd w:id="350"/>
      <w:bookmarkEnd w:id="351"/>
      <w:bookmarkEnd w:id="352"/>
      <w:bookmarkEnd w:id="353"/>
    </w:p>
    <w:p w14:paraId="7D4F6461">
      <w:pPr>
        <w:spacing w:line="500" w:lineRule="exact"/>
        <w:ind w:firstLine="520" w:firstLineChars="200"/>
        <w:rPr>
          <w:rFonts w:hint="default" w:ascii="Times New Roman" w:hAnsi="Times New Roman" w:eastAsia="宋体" w:cs="Times New Roman"/>
          <w:color w:val="auto"/>
          <w:sz w:val="26"/>
          <w:szCs w:val="26"/>
        </w:rPr>
      </w:pPr>
      <w:bookmarkStart w:id="354" w:name="_Hlk80992796"/>
      <w:bookmarkStart w:id="355" w:name="_Toc45551099"/>
      <w:bookmarkStart w:id="356" w:name="_Toc60144414"/>
      <w:bookmarkStart w:id="357" w:name="_Toc14064"/>
      <w:r>
        <w:rPr>
          <w:rFonts w:hint="default" w:ascii="Times New Roman" w:hAnsi="Times New Roman" w:eastAsia="宋体" w:cs="Times New Roman"/>
          <w:color w:val="auto"/>
          <w:sz w:val="26"/>
          <w:szCs w:val="26"/>
        </w:rPr>
        <w:t>由于本项目输气管道敷设在地下进行密闭输送，管道进行了防腐处理，在正常工况下，无固体废物产生</w:t>
      </w:r>
      <w:bookmarkEnd w:id="354"/>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对外环境无影响</w:t>
      </w:r>
      <w:r>
        <w:rPr>
          <w:rFonts w:hint="default" w:ascii="Times New Roman" w:hAnsi="Times New Roman" w:eastAsia="宋体" w:cs="Times New Roman"/>
          <w:color w:val="auto"/>
          <w:sz w:val="26"/>
          <w:szCs w:val="26"/>
        </w:rPr>
        <w:t>。</w:t>
      </w:r>
    </w:p>
    <w:p w14:paraId="37101BA1">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358" w:name="_Toc23768"/>
      <w:r>
        <w:rPr>
          <w:rFonts w:hint="default" w:ascii="Times New Roman" w:hAnsi="Times New Roman" w:eastAsia="宋体" w:cs="Times New Roman"/>
          <w:b/>
          <w:color w:val="auto"/>
          <w:sz w:val="26"/>
          <w:szCs w:val="26"/>
        </w:rPr>
        <w:t>6.6生态环境影响分析</w:t>
      </w:r>
      <w:bookmarkEnd w:id="355"/>
      <w:bookmarkEnd w:id="356"/>
      <w:bookmarkEnd w:id="357"/>
      <w:bookmarkEnd w:id="358"/>
    </w:p>
    <w:p w14:paraId="4BA77A6B">
      <w:pPr>
        <w:spacing w:line="480" w:lineRule="exact"/>
        <w:ind w:firstLine="522" w:firstLineChars="200"/>
        <w:outlineLvl w:val="2"/>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6.6.1对农业的影响</w:t>
      </w:r>
    </w:p>
    <w:p w14:paraId="395C523B">
      <w:pPr>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根据《中华人民共和国石油天然气管道保护法》（中华人民共和国主席令第30号），管道中心线两侧5m范围内不能再种植深根系植物，由于耕地种植农作物均为浅根系植物，因此管道运营期对耕地影响不大。但根据对土壤进行熟化培肥恢复生产力的经验，受破坏耕地生产力的恢复期一般为2年，第3年完全恢复产量。因此在管道施工完成后的一定时期内，耕地产量会有一定的损失，但损失量较小。在</w:t>
      </w:r>
      <w:r>
        <w:rPr>
          <w:rFonts w:hint="default" w:ascii="Times New Roman" w:hAnsi="Times New Roman" w:eastAsia="宋体" w:cs="Times New Roman"/>
          <w:bCs/>
          <w:color w:val="auto"/>
          <w:sz w:val="26"/>
          <w:szCs w:val="26"/>
        </w:rPr>
        <w:t>建设单位补偿了因临时占地对农田产量的直接、间接损失后，</w:t>
      </w:r>
      <w:r>
        <w:rPr>
          <w:rFonts w:hint="default" w:ascii="Times New Roman" w:hAnsi="Times New Roman" w:eastAsia="宋体" w:cs="Times New Roman"/>
          <w:color w:val="auto"/>
          <w:sz w:val="26"/>
          <w:szCs w:val="26"/>
        </w:rPr>
        <w:t>管道运营期对当地农业的影响极小。</w:t>
      </w:r>
    </w:p>
    <w:tbl>
      <w:tblPr>
        <w:tblStyle w:val="29"/>
        <w:tblW w:w="0" w:type="auto"/>
        <w:tblInd w:w="0" w:type="dxa"/>
        <w:tblLayout w:type="autofit"/>
        <w:tblCellMar>
          <w:top w:w="0" w:type="dxa"/>
          <w:left w:w="108" w:type="dxa"/>
          <w:bottom w:w="0" w:type="dxa"/>
          <w:right w:w="108" w:type="dxa"/>
        </w:tblCellMar>
      </w:tblPr>
      <w:tblGrid>
        <w:gridCol w:w="4473"/>
        <w:gridCol w:w="4473"/>
      </w:tblGrid>
      <w:tr w14:paraId="3C92BAEA">
        <w:tblPrEx>
          <w:tblCellMar>
            <w:top w:w="0" w:type="dxa"/>
            <w:left w:w="108" w:type="dxa"/>
            <w:bottom w:w="0" w:type="dxa"/>
            <w:right w:w="108" w:type="dxa"/>
          </w:tblCellMar>
        </w:tblPrEx>
        <w:tc>
          <w:tcPr>
            <w:tcW w:w="4473" w:type="dxa"/>
            <w:noWrap w:val="0"/>
            <w:vAlign w:val="top"/>
          </w:tcPr>
          <w:p w14:paraId="51AFEFCF">
            <w:pPr>
              <w:jc w:val="center"/>
              <w:rPr>
                <w:rFonts w:hint="default" w:ascii="Times New Roman" w:hAnsi="Times New Roman" w:eastAsia="宋体" w:cs="Times New Roman"/>
                <w:bCs/>
                <w:color w:val="auto"/>
                <w:sz w:val="26"/>
                <w:szCs w:val="26"/>
              </w:rPr>
            </w:pPr>
            <w:r>
              <w:rPr>
                <w:rFonts w:hint="default" w:ascii="Times New Roman" w:hAnsi="Times New Roman" w:eastAsia="宋体" w:cs="Times New Roman"/>
                <w:color w:val="auto"/>
              </w:rPr>
              <w:drawing>
                <wp:inline distT="0" distB="0" distL="114300" distR="114300">
                  <wp:extent cx="2672715" cy="2003425"/>
                  <wp:effectExtent l="0" t="0" r="13335" b="15875"/>
                  <wp:docPr id="10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2"/>
                          <pic:cNvPicPr>
                            <a:picLocks noChangeAspect="1"/>
                          </pic:cNvPicPr>
                        </pic:nvPicPr>
                        <pic:blipFill>
                          <a:blip r:embed="rId32"/>
                          <a:stretch>
                            <a:fillRect/>
                          </a:stretch>
                        </pic:blipFill>
                        <pic:spPr>
                          <a:xfrm>
                            <a:off x="0" y="0"/>
                            <a:ext cx="2672715" cy="2003425"/>
                          </a:xfrm>
                          <a:prstGeom prst="rect">
                            <a:avLst/>
                          </a:prstGeom>
                          <a:noFill/>
                          <a:ln>
                            <a:noFill/>
                          </a:ln>
                        </pic:spPr>
                      </pic:pic>
                    </a:graphicData>
                  </a:graphic>
                </wp:inline>
              </w:drawing>
            </w:r>
          </w:p>
        </w:tc>
        <w:tc>
          <w:tcPr>
            <w:tcW w:w="4473" w:type="dxa"/>
            <w:noWrap w:val="0"/>
            <w:vAlign w:val="top"/>
          </w:tcPr>
          <w:p w14:paraId="613B2179">
            <w:pPr>
              <w:jc w:val="center"/>
              <w:rPr>
                <w:rFonts w:hint="default" w:ascii="Times New Roman" w:hAnsi="Times New Roman" w:eastAsia="宋体" w:cs="Times New Roman"/>
                <w:bCs/>
                <w:color w:val="auto"/>
                <w:sz w:val="26"/>
                <w:szCs w:val="26"/>
              </w:rPr>
            </w:pPr>
            <w:r>
              <w:rPr>
                <w:rFonts w:hint="default" w:ascii="Times New Roman" w:hAnsi="Times New Roman" w:eastAsia="宋体" w:cs="Times New Roman"/>
                <w:color w:val="auto"/>
              </w:rPr>
              <w:drawing>
                <wp:inline distT="0" distB="0" distL="114300" distR="114300">
                  <wp:extent cx="2664460" cy="1998980"/>
                  <wp:effectExtent l="0" t="0" r="2540" b="1270"/>
                  <wp:docPr id="10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3"/>
                          <pic:cNvPicPr>
                            <a:picLocks noChangeAspect="1"/>
                          </pic:cNvPicPr>
                        </pic:nvPicPr>
                        <pic:blipFill>
                          <a:blip r:embed="rId33"/>
                          <a:stretch>
                            <a:fillRect/>
                          </a:stretch>
                        </pic:blipFill>
                        <pic:spPr>
                          <a:xfrm>
                            <a:off x="0" y="0"/>
                            <a:ext cx="2664460" cy="1998980"/>
                          </a:xfrm>
                          <a:prstGeom prst="rect">
                            <a:avLst/>
                          </a:prstGeom>
                          <a:noFill/>
                          <a:ln>
                            <a:noFill/>
                          </a:ln>
                        </pic:spPr>
                      </pic:pic>
                    </a:graphicData>
                  </a:graphic>
                </wp:inline>
              </w:drawing>
            </w:r>
          </w:p>
        </w:tc>
      </w:tr>
    </w:tbl>
    <w:p w14:paraId="6DB23A06">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图6.6-1 管道沿线</w:t>
      </w:r>
      <w:r>
        <w:rPr>
          <w:rFonts w:hint="default" w:ascii="Times New Roman" w:hAnsi="Times New Roman" w:eastAsia="宋体" w:cs="Times New Roman"/>
          <w:color w:val="auto"/>
          <w:lang w:val="en-US" w:eastAsia="zh-CN"/>
        </w:rPr>
        <w:t>耕地段</w:t>
      </w:r>
      <w:r>
        <w:rPr>
          <w:rFonts w:hint="default" w:ascii="Times New Roman" w:hAnsi="Times New Roman" w:eastAsia="宋体" w:cs="Times New Roman"/>
          <w:color w:val="auto"/>
        </w:rPr>
        <w:t>生态恢复效果示意图</w:t>
      </w:r>
    </w:p>
    <w:p w14:paraId="243FD9C7">
      <w:pPr>
        <w:pStyle w:val="58"/>
        <w:rPr>
          <w:rFonts w:hint="default" w:ascii="Times New Roman" w:hAnsi="Times New Roman" w:eastAsia="宋体" w:cs="Times New Roman"/>
          <w:color w:val="auto"/>
        </w:rPr>
      </w:pPr>
    </w:p>
    <w:p w14:paraId="54B35704">
      <w:pPr>
        <w:spacing w:line="480" w:lineRule="exact"/>
        <w:ind w:firstLine="522" w:firstLineChars="200"/>
        <w:outlineLvl w:val="2"/>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6.6.2植被的影响</w:t>
      </w:r>
    </w:p>
    <w:p w14:paraId="0FBE517F">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color w:val="auto"/>
          <w:sz w:val="26"/>
          <w:szCs w:val="26"/>
        </w:rPr>
        <w:t>运</w:t>
      </w:r>
      <w:r>
        <w:rPr>
          <w:rFonts w:hint="default" w:ascii="Times New Roman" w:hAnsi="Times New Roman" w:eastAsia="宋体" w:cs="Times New Roman"/>
          <w:color w:val="auto"/>
          <w:sz w:val="26"/>
          <w:szCs w:val="26"/>
          <w:lang w:val="en-US" w:eastAsia="zh-CN"/>
        </w:rPr>
        <w:t>营</w:t>
      </w:r>
      <w:r>
        <w:rPr>
          <w:rFonts w:hint="default" w:ascii="Times New Roman" w:hAnsi="Times New Roman" w:eastAsia="宋体" w:cs="Times New Roman"/>
          <w:color w:val="auto"/>
          <w:sz w:val="26"/>
          <w:szCs w:val="26"/>
        </w:rPr>
        <w:t>期管线所经地区地表植被、农作物生长逐渐恢复正常。根据对已铺设管线进行的现场调查，调查表明，已铺设管线区域植被类型、物种组成，其生长状况与未铺设管线区域没有明显区别，说明管线输送对生态环境影响很轻，影响范围很小，是一种清洁的运输方式。因此，正常输气过程中，管线对地表植被基本无不良影响。</w:t>
      </w:r>
    </w:p>
    <w:p w14:paraId="0F63A4D4">
      <w:pPr>
        <w:spacing w:line="480" w:lineRule="exact"/>
        <w:ind w:firstLine="522" w:firstLineChars="200"/>
        <w:outlineLvl w:val="2"/>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6.6.3对动物的影响</w:t>
      </w:r>
    </w:p>
    <w:p w14:paraId="7FCA6F30">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管线建设完成后，全部埋在地下，地表覆土后，施工期造成的走廊带将在较短的1~2年内恢复为农田或被先锋植物抢占，逐渐形成灌草丛。管线</w:t>
      </w:r>
      <w:r>
        <w:rPr>
          <w:rFonts w:hint="default" w:ascii="Times New Roman" w:hAnsi="Times New Roman" w:eastAsia="宋体" w:cs="Times New Roman"/>
          <w:bCs/>
          <w:color w:val="auto"/>
          <w:sz w:val="26"/>
          <w:szCs w:val="26"/>
          <w:lang w:eastAsia="zh-CN"/>
        </w:rPr>
        <w:t>运营</w:t>
      </w:r>
      <w:r>
        <w:rPr>
          <w:rFonts w:hint="default" w:ascii="Times New Roman" w:hAnsi="Times New Roman" w:eastAsia="宋体" w:cs="Times New Roman"/>
          <w:bCs/>
          <w:color w:val="auto"/>
          <w:sz w:val="26"/>
          <w:szCs w:val="26"/>
        </w:rPr>
        <w:t>期不会影响或改变动物生存、繁衍的生态环境。由于管线采取埋设的方式，项目实施过程及运行期，在对临时占地开展有效的植被恢复措施后，不会侵占动物的栖息地和改变动物栖息地的环境，不存在阻隔种质交流；也不影响各类动物的活动、迁徙等。</w:t>
      </w:r>
    </w:p>
    <w:p w14:paraId="38EA1AF4">
      <w:pPr>
        <w:spacing w:line="480" w:lineRule="exact"/>
        <w:ind w:firstLine="522" w:firstLineChars="200"/>
        <w:outlineLvl w:val="2"/>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6.6.4小结</w:t>
      </w:r>
    </w:p>
    <w:p w14:paraId="5283AF02">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本项目管道运营期深埋于地下密闭输送净化天然气，对地面生态环境造成影响的影响极小。</w:t>
      </w:r>
    </w:p>
    <w:p w14:paraId="14377EA7">
      <w:pPr>
        <w:spacing w:line="480" w:lineRule="exact"/>
        <w:ind w:firstLine="520" w:firstLineChars="200"/>
        <w:rPr>
          <w:rFonts w:hint="default" w:ascii="Times New Roman" w:hAnsi="Times New Roman" w:eastAsia="宋体" w:cs="Times New Roman"/>
          <w:bCs/>
          <w:color w:val="auto"/>
          <w:sz w:val="26"/>
          <w:szCs w:val="26"/>
        </w:rPr>
      </w:pPr>
    </w:p>
    <w:p w14:paraId="73123616">
      <w:pPr>
        <w:spacing w:line="480" w:lineRule="exact"/>
        <w:ind w:firstLine="520" w:firstLineChars="200"/>
        <w:rPr>
          <w:rFonts w:hint="default" w:ascii="Times New Roman" w:hAnsi="Times New Roman" w:eastAsia="宋体" w:cs="Times New Roman"/>
          <w:bCs/>
          <w:color w:val="auto"/>
          <w:sz w:val="26"/>
          <w:szCs w:val="26"/>
        </w:rPr>
        <w:sectPr>
          <w:pgSz w:w="11906" w:h="16838"/>
          <w:pgMar w:top="1418" w:right="1588" w:bottom="1418" w:left="1588" w:header="851" w:footer="992" w:gutter="0"/>
          <w:pgBorders>
            <w:top w:val="none" w:sz="0" w:space="0"/>
            <w:left w:val="none" w:sz="0" w:space="0"/>
            <w:bottom w:val="none" w:sz="0" w:space="0"/>
            <w:right w:val="none" w:sz="0" w:space="0"/>
          </w:pgBorders>
          <w:cols w:space="720" w:num="1"/>
          <w:docGrid w:linePitch="312" w:charSpace="0"/>
        </w:sectPr>
      </w:pPr>
    </w:p>
    <w:p w14:paraId="4175525E">
      <w:pPr>
        <w:adjustRightInd w:val="0"/>
        <w:snapToGrid w:val="0"/>
        <w:spacing w:after="120" w:afterLines="50"/>
        <w:jc w:val="center"/>
        <w:outlineLvl w:val="0"/>
        <w:rPr>
          <w:rFonts w:hint="default" w:ascii="Times New Roman" w:hAnsi="Times New Roman" w:eastAsia="宋体" w:cs="Times New Roman"/>
          <w:b/>
          <w:color w:val="auto"/>
          <w:sz w:val="32"/>
          <w:szCs w:val="32"/>
        </w:rPr>
      </w:pPr>
      <w:bookmarkStart w:id="359" w:name="_Toc21450"/>
      <w:bookmarkStart w:id="360" w:name="_Toc60144415"/>
      <w:bookmarkStart w:id="361" w:name="_Toc45551100"/>
      <w:bookmarkStart w:id="362" w:name="_Toc30664"/>
      <w:r>
        <w:rPr>
          <w:rFonts w:hint="default" w:ascii="Times New Roman" w:hAnsi="Times New Roman" w:eastAsia="宋体" w:cs="Times New Roman"/>
          <w:b/>
          <w:color w:val="auto"/>
          <w:sz w:val="32"/>
          <w:szCs w:val="32"/>
        </w:rPr>
        <w:t>7环境风险评价</w:t>
      </w:r>
      <w:bookmarkEnd w:id="359"/>
      <w:bookmarkEnd w:id="360"/>
      <w:bookmarkEnd w:id="361"/>
      <w:bookmarkEnd w:id="362"/>
    </w:p>
    <w:p w14:paraId="493E9EDC">
      <w:pPr>
        <w:adjustRightInd w:val="0"/>
        <w:snapToGrid w:val="0"/>
        <w:spacing w:line="460" w:lineRule="exact"/>
        <w:ind w:firstLine="522"/>
        <w:outlineLvl w:val="1"/>
        <w:rPr>
          <w:rFonts w:hint="default" w:ascii="Times New Roman" w:hAnsi="Times New Roman" w:eastAsia="宋体" w:cs="Times New Roman"/>
          <w:b/>
          <w:color w:val="auto"/>
          <w:sz w:val="26"/>
          <w:szCs w:val="26"/>
        </w:rPr>
      </w:pPr>
      <w:bookmarkStart w:id="363" w:name="_Toc60144416"/>
      <w:bookmarkStart w:id="364" w:name="_Toc20695"/>
      <w:bookmarkStart w:id="365" w:name="_Toc15434"/>
      <w:bookmarkStart w:id="366" w:name="_Toc45551101"/>
      <w:r>
        <w:rPr>
          <w:rFonts w:hint="default" w:ascii="Times New Roman" w:hAnsi="Times New Roman" w:eastAsia="宋体" w:cs="Times New Roman"/>
          <w:b/>
          <w:color w:val="auto"/>
          <w:sz w:val="26"/>
          <w:szCs w:val="26"/>
        </w:rPr>
        <w:t>7.1环境风险评价等级</w:t>
      </w:r>
      <w:bookmarkEnd w:id="363"/>
      <w:bookmarkEnd w:id="364"/>
      <w:bookmarkEnd w:id="365"/>
    </w:p>
    <w:p w14:paraId="3D74F6F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（1）重点关注的危险物质及临界量</w:t>
      </w:r>
    </w:p>
    <w:p w14:paraId="3C1D83E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根据《建设项目环境风险评价技术导则》（HJ 169-2018）附录C，本项目管输介质为不含硫化氢的高纯度天然气，主要成分是甲烷，另有少量乙烷和丙烷，本次按照最不利情况以管道内全部天然气量为计算对象进行风险分析（甲烷、乙烷、丙烷的临界量要求均为10t）。</w:t>
      </w:r>
    </w:p>
    <w:p w14:paraId="352EB4F1">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（2）危险物质最大在线量和危险物质最大在线量与临界量比值（Q）</w:t>
      </w:r>
    </w:p>
    <w:p w14:paraId="58A8649B">
      <w:pPr>
        <w:pStyle w:val="56"/>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w:t>评价范围内天然气主要存在于管道和设备内。本项目为</w:t>
      </w:r>
      <w:r>
        <w:rPr>
          <w:rFonts w:hint="default" w:ascii="Times New Roman" w:hAnsi="Times New Roman" w:eastAsia="宋体" w:cs="Times New Roman"/>
          <w:color w:val="auto"/>
          <w:lang w:eastAsia="zh-CN"/>
        </w:rPr>
        <w:t>天然气管道改建工程</w:t>
      </w:r>
      <w:r>
        <w:rPr>
          <w:rFonts w:hint="default" w:ascii="Times New Roman" w:hAnsi="Times New Roman" w:eastAsia="宋体" w:cs="Times New Roman"/>
          <w:color w:val="auto"/>
        </w:rPr>
        <w:t>，改线管道置换范围为</w:t>
      </w:r>
      <w:r>
        <w:rPr>
          <w:rFonts w:hint="default" w:ascii="Times New Roman" w:hAnsi="Times New Roman" w:eastAsia="宋体" w:cs="Times New Roman"/>
          <w:color w:val="auto"/>
          <w:lang w:eastAsia="zh-CN"/>
        </w:rPr>
        <w:t>新盛站</w:t>
      </w:r>
      <w:r>
        <w:rPr>
          <w:rFonts w:hint="default" w:ascii="Times New Roman" w:hAnsi="Times New Roman" w:eastAsia="宋体" w:cs="Times New Roman"/>
          <w:color w:val="auto"/>
        </w:rPr>
        <w:t>和</w:t>
      </w:r>
      <w:r>
        <w:rPr>
          <w:rFonts w:hint="default" w:ascii="Times New Roman" w:hAnsi="Times New Roman" w:eastAsia="宋体" w:cs="Times New Roman"/>
          <w:color w:val="auto"/>
          <w:lang w:eastAsia="zh-CN"/>
        </w:rPr>
        <w:t>铁浅1井</w:t>
      </w:r>
      <w:r>
        <w:rPr>
          <w:rFonts w:hint="default" w:ascii="Times New Roman" w:hAnsi="Times New Roman" w:eastAsia="宋体" w:cs="Times New Roman"/>
          <w:color w:val="auto"/>
        </w:rPr>
        <w:t>之间，管线长</w:t>
      </w:r>
      <w:r>
        <w:rPr>
          <w:rFonts w:hint="default" w:ascii="Times New Roman" w:hAnsi="Times New Roman" w:eastAsia="宋体" w:cs="Times New Roman"/>
          <w:color w:val="auto"/>
          <w:lang w:val="en-US" w:eastAsia="zh-CN"/>
        </w:rPr>
        <w:t>16</w:t>
      </w:r>
      <w:r>
        <w:rPr>
          <w:rFonts w:hint="default" w:ascii="Times New Roman" w:hAnsi="Times New Roman" w:eastAsia="宋体" w:cs="Times New Roman"/>
          <w:color w:val="auto"/>
        </w:rPr>
        <w:t>km，设计压力为</w:t>
      </w:r>
      <w:r>
        <w:rPr>
          <w:rFonts w:hint="default" w:ascii="Times New Roman" w:hAnsi="Times New Roman" w:eastAsia="宋体" w:cs="Times New Roman"/>
          <w:color w:val="auto"/>
          <w:lang w:val="en-US" w:eastAsia="zh-CN"/>
        </w:rPr>
        <w:t>4.0</w:t>
      </w:r>
      <w:r>
        <w:rPr>
          <w:rFonts w:hint="default" w:ascii="Times New Roman" w:hAnsi="Times New Roman" w:eastAsia="宋体" w:cs="Times New Roman"/>
          <w:color w:val="auto"/>
        </w:rPr>
        <w:t>MPa，管径为D</w:t>
      </w:r>
      <w:r>
        <w:rPr>
          <w:rFonts w:hint="default" w:ascii="Times New Roman" w:hAnsi="Times New Roman" w:eastAsia="宋体" w:cs="Times New Roman"/>
          <w:color w:val="auto"/>
          <w:lang w:val="en-US" w:eastAsia="zh-CN"/>
        </w:rPr>
        <w:t>89×5</w:t>
      </w:r>
      <w:r>
        <w:rPr>
          <w:rFonts w:hint="default" w:ascii="Times New Roman" w:hAnsi="Times New Roman" w:eastAsia="宋体" w:cs="Times New Roman"/>
          <w:color w:val="auto"/>
        </w:rPr>
        <w:t>mm</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故本次评价以</w:t>
      </w:r>
      <w:r>
        <w:rPr>
          <w:rFonts w:hint="default" w:ascii="Times New Roman" w:hAnsi="Times New Roman" w:eastAsia="宋体" w:cs="Times New Roman"/>
          <w:color w:val="auto"/>
          <w:lang w:eastAsia="zh-CN"/>
        </w:rPr>
        <w:t>新盛站</w:t>
      </w:r>
      <w:r>
        <w:rPr>
          <w:rFonts w:hint="default" w:ascii="Times New Roman" w:hAnsi="Times New Roman" w:eastAsia="宋体" w:cs="Times New Roman"/>
          <w:color w:val="auto"/>
        </w:rPr>
        <w:t>和</w:t>
      </w:r>
      <w:r>
        <w:rPr>
          <w:rFonts w:hint="default" w:ascii="Times New Roman" w:hAnsi="Times New Roman" w:eastAsia="宋体" w:cs="Times New Roman"/>
          <w:color w:val="auto"/>
          <w:lang w:eastAsia="zh-CN"/>
        </w:rPr>
        <w:t>铁浅1井</w:t>
      </w:r>
      <w:r>
        <w:rPr>
          <w:rFonts w:hint="default" w:ascii="Times New Roman" w:hAnsi="Times New Roman" w:eastAsia="宋体" w:cs="Times New Roman"/>
          <w:color w:val="auto"/>
        </w:rPr>
        <w:t>之间的管线作为危险单元来计算最大在线量</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6"/>
          <w:szCs w:val="26"/>
        </w:rPr>
        <w:t>本项目危险单元内天然气总量计算公式如下：</w:t>
      </w:r>
    </w:p>
    <w:p w14:paraId="616EAB3A">
      <w:pPr>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对于理想气体，有：</w:t>
      </w:r>
    </w:p>
    <w:p w14:paraId="225C7C32">
      <w:pPr>
        <w:snapToGrid w:val="0"/>
        <w:spacing w:line="480" w:lineRule="exact"/>
        <w:ind w:firstLine="520" w:firstLineChars="20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PV=nRT</w:t>
      </w:r>
    </w:p>
    <w:p w14:paraId="00749088">
      <w:pPr>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式中：p为压强；V为体积；n为摩尔数，n=m/M，m为质量，M为摩尔质量；R为常量；T为绝对温度。</w:t>
      </w:r>
    </w:p>
    <w:p w14:paraId="7C13FCDB">
      <w:pPr>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根据质量公式有：</w:t>
      </w:r>
    </w:p>
    <w:p w14:paraId="0D9468E3">
      <w:pPr>
        <w:snapToGrid w:val="0"/>
        <w:spacing w:line="480" w:lineRule="exact"/>
        <w:ind w:firstLine="520" w:firstLineChars="20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ρ=m/V</w:t>
      </w:r>
    </w:p>
    <w:p w14:paraId="29A6622B">
      <w:pPr>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式中：ρ为密度，V为体积，m为质量。</w:t>
      </w:r>
    </w:p>
    <w:p w14:paraId="4A9DD08C">
      <w:pPr>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综合以上公式得出：ρ=mP/nRT=MP/RT。则有ρ/P=M/RT。</w:t>
      </w:r>
    </w:p>
    <w:p w14:paraId="217486DB">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6"/>
          <w:szCs w:val="26"/>
        </w:rPr>
        <w:t>根据该公式可知，同一种物质，同温度下，密度ρ和压力P成正比关系。标况下（101.325kPa），空气密度为1.293kg/m</w:t>
      </w:r>
      <w:r>
        <w:rPr>
          <w:rFonts w:hint="default" w:ascii="Times New Roman" w:hAnsi="Times New Roman" w:eastAsia="宋体" w:cs="Times New Roman"/>
          <w:color w:val="auto"/>
          <w:sz w:val="26"/>
          <w:szCs w:val="26"/>
          <w:vertAlign w:val="superscript"/>
        </w:rPr>
        <w:t>3</w:t>
      </w:r>
      <w:r>
        <w:rPr>
          <w:rFonts w:hint="default" w:ascii="Times New Roman" w:hAnsi="Times New Roman" w:eastAsia="宋体" w:cs="Times New Roman"/>
          <w:color w:val="auto"/>
          <w:sz w:val="26"/>
          <w:szCs w:val="26"/>
        </w:rPr>
        <w:t>，则1Mpa条件下，空气密度为12.761kg/m</w:t>
      </w:r>
      <w:r>
        <w:rPr>
          <w:rFonts w:hint="default" w:ascii="Times New Roman" w:hAnsi="Times New Roman" w:eastAsia="宋体" w:cs="Times New Roman"/>
          <w:color w:val="auto"/>
          <w:sz w:val="26"/>
          <w:szCs w:val="26"/>
          <w:vertAlign w:val="superscript"/>
        </w:rPr>
        <w:t>3</w:t>
      </w:r>
      <w:r>
        <w:rPr>
          <w:rFonts w:hint="default" w:ascii="Times New Roman" w:hAnsi="Times New Roman" w:eastAsia="宋体" w:cs="Times New Roman"/>
          <w:color w:val="auto"/>
          <w:sz w:val="26"/>
          <w:szCs w:val="26"/>
        </w:rPr>
        <w:t>。天然气相对空气的密度为0.5782，则在</w:t>
      </w:r>
      <w:r>
        <w:rPr>
          <w:rFonts w:hint="default" w:ascii="Times New Roman" w:hAnsi="Times New Roman" w:eastAsia="宋体" w:cs="Times New Roman"/>
          <w:color w:val="auto"/>
          <w:sz w:val="26"/>
          <w:szCs w:val="26"/>
          <w:lang w:val="en-US" w:eastAsia="zh-CN"/>
        </w:rPr>
        <w:t>4.0</w:t>
      </w:r>
      <w:r>
        <w:rPr>
          <w:rFonts w:hint="default" w:ascii="Times New Roman" w:hAnsi="Times New Roman" w:eastAsia="宋体" w:cs="Times New Roman"/>
          <w:color w:val="auto"/>
          <w:sz w:val="26"/>
          <w:szCs w:val="26"/>
        </w:rPr>
        <w:t>Mpa条件下，天然气密度为</w:t>
      </w:r>
      <w:r>
        <w:rPr>
          <w:rFonts w:hint="default" w:ascii="Times New Roman" w:hAnsi="Times New Roman" w:eastAsia="宋体" w:cs="Times New Roman"/>
          <w:color w:val="auto"/>
          <w:sz w:val="26"/>
          <w:szCs w:val="26"/>
          <w:lang w:val="en-US" w:eastAsia="zh-CN"/>
        </w:rPr>
        <w:t>29.51</w:t>
      </w:r>
      <w:r>
        <w:rPr>
          <w:rFonts w:hint="default" w:ascii="Times New Roman" w:hAnsi="Times New Roman" w:eastAsia="宋体" w:cs="Times New Roman"/>
          <w:color w:val="auto"/>
          <w:sz w:val="26"/>
          <w:szCs w:val="26"/>
        </w:rPr>
        <w:t>kg/m</w:t>
      </w:r>
      <w:r>
        <w:rPr>
          <w:rFonts w:hint="default" w:ascii="Times New Roman" w:hAnsi="Times New Roman" w:eastAsia="宋体" w:cs="Times New Roman"/>
          <w:color w:val="auto"/>
          <w:sz w:val="26"/>
          <w:szCs w:val="26"/>
          <w:vertAlign w:val="superscript"/>
        </w:rPr>
        <w:t>3</w:t>
      </w:r>
      <w:r>
        <w:rPr>
          <w:rFonts w:hint="default" w:ascii="Times New Roman" w:hAnsi="Times New Roman" w:eastAsia="宋体" w:cs="Times New Roman"/>
          <w:color w:val="auto"/>
          <w:sz w:val="26"/>
          <w:szCs w:val="26"/>
        </w:rPr>
        <w:t>。</w:t>
      </w:r>
    </w:p>
    <w:p w14:paraId="276BF30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其危险物质及最大在线量与临界量比值（Q）的统计情况详见下表7.1-1。</w:t>
      </w:r>
    </w:p>
    <w:p w14:paraId="45069B70">
      <w:pPr>
        <w:pStyle w:val="58"/>
        <w:rPr>
          <w:rFonts w:hint="default" w:ascii="Times New Roman" w:hAnsi="Times New Roman" w:eastAsia="宋体" w:cs="Times New Roman"/>
          <w:color w:val="auto"/>
        </w:rPr>
      </w:pPr>
    </w:p>
    <w:p w14:paraId="6FD2FD9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表7.1-1    本项目危险单元危险物质最大在线量统计表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70"/>
        <w:gridCol w:w="945"/>
        <w:gridCol w:w="1110"/>
        <w:gridCol w:w="1472"/>
        <w:gridCol w:w="1506"/>
        <w:gridCol w:w="2243"/>
      </w:tblGrid>
      <w:tr w14:paraId="53439F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3" w:type="pct"/>
            <w:noWrap w:val="0"/>
            <w:vAlign w:val="center"/>
          </w:tcPr>
          <w:p w14:paraId="0F4C5A91">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危险单元</w:t>
            </w:r>
          </w:p>
        </w:tc>
        <w:tc>
          <w:tcPr>
            <w:tcW w:w="528" w:type="pct"/>
            <w:noWrap w:val="0"/>
            <w:vAlign w:val="center"/>
          </w:tcPr>
          <w:p w14:paraId="603B9CF2">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长度（km）</w:t>
            </w:r>
          </w:p>
        </w:tc>
        <w:tc>
          <w:tcPr>
            <w:tcW w:w="620" w:type="pct"/>
            <w:noWrap w:val="0"/>
            <w:vAlign w:val="center"/>
          </w:tcPr>
          <w:p w14:paraId="1000D2E2">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设计压力MPa</w:t>
            </w:r>
          </w:p>
        </w:tc>
        <w:tc>
          <w:tcPr>
            <w:tcW w:w="822" w:type="pct"/>
            <w:noWrap w:val="0"/>
            <w:vAlign w:val="center"/>
          </w:tcPr>
          <w:p w14:paraId="66B90201">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管道直径</w:t>
            </w:r>
          </w:p>
        </w:tc>
        <w:tc>
          <w:tcPr>
            <w:tcW w:w="841" w:type="pct"/>
            <w:noWrap w:val="0"/>
            <w:vAlign w:val="center"/>
          </w:tcPr>
          <w:p w14:paraId="18A10455">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最大在线量q</w:t>
            </w:r>
            <w:r>
              <w:rPr>
                <w:rFonts w:hint="default" w:ascii="Times New Roman" w:hAnsi="Times New Roman" w:eastAsia="宋体" w:cs="Times New Roman"/>
                <w:color w:val="auto"/>
                <w:vertAlign w:val="subscript"/>
              </w:rPr>
              <w:t>1</w:t>
            </w:r>
            <w:r>
              <w:rPr>
                <w:rFonts w:hint="default" w:ascii="Times New Roman" w:hAnsi="Times New Roman" w:eastAsia="宋体" w:cs="Times New Roman"/>
                <w:color w:val="auto"/>
              </w:rPr>
              <w:t>（t）</w:t>
            </w:r>
          </w:p>
        </w:tc>
        <w:tc>
          <w:tcPr>
            <w:tcW w:w="1253" w:type="pct"/>
            <w:noWrap w:val="0"/>
            <w:vAlign w:val="center"/>
          </w:tcPr>
          <w:p w14:paraId="3BDCA4A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最大在线量与临界量的比值Q</w:t>
            </w:r>
          </w:p>
        </w:tc>
      </w:tr>
      <w:tr w14:paraId="0F7F21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3" w:type="pct"/>
            <w:noWrap w:val="0"/>
            <w:vAlign w:val="center"/>
          </w:tcPr>
          <w:p w14:paraId="2D2AE7B6">
            <w:pPr>
              <w:pStyle w:val="6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新盛站</w:t>
            </w:r>
            <w:r>
              <w:rPr>
                <w:rFonts w:hint="default" w:ascii="Times New Roman" w:hAnsi="Times New Roman" w:eastAsia="宋体" w:cs="Times New Roman"/>
                <w:color w:val="auto"/>
              </w:rPr>
              <w:t>至</w:t>
            </w:r>
            <w:r>
              <w:rPr>
                <w:rFonts w:hint="default" w:ascii="Times New Roman" w:hAnsi="Times New Roman" w:eastAsia="宋体" w:cs="Times New Roman"/>
                <w:color w:val="auto"/>
                <w:lang w:eastAsia="zh-CN"/>
              </w:rPr>
              <w:t>铁浅1井</w:t>
            </w:r>
          </w:p>
        </w:tc>
        <w:tc>
          <w:tcPr>
            <w:tcW w:w="528" w:type="pct"/>
            <w:noWrap w:val="0"/>
            <w:vAlign w:val="center"/>
          </w:tcPr>
          <w:p w14:paraId="6C89B7B1">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w:t>
            </w:r>
          </w:p>
        </w:tc>
        <w:tc>
          <w:tcPr>
            <w:tcW w:w="620" w:type="pct"/>
            <w:noWrap w:val="0"/>
            <w:vAlign w:val="center"/>
          </w:tcPr>
          <w:p w14:paraId="56C354E2">
            <w:pPr>
              <w:pStyle w:val="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822" w:type="pct"/>
            <w:noWrap w:val="0"/>
            <w:vAlign w:val="center"/>
          </w:tcPr>
          <w:p w14:paraId="29FC1AD9">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DN</w:t>
            </w:r>
            <w:r>
              <w:rPr>
                <w:rFonts w:hint="default" w:ascii="Times New Roman" w:hAnsi="Times New Roman" w:eastAsia="宋体" w:cs="Times New Roman"/>
                <w:color w:val="auto"/>
                <w:lang w:val="en-US" w:eastAsia="zh-CN"/>
              </w:rPr>
              <w:t>89×5</w:t>
            </w:r>
          </w:p>
        </w:tc>
        <w:tc>
          <w:tcPr>
            <w:tcW w:w="841" w:type="pct"/>
            <w:noWrap w:val="0"/>
            <w:vAlign w:val="center"/>
          </w:tcPr>
          <w:p w14:paraId="3E75F0BF">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2.31</w:t>
            </w:r>
          </w:p>
        </w:tc>
        <w:tc>
          <w:tcPr>
            <w:tcW w:w="1253" w:type="pct"/>
            <w:noWrap w:val="0"/>
            <w:vAlign w:val="center"/>
          </w:tcPr>
          <w:p w14:paraId="2D7209EB">
            <w:pPr>
              <w:pStyle w:val="6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0.231</w:t>
            </w:r>
          </w:p>
        </w:tc>
      </w:tr>
    </w:tbl>
    <w:p w14:paraId="3E23EF05">
      <w:pPr>
        <w:pStyle w:val="58"/>
        <w:rPr>
          <w:rFonts w:hint="default" w:ascii="Times New Roman" w:hAnsi="Times New Roman" w:eastAsia="宋体" w:cs="Times New Roman"/>
          <w:color w:val="auto"/>
        </w:rPr>
      </w:pPr>
    </w:p>
    <w:p w14:paraId="2E115619">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根据导则附录C相关计算方法，项目危险物质最大在线量与临界量的比值1&lt;Q</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本项目环境风险潜势为Ⅰ</w:t>
      </w:r>
      <w:r>
        <w:rPr>
          <w:rFonts w:hint="default" w:ascii="Times New Roman" w:hAnsi="Times New Roman" w:eastAsia="宋体" w:cs="Times New Roman"/>
          <w:color w:val="auto"/>
          <w:sz w:val="26"/>
          <w:szCs w:val="26"/>
        </w:rPr>
        <w:t>。</w:t>
      </w:r>
      <w:bookmarkStart w:id="367" w:name="_Toc23130"/>
      <w:bookmarkStart w:id="368" w:name="_Toc60144417"/>
    </w:p>
    <w:p w14:paraId="07ABF08E">
      <w:pPr>
        <w:adjustRightInd w:val="0"/>
        <w:snapToGrid w:val="0"/>
        <w:spacing w:line="460" w:lineRule="exact"/>
        <w:ind w:firstLine="520" w:firstLineChars="20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rPr>
        <w:t>环境风险评价工作等级划分为一级、二级、三级</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简单分析</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由表7.1-2可知，</w:t>
      </w:r>
      <w:r>
        <w:rPr>
          <w:rFonts w:hint="default" w:ascii="Times New Roman" w:hAnsi="Times New Roman" w:eastAsia="宋体" w:cs="Times New Roman"/>
          <w:color w:val="auto"/>
          <w:sz w:val="26"/>
          <w:szCs w:val="26"/>
        </w:rPr>
        <w:t>环境风险潜势为</w:t>
      </w:r>
      <w:r>
        <w:rPr>
          <w:rFonts w:hint="default" w:ascii="Times New Roman" w:hAnsi="Times New Roman" w:eastAsia="宋体" w:cs="Times New Roman"/>
          <w:color w:val="auto"/>
          <w:sz w:val="26"/>
          <w:szCs w:val="26"/>
          <w:lang w:val="en-US" w:eastAsia="zh-CN"/>
        </w:rPr>
        <w:t>Ⅰ</w:t>
      </w:r>
      <w:r>
        <w:rPr>
          <w:rFonts w:hint="default" w:ascii="Times New Roman" w:hAnsi="Times New Roman" w:eastAsia="宋体" w:cs="Times New Roman"/>
          <w:color w:val="auto"/>
          <w:sz w:val="26"/>
          <w:szCs w:val="26"/>
        </w:rPr>
        <w:t>，确定环境风险评价等级为</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简单分析”</w:t>
      </w:r>
      <w:r>
        <w:rPr>
          <w:rFonts w:hint="default" w:ascii="Times New Roman" w:hAnsi="Times New Roman" w:eastAsia="宋体" w:cs="Times New Roman"/>
          <w:color w:val="auto"/>
          <w:sz w:val="26"/>
          <w:szCs w:val="26"/>
          <w:lang w:eastAsia="zh-CN"/>
        </w:rPr>
        <w:t>。</w:t>
      </w:r>
    </w:p>
    <w:p w14:paraId="3E740E6C">
      <w:pPr>
        <w:keepNext w:val="0"/>
        <w:keepLines w:val="0"/>
        <w:pageBreakBefore w:val="0"/>
        <w:widowControl/>
        <w:kinsoku/>
        <w:wordWrap/>
        <w:overflowPunct/>
        <w:topLinePunct w:val="0"/>
        <w:autoSpaceDE/>
        <w:autoSpaceDN/>
        <w:bidi w:val="0"/>
        <w:adjustRightInd/>
        <w:snapToGrid w:val="0"/>
        <w:ind w:firstLine="0" w:firstLineChars="0"/>
        <w:jc w:val="left"/>
        <w:textAlignment w:val="auto"/>
        <w:rPr>
          <w:rFonts w:hint="default" w:ascii="Times New Roman" w:hAnsi="Times New Roman" w:eastAsia="宋体" w:cs="Times New Roman"/>
          <w:color w:val="auto"/>
          <w:sz w:val="21"/>
          <w:szCs w:val="21"/>
          <w:highlight w:val="none"/>
        </w:rPr>
      </w:pPr>
    </w:p>
    <w:p w14:paraId="55EC3811">
      <w:pPr>
        <w:pStyle w:val="58"/>
        <w:rPr>
          <w:rFonts w:hint="default" w:ascii="Times New Roman" w:hAnsi="Times New Roman" w:eastAsia="宋体" w:cs="Times New Roman"/>
          <w:b/>
          <w:color w:val="auto"/>
        </w:rPr>
      </w:pPr>
      <w:r>
        <w:rPr>
          <w:rFonts w:hint="default" w:ascii="Times New Roman" w:hAnsi="Times New Roman" w:eastAsia="宋体" w:cs="Times New Roman"/>
          <w:b/>
          <w:color w:val="auto"/>
        </w:rPr>
        <w:t>表7.</w:t>
      </w:r>
      <w:r>
        <w:rPr>
          <w:rFonts w:hint="default" w:ascii="Times New Roman" w:hAnsi="Times New Roman" w:eastAsia="宋体" w:cs="Times New Roman"/>
          <w:b/>
          <w:color w:val="auto"/>
          <w:lang w:val="en-US" w:eastAsia="zh-CN"/>
        </w:rPr>
        <w:t>1</w:t>
      </w:r>
      <w:r>
        <w:rPr>
          <w:rFonts w:hint="default" w:ascii="Times New Roman" w:hAnsi="Times New Roman" w:eastAsia="宋体" w:cs="Times New Roman"/>
          <w:b/>
          <w:color w:val="auto"/>
        </w:rPr>
        <w:t>-</w:t>
      </w:r>
      <w:r>
        <w:rPr>
          <w:rFonts w:hint="default" w:ascii="Times New Roman" w:hAnsi="Times New Roman" w:eastAsia="宋体" w:cs="Times New Roman"/>
          <w:b/>
          <w:color w:val="auto"/>
          <w:lang w:val="en-US" w:eastAsia="zh-CN"/>
        </w:rPr>
        <w:t xml:space="preserve">2 </w:t>
      </w:r>
      <w:r>
        <w:rPr>
          <w:rFonts w:hint="default" w:ascii="Times New Roman" w:hAnsi="Times New Roman" w:eastAsia="宋体" w:cs="Times New Roman"/>
          <w:b/>
          <w:color w:val="auto"/>
        </w:rPr>
        <w:t>评价工作等级划分依据</w:t>
      </w:r>
    </w:p>
    <w:tbl>
      <w:tblPr>
        <w:tblStyle w:val="29"/>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9"/>
        <w:gridCol w:w="1532"/>
        <w:gridCol w:w="1532"/>
        <w:gridCol w:w="1532"/>
        <w:gridCol w:w="1533"/>
      </w:tblGrid>
      <w:tr w14:paraId="6763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0" w:type="dxa"/>
            <w:shd w:val="clear" w:color="auto" w:fill="auto"/>
            <w:noWrap w:val="0"/>
            <w:vAlign w:val="center"/>
          </w:tcPr>
          <w:p w14:paraId="43783362">
            <w:pPr>
              <w:autoSpaceDE w:val="0"/>
              <w:autoSpaceDN w:val="0"/>
              <w:adjustRightInd w:val="0"/>
              <w:snapToGrid w:val="0"/>
              <w:ind w:left="-120" w:leftChars="-50" w:right="-120" w:rightChars="-5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环境风险潜势</w:t>
            </w:r>
          </w:p>
        </w:tc>
        <w:tc>
          <w:tcPr>
            <w:tcW w:w="1532" w:type="dxa"/>
            <w:shd w:val="clear" w:color="auto" w:fill="auto"/>
            <w:noWrap w:val="0"/>
            <w:vAlign w:val="center"/>
          </w:tcPr>
          <w:p w14:paraId="090263F2">
            <w:pPr>
              <w:autoSpaceDE w:val="0"/>
              <w:autoSpaceDN w:val="0"/>
              <w:adjustRightInd w:val="0"/>
              <w:snapToGrid w:val="0"/>
              <w:ind w:left="-120" w:leftChars="-50" w:right="-120" w:rightChars="-50"/>
              <w:jc w:val="center"/>
              <w:rPr>
                <w:rFonts w:hint="default" w:ascii="Times New Roman" w:hAnsi="Times New Roman" w:eastAsia="宋体" w:cs="Times New Roman"/>
                <w:b w:val="0"/>
                <w:bCs w:val="0"/>
                <w:color w:val="auto"/>
                <w:sz w:val="22"/>
                <w:szCs w:val="22"/>
                <w:highlight w:val="none"/>
              </w:rPr>
            </w:pPr>
            <w:r>
              <w:rPr>
                <w:rFonts w:hint="default" w:ascii="Times New Roman" w:hAnsi="Times New Roman" w:eastAsia="宋体" w:cs="Times New Roman"/>
                <w:b w:val="0"/>
                <w:bCs w:val="0"/>
                <w:color w:val="auto"/>
                <w:sz w:val="22"/>
                <w:szCs w:val="22"/>
                <w:highlight w:val="none"/>
              </w:rPr>
              <w:t>Ⅳ、Ⅳ</w:t>
            </w:r>
            <w:r>
              <w:rPr>
                <w:rFonts w:hint="default" w:ascii="Times New Roman" w:hAnsi="Times New Roman" w:eastAsia="宋体" w:cs="Times New Roman"/>
                <w:b w:val="0"/>
                <w:bCs w:val="0"/>
                <w:color w:val="auto"/>
                <w:sz w:val="22"/>
                <w:szCs w:val="22"/>
                <w:highlight w:val="none"/>
                <w:vertAlign w:val="superscript"/>
              </w:rPr>
              <w:t>+</w:t>
            </w:r>
          </w:p>
        </w:tc>
        <w:tc>
          <w:tcPr>
            <w:tcW w:w="1532" w:type="dxa"/>
            <w:shd w:val="clear" w:color="auto" w:fill="auto"/>
            <w:noWrap w:val="0"/>
            <w:vAlign w:val="center"/>
          </w:tcPr>
          <w:p w14:paraId="0AFDA53E">
            <w:pPr>
              <w:autoSpaceDE w:val="0"/>
              <w:autoSpaceDN w:val="0"/>
              <w:adjustRightInd w:val="0"/>
              <w:snapToGrid w:val="0"/>
              <w:ind w:left="-120" w:leftChars="-50" w:right="-120" w:rightChars="-5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Ⅲ</w:t>
            </w:r>
          </w:p>
        </w:tc>
        <w:tc>
          <w:tcPr>
            <w:tcW w:w="1532" w:type="dxa"/>
            <w:shd w:val="clear" w:color="auto" w:fill="auto"/>
            <w:noWrap w:val="0"/>
            <w:vAlign w:val="center"/>
          </w:tcPr>
          <w:p w14:paraId="20F13221">
            <w:pPr>
              <w:autoSpaceDE w:val="0"/>
              <w:autoSpaceDN w:val="0"/>
              <w:adjustRightInd w:val="0"/>
              <w:snapToGrid w:val="0"/>
              <w:ind w:left="-120" w:leftChars="-50" w:right="-120" w:rightChars="-50"/>
              <w:jc w:val="center"/>
              <w:rPr>
                <w:rFonts w:hint="default" w:ascii="Times New Roman" w:hAnsi="Times New Roman" w:eastAsia="宋体" w:cs="Times New Roman"/>
                <w:b w:val="0"/>
                <w:bCs w:val="0"/>
                <w:color w:val="auto"/>
                <w:sz w:val="22"/>
                <w:szCs w:val="22"/>
                <w:highlight w:val="none"/>
              </w:rPr>
            </w:pPr>
            <w:r>
              <w:rPr>
                <w:rFonts w:hint="default" w:ascii="Times New Roman" w:hAnsi="Times New Roman" w:eastAsia="宋体" w:cs="Times New Roman"/>
                <w:b w:val="0"/>
                <w:bCs w:val="0"/>
                <w:color w:val="auto"/>
                <w:sz w:val="22"/>
                <w:szCs w:val="22"/>
                <w:highlight w:val="none"/>
              </w:rPr>
              <w:t>Ⅱ</w:t>
            </w:r>
          </w:p>
        </w:tc>
        <w:tc>
          <w:tcPr>
            <w:tcW w:w="1532" w:type="dxa"/>
            <w:shd w:val="clear" w:color="auto" w:fill="D7D7D7"/>
            <w:noWrap w:val="0"/>
            <w:vAlign w:val="center"/>
          </w:tcPr>
          <w:p w14:paraId="795CA493">
            <w:pPr>
              <w:autoSpaceDE w:val="0"/>
              <w:autoSpaceDN w:val="0"/>
              <w:adjustRightInd w:val="0"/>
              <w:snapToGrid w:val="0"/>
              <w:ind w:left="-120" w:leftChars="-50" w:right="-120" w:rightChars="-50"/>
              <w:jc w:val="center"/>
              <w:rPr>
                <w:rFonts w:hint="default" w:ascii="Times New Roman" w:hAnsi="Times New Roman" w:eastAsia="宋体" w:cs="Times New Roman"/>
                <w:b w:val="0"/>
                <w:bCs w:val="0"/>
                <w:color w:val="auto"/>
                <w:sz w:val="22"/>
                <w:szCs w:val="22"/>
                <w:highlight w:val="none"/>
              </w:rPr>
            </w:pPr>
            <w:r>
              <w:rPr>
                <w:rFonts w:hint="default" w:ascii="Times New Roman" w:hAnsi="Times New Roman" w:eastAsia="宋体" w:cs="Times New Roman"/>
                <w:b w:val="0"/>
                <w:bCs w:val="0"/>
                <w:color w:val="auto"/>
                <w:sz w:val="22"/>
                <w:szCs w:val="22"/>
                <w:highlight w:val="none"/>
              </w:rPr>
              <w:t>Ⅰ</w:t>
            </w:r>
          </w:p>
        </w:tc>
      </w:tr>
      <w:tr w14:paraId="0B92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0" w:type="dxa"/>
            <w:shd w:val="clear" w:color="auto" w:fill="auto"/>
            <w:noWrap w:val="0"/>
            <w:vAlign w:val="center"/>
          </w:tcPr>
          <w:p w14:paraId="783FE5B2">
            <w:pPr>
              <w:autoSpaceDE w:val="0"/>
              <w:autoSpaceDN w:val="0"/>
              <w:adjustRightInd w:val="0"/>
              <w:snapToGrid w:val="0"/>
              <w:ind w:left="-120" w:leftChars="-50" w:right="-120" w:rightChars="-5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评价工作等级</w:t>
            </w:r>
          </w:p>
        </w:tc>
        <w:tc>
          <w:tcPr>
            <w:tcW w:w="1532" w:type="dxa"/>
            <w:shd w:val="clear" w:color="auto" w:fill="auto"/>
            <w:noWrap w:val="0"/>
            <w:vAlign w:val="center"/>
          </w:tcPr>
          <w:p w14:paraId="73A95B96">
            <w:pPr>
              <w:autoSpaceDE w:val="0"/>
              <w:autoSpaceDN w:val="0"/>
              <w:adjustRightInd w:val="0"/>
              <w:snapToGrid w:val="0"/>
              <w:ind w:left="-120" w:leftChars="-50" w:right="-120" w:rightChars="-50"/>
              <w:jc w:val="center"/>
              <w:rPr>
                <w:rFonts w:hint="default" w:ascii="Times New Roman" w:hAnsi="Times New Roman" w:eastAsia="宋体" w:cs="Times New Roman"/>
                <w:b w:val="0"/>
                <w:bCs w:val="0"/>
                <w:color w:val="auto"/>
                <w:sz w:val="22"/>
                <w:szCs w:val="22"/>
                <w:highlight w:val="none"/>
              </w:rPr>
            </w:pPr>
            <w:r>
              <w:rPr>
                <w:rFonts w:hint="default" w:ascii="Times New Roman" w:hAnsi="Times New Roman" w:eastAsia="宋体" w:cs="Times New Roman"/>
                <w:b w:val="0"/>
                <w:bCs w:val="0"/>
                <w:color w:val="auto"/>
                <w:sz w:val="22"/>
                <w:szCs w:val="22"/>
                <w:highlight w:val="none"/>
              </w:rPr>
              <w:t>一</w:t>
            </w:r>
          </w:p>
        </w:tc>
        <w:tc>
          <w:tcPr>
            <w:tcW w:w="1532" w:type="dxa"/>
            <w:shd w:val="clear" w:color="auto" w:fill="auto"/>
            <w:noWrap w:val="0"/>
            <w:vAlign w:val="center"/>
          </w:tcPr>
          <w:p w14:paraId="0AECF976">
            <w:pPr>
              <w:autoSpaceDE w:val="0"/>
              <w:autoSpaceDN w:val="0"/>
              <w:adjustRightInd w:val="0"/>
              <w:snapToGrid w:val="0"/>
              <w:ind w:left="-120" w:leftChars="-50" w:right="-120" w:rightChars="-5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二</w:t>
            </w:r>
          </w:p>
        </w:tc>
        <w:tc>
          <w:tcPr>
            <w:tcW w:w="1532" w:type="dxa"/>
            <w:shd w:val="clear" w:color="auto" w:fill="auto"/>
            <w:noWrap w:val="0"/>
            <w:vAlign w:val="center"/>
          </w:tcPr>
          <w:p w14:paraId="6BBEA1D1">
            <w:pPr>
              <w:autoSpaceDE w:val="0"/>
              <w:autoSpaceDN w:val="0"/>
              <w:adjustRightInd w:val="0"/>
              <w:snapToGrid w:val="0"/>
              <w:ind w:left="-120" w:leftChars="-50" w:right="-120" w:rightChars="-50"/>
              <w:jc w:val="center"/>
              <w:rPr>
                <w:rFonts w:hint="default" w:ascii="Times New Roman" w:hAnsi="Times New Roman" w:eastAsia="宋体" w:cs="Times New Roman"/>
                <w:b w:val="0"/>
                <w:bCs w:val="0"/>
                <w:color w:val="auto"/>
                <w:sz w:val="22"/>
                <w:szCs w:val="22"/>
                <w:highlight w:val="none"/>
              </w:rPr>
            </w:pPr>
            <w:r>
              <w:rPr>
                <w:rFonts w:hint="default" w:ascii="Times New Roman" w:hAnsi="Times New Roman" w:eastAsia="宋体" w:cs="Times New Roman"/>
                <w:b w:val="0"/>
                <w:bCs w:val="0"/>
                <w:color w:val="auto"/>
                <w:sz w:val="22"/>
                <w:szCs w:val="22"/>
                <w:highlight w:val="none"/>
              </w:rPr>
              <w:t>三</w:t>
            </w:r>
          </w:p>
        </w:tc>
        <w:tc>
          <w:tcPr>
            <w:tcW w:w="1532" w:type="dxa"/>
            <w:shd w:val="clear" w:color="auto" w:fill="D7D7D7"/>
            <w:noWrap w:val="0"/>
            <w:vAlign w:val="center"/>
          </w:tcPr>
          <w:p w14:paraId="67895928">
            <w:pPr>
              <w:autoSpaceDE w:val="0"/>
              <w:autoSpaceDN w:val="0"/>
              <w:adjustRightInd w:val="0"/>
              <w:snapToGrid w:val="0"/>
              <w:ind w:left="-120" w:leftChars="-50" w:right="-120" w:rightChars="-50"/>
              <w:jc w:val="center"/>
              <w:rPr>
                <w:rFonts w:hint="default" w:ascii="Times New Roman" w:hAnsi="Times New Roman" w:eastAsia="宋体" w:cs="Times New Roman"/>
                <w:b w:val="0"/>
                <w:bCs w:val="0"/>
                <w:color w:val="auto"/>
                <w:sz w:val="22"/>
                <w:szCs w:val="22"/>
                <w:highlight w:val="none"/>
                <w:lang w:val="en-US" w:eastAsia="zh-CN"/>
              </w:rPr>
            </w:pPr>
            <w:r>
              <w:rPr>
                <w:rFonts w:hint="default" w:ascii="Times New Roman" w:hAnsi="Times New Roman" w:eastAsia="宋体" w:cs="Times New Roman"/>
                <w:b w:val="0"/>
                <w:bCs w:val="0"/>
                <w:color w:val="auto"/>
                <w:sz w:val="22"/>
                <w:szCs w:val="22"/>
                <w:highlight w:val="none"/>
              </w:rPr>
              <w:t>简单分析</w:t>
            </w:r>
            <w:r>
              <w:rPr>
                <w:rFonts w:hint="default" w:ascii="Times New Roman" w:hAnsi="Times New Roman" w:eastAsia="宋体" w:cs="Times New Roman"/>
                <w:b w:val="0"/>
                <w:bCs w:val="0"/>
                <w:color w:val="auto"/>
                <w:sz w:val="22"/>
                <w:szCs w:val="22"/>
                <w:highlight w:val="none"/>
                <w:vertAlign w:val="superscript"/>
                <w:lang w:val="en-US" w:eastAsia="zh-CN"/>
              </w:rPr>
              <w:t>a</w:t>
            </w:r>
          </w:p>
        </w:tc>
      </w:tr>
      <w:tr w14:paraId="24FC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9" w:type="dxa"/>
            <w:gridSpan w:val="5"/>
            <w:noWrap w:val="0"/>
            <w:vAlign w:val="center"/>
          </w:tcPr>
          <w:p w14:paraId="65BE32B7">
            <w:pPr>
              <w:autoSpaceDE w:val="0"/>
              <w:autoSpaceDN w:val="0"/>
              <w:spacing w:line="240" w:lineRule="auto"/>
              <w:ind w:firstLine="0" w:firstLineChars="0"/>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vertAlign w:val="superscript"/>
              </w:rPr>
              <w:t>a</w:t>
            </w:r>
            <w:r>
              <w:rPr>
                <w:rFonts w:hint="default" w:ascii="Times New Roman" w:hAnsi="Times New Roman" w:eastAsia="宋体" w:cs="Times New Roman"/>
                <w:color w:val="auto"/>
                <w:sz w:val="22"/>
                <w:szCs w:val="22"/>
                <w:highlight w:val="none"/>
              </w:rPr>
              <w:t>是相对于详细评价工作内容而言，在描述危险物质、环境影响途径、环境危害后果、风险防范措施等方面给出定性的说明。</w:t>
            </w:r>
          </w:p>
        </w:tc>
      </w:tr>
    </w:tbl>
    <w:p w14:paraId="01A1A3CF">
      <w:pPr>
        <w:keepNext w:val="0"/>
        <w:keepLines w:val="0"/>
        <w:pageBreakBefore w:val="0"/>
        <w:widowControl/>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z w:val="26"/>
          <w:szCs w:val="26"/>
          <w:highlight w:val="none"/>
        </w:rPr>
      </w:pPr>
    </w:p>
    <w:p w14:paraId="5E9AFFA3">
      <w:pPr>
        <w:adjustRightInd w:val="0"/>
        <w:snapToGrid w:val="0"/>
        <w:spacing w:line="460" w:lineRule="exact"/>
        <w:ind w:firstLine="522"/>
        <w:outlineLvl w:val="1"/>
        <w:rPr>
          <w:rFonts w:hint="default" w:ascii="Times New Roman" w:hAnsi="Times New Roman" w:eastAsia="宋体" w:cs="Times New Roman"/>
          <w:b/>
          <w:color w:val="auto"/>
          <w:sz w:val="26"/>
          <w:szCs w:val="26"/>
        </w:rPr>
      </w:pPr>
      <w:bookmarkStart w:id="369" w:name="_Toc28088"/>
      <w:r>
        <w:rPr>
          <w:rFonts w:hint="default" w:ascii="Times New Roman" w:hAnsi="Times New Roman" w:eastAsia="宋体" w:cs="Times New Roman"/>
          <w:b/>
          <w:color w:val="auto"/>
          <w:sz w:val="26"/>
          <w:szCs w:val="26"/>
        </w:rPr>
        <w:t>7.2环境风险识别</w:t>
      </w:r>
      <w:bookmarkEnd w:id="366"/>
      <w:bookmarkEnd w:id="367"/>
      <w:bookmarkEnd w:id="368"/>
      <w:bookmarkEnd w:id="369"/>
    </w:p>
    <w:p w14:paraId="3DEE0E5F">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7.2.1物质危险性识别</w:t>
      </w:r>
    </w:p>
    <w:p w14:paraId="640D274B">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本工程输送天然气为净化处理后的天然气，不含硫化氢，其主要成分为甲烷，按照《建设项目环境风险评价技术导则》（HJ169-2018），甲烷属于危险物质，</w:t>
      </w:r>
      <w:r>
        <w:rPr>
          <w:rFonts w:hint="default" w:ascii="Times New Roman" w:hAnsi="Times New Roman" w:eastAsia="宋体" w:cs="Times New Roman"/>
          <w:color w:val="auto"/>
          <w:sz w:val="26"/>
          <w:szCs w:val="26"/>
          <w:shd w:val="clear" w:fill="FFFFFF"/>
        </w:rPr>
        <w:t>查导</w:t>
      </w:r>
      <w:r>
        <w:rPr>
          <w:rFonts w:hint="default" w:ascii="Times New Roman" w:hAnsi="Times New Roman" w:eastAsia="宋体" w:cs="Times New Roman"/>
          <w:color w:val="auto"/>
          <w:sz w:val="26"/>
          <w:szCs w:val="26"/>
        </w:rPr>
        <w:t>则附录H可知，其大气毒性终点浓度-1为260000mg/m</w:t>
      </w:r>
      <w:r>
        <w:rPr>
          <w:rFonts w:hint="default" w:ascii="Times New Roman" w:hAnsi="Times New Roman" w:eastAsia="宋体" w:cs="Times New Roman"/>
          <w:color w:val="auto"/>
          <w:sz w:val="26"/>
          <w:szCs w:val="26"/>
          <w:vertAlign w:val="superscript"/>
        </w:rPr>
        <w:t>3</w:t>
      </w:r>
      <w:r>
        <w:rPr>
          <w:rFonts w:hint="default" w:ascii="Times New Roman" w:hAnsi="Times New Roman" w:eastAsia="宋体" w:cs="Times New Roman"/>
          <w:color w:val="auto"/>
          <w:sz w:val="26"/>
          <w:szCs w:val="26"/>
        </w:rPr>
        <w:t>，大气毒性终点浓度-2为150000mg/m</w:t>
      </w:r>
      <w:r>
        <w:rPr>
          <w:rFonts w:hint="default" w:ascii="Times New Roman" w:hAnsi="Times New Roman" w:eastAsia="宋体" w:cs="Times New Roman"/>
          <w:color w:val="auto"/>
          <w:sz w:val="26"/>
          <w:szCs w:val="26"/>
          <w:vertAlign w:val="superscript"/>
        </w:rPr>
        <w:t>3</w:t>
      </w:r>
      <w:r>
        <w:rPr>
          <w:rFonts w:hint="default" w:ascii="Times New Roman" w:hAnsi="Times New Roman" w:eastAsia="宋体" w:cs="Times New Roman"/>
          <w:color w:val="auto"/>
          <w:sz w:val="26"/>
          <w:szCs w:val="26"/>
        </w:rPr>
        <w:t>。同时，甲烷泄漏后与空气组成混合气体，其浓度处于一定范围时，遇火易发生燃烧或爆炸。甲烷的特性见下表。</w:t>
      </w:r>
    </w:p>
    <w:p w14:paraId="0F5D40E3">
      <w:pPr>
        <w:pStyle w:val="58"/>
        <w:rPr>
          <w:rFonts w:hint="default" w:ascii="Times New Roman" w:hAnsi="Times New Roman" w:eastAsia="宋体" w:cs="Times New Roman"/>
          <w:color w:val="auto"/>
        </w:rPr>
      </w:pPr>
    </w:p>
    <w:p w14:paraId="031EE65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表7.2-1      甲烷的危险特性</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691"/>
        <w:gridCol w:w="6570"/>
      </w:tblGrid>
      <w:tr w14:paraId="139C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83" w:type="pct"/>
            <w:noWrap w:val="0"/>
            <w:vAlign w:val="center"/>
          </w:tcPr>
          <w:p w14:paraId="572B3E2B">
            <w:pPr>
              <w:autoSpaceDE w:val="0"/>
              <w:autoSpaceDN w:val="0"/>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类别</w:t>
            </w:r>
          </w:p>
        </w:tc>
        <w:tc>
          <w:tcPr>
            <w:tcW w:w="945" w:type="pct"/>
            <w:noWrap w:val="0"/>
            <w:vAlign w:val="center"/>
          </w:tcPr>
          <w:p w14:paraId="0CB1016F">
            <w:pPr>
              <w:autoSpaceDE w:val="0"/>
              <w:autoSpaceDN w:val="0"/>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项目</w:t>
            </w:r>
          </w:p>
        </w:tc>
        <w:tc>
          <w:tcPr>
            <w:tcW w:w="3672" w:type="pct"/>
            <w:noWrap w:val="0"/>
            <w:vAlign w:val="center"/>
          </w:tcPr>
          <w:p w14:paraId="0E7C5927">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甲烷（methane CAS No：74-82-8）</w:t>
            </w:r>
          </w:p>
        </w:tc>
      </w:tr>
      <w:tr w14:paraId="2129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noWrap w:val="0"/>
            <w:vAlign w:val="center"/>
          </w:tcPr>
          <w:p w14:paraId="14926B9D">
            <w:pPr>
              <w:autoSpaceDE w:val="0"/>
              <w:autoSpaceDN w:val="0"/>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理化性质</w:t>
            </w:r>
          </w:p>
        </w:tc>
        <w:tc>
          <w:tcPr>
            <w:tcW w:w="945" w:type="pct"/>
            <w:noWrap w:val="0"/>
            <w:vAlign w:val="center"/>
          </w:tcPr>
          <w:p w14:paraId="299E32F2">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外观及性状</w:t>
            </w:r>
          </w:p>
        </w:tc>
        <w:tc>
          <w:tcPr>
            <w:tcW w:w="3672" w:type="pct"/>
            <w:noWrap w:val="0"/>
            <w:vAlign w:val="center"/>
          </w:tcPr>
          <w:p w14:paraId="75E2438E">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无色无臭气体</w:t>
            </w:r>
          </w:p>
        </w:tc>
      </w:tr>
      <w:tr w14:paraId="5A5C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09F1BF37">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7FB5C9CB">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分子式/分子量</w:t>
            </w:r>
          </w:p>
        </w:tc>
        <w:tc>
          <w:tcPr>
            <w:tcW w:w="3672" w:type="pct"/>
            <w:noWrap w:val="0"/>
            <w:vAlign w:val="center"/>
          </w:tcPr>
          <w:p w14:paraId="7617AD6C">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CH</w:t>
            </w:r>
            <w:r>
              <w:rPr>
                <w:rFonts w:hint="default" w:ascii="Times New Roman" w:hAnsi="Times New Roman" w:eastAsia="宋体" w:cs="Times New Roman"/>
                <w:color w:val="auto"/>
                <w:sz w:val="22"/>
                <w:szCs w:val="22"/>
                <w:vertAlign w:val="subscript"/>
              </w:rPr>
              <w:t>4</w:t>
            </w:r>
            <w:r>
              <w:rPr>
                <w:rFonts w:hint="default" w:ascii="Times New Roman" w:hAnsi="Times New Roman" w:eastAsia="宋体" w:cs="Times New Roman"/>
                <w:color w:val="auto"/>
                <w:sz w:val="22"/>
                <w:szCs w:val="22"/>
              </w:rPr>
              <w:t>/16.04</w:t>
            </w:r>
          </w:p>
        </w:tc>
      </w:tr>
      <w:tr w14:paraId="7CBB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518FEBF6">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0AE1224E">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熔点/沸点（℃）</w:t>
            </w:r>
          </w:p>
        </w:tc>
        <w:tc>
          <w:tcPr>
            <w:tcW w:w="3672" w:type="pct"/>
            <w:noWrap w:val="0"/>
            <w:vAlign w:val="center"/>
          </w:tcPr>
          <w:p w14:paraId="1D008137">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-182.5/-161.5</w:t>
            </w:r>
          </w:p>
        </w:tc>
      </w:tr>
      <w:tr w14:paraId="2B2C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08E35818">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70F9B6A8">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密度</w:t>
            </w:r>
          </w:p>
        </w:tc>
        <w:tc>
          <w:tcPr>
            <w:tcW w:w="3672" w:type="pct"/>
            <w:noWrap w:val="0"/>
            <w:vAlign w:val="center"/>
          </w:tcPr>
          <w:p w14:paraId="100E55CD">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相对密度（水=1）：0.42（-164℃）；相对蒸气密度（空气=1）：0.56</w:t>
            </w:r>
          </w:p>
        </w:tc>
      </w:tr>
      <w:tr w14:paraId="3F28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7B728B60">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5A85901C">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饱和蒸汽压（kPa）</w:t>
            </w:r>
          </w:p>
        </w:tc>
        <w:tc>
          <w:tcPr>
            <w:tcW w:w="3672" w:type="pct"/>
            <w:noWrap w:val="0"/>
            <w:vAlign w:val="center"/>
          </w:tcPr>
          <w:p w14:paraId="555E5881">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53.32（-168.8℃）</w:t>
            </w:r>
          </w:p>
        </w:tc>
      </w:tr>
      <w:tr w14:paraId="179D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596E74F6">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0034B237">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溶解性</w:t>
            </w:r>
          </w:p>
        </w:tc>
        <w:tc>
          <w:tcPr>
            <w:tcW w:w="3672" w:type="pct"/>
            <w:noWrap w:val="0"/>
            <w:vAlign w:val="center"/>
          </w:tcPr>
          <w:p w14:paraId="3E931257">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微溶于水，溶于醇、乙醚</w:t>
            </w:r>
          </w:p>
        </w:tc>
      </w:tr>
      <w:tr w14:paraId="1A9C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noWrap w:val="0"/>
            <w:vAlign w:val="center"/>
          </w:tcPr>
          <w:p w14:paraId="62141088">
            <w:pPr>
              <w:autoSpaceDE w:val="0"/>
              <w:autoSpaceDN w:val="0"/>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燃烧爆炸危险性</w:t>
            </w:r>
          </w:p>
        </w:tc>
        <w:tc>
          <w:tcPr>
            <w:tcW w:w="945" w:type="pct"/>
            <w:noWrap w:val="0"/>
            <w:vAlign w:val="center"/>
          </w:tcPr>
          <w:p w14:paraId="4EFAF6D5">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危险标记</w:t>
            </w:r>
          </w:p>
        </w:tc>
        <w:tc>
          <w:tcPr>
            <w:tcW w:w="3672" w:type="pct"/>
            <w:noWrap w:val="0"/>
            <w:vAlign w:val="center"/>
          </w:tcPr>
          <w:p w14:paraId="622050A2">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  易燃气体</w:t>
            </w:r>
          </w:p>
        </w:tc>
      </w:tr>
      <w:tr w14:paraId="083E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07D14A6F">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1218CAB7">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闪点/引燃温度（℃）</w:t>
            </w:r>
          </w:p>
        </w:tc>
        <w:tc>
          <w:tcPr>
            <w:tcW w:w="3672" w:type="pct"/>
            <w:noWrap w:val="0"/>
            <w:vAlign w:val="center"/>
          </w:tcPr>
          <w:p w14:paraId="48B8E082">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-188/538</w:t>
            </w:r>
          </w:p>
        </w:tc>
      </w:tr>
      <w:tr w14:paraId="59C1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4B3E9C26">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70DEB3D4">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爆炸极限（vol%）</w:t>
            </w:r>
          </w:p>
        </w:tc>
        <w:tc>
          <w:tcPr>
            <w:tcW w:w="3672" w:type="pct"/>
            <w:noWrap w:val="0"/>
            <w:vAlign w:val="center"/>
          </w:tcPr>
          <w:p w14:paraId="7991B82B">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爆炸上限%（V/V）：15；爆炸下限%（V/V）：5</w:t>
            </w:r>
          </w:p>
        </w:tc>
      </w:tr>
      <w:tr w14:paraId="5BA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0FD193C9">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5252683C">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稳定性</w:t>
            </w:r>
          </w:p>
        </w:tc>
        <w:tc>
          <w:tcPr>
            <w:tcW w:w="3672" w:type="pct"/>
            <w:noWrap w:val="0"/>
            <w:vAlign w:val="center"/>
          </w:tcPr>
          <w:p w14:paraId="2A92838F">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稳定</w:t>
            </w:r>
          </w:p>
        </w:tc>
      </w:tr>
      <w:tr w14:paraId="526A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0D5A7281">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37E0E079">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危险特性</w:t>
            </w:r>
          </w:p>
        </w:tc>
        <w:tc>
          <w:tcPr>
            <w:tcW w:w="3672" w:type="pct"/>
            <w:noWrap w:val="0"/>
            <w:vAlign w:val="center"/>
          </w:tcPr>
          <w:p w14:paraId="559F9AB8">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易燃，与空气混合能形成爆炸性混合物，遇热源和明火有燃烧爆炸的危险。与五氧化溴、氯气、次氯酸、三氟化氮、液氧、二氟化氧及其他强氧化剂接触剧烈反应。燃烧（分解）产物：一氧化碳、二氧化碳。</w:t>
            </w:r>
          </w:p>
        </w:tc>
      </w:tr>
      <w:tr w14:paraId="5214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2D58D681">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6ACE201D">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灭火方法</w:t>
            </w:r>
          </w:p>
        </w:tc>
        <w:tc>
          <w:tcPr>
            <w:tcW w:w="3672" w:type="pct"/>
            <w:noWrap w:val="0"/>
            <w:vAlign w:val="center"/>
          </w:tcPr>
          <w:p w14:paraId="03A48023">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切断气源。若不能立即切断气源，则不允许熄灭正在燃烧的气体。喷水冷却容器，可能的话将容器从火场移至空旷处。灭火剂：雾状水、泡沫、二氧化碳、干粉。</w:t>
            </w:r>
          </w:p>
        </w:tc>
      </w:tr>
      <w:tr w14:paraId="22D5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6CA64F9C">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2C22237F">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储运注意事项</w:t>
            </w:r>
          </w:p>
        </w:tc>
        <w:tc>
          <w:tcPr>
            <w:tcW w:w="3672" w:type="pct"/>
            <w:noWrap w:val="0"/>
            <w:vAlign w:val="center"/>
          </w:tcPr>
          <w:p w14:paraId="4E05BD8D">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储存于阴凉、通风的库房。远离火种、热源。库温不宜超过 30℃。应与氧化剂等分开存放。采用防爆型照明、通风设施。禁止使用易产生火花的机械设备和工具。储区应备有泄漏应急处理设备。</w:t>
            </w:r>
          </w:p>
        </w:tc>
      </w:tr>
      <w:tr w14:paraId="618F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noWrap w:val="0"/>
            <w:vAlign w:val="center"/>
          </w:tcPr>
          <w:p w14:paraId="51379B3A">
            <w:pPr>
              <w:autoSpaceDE w:val="0"/>
              <w:autoSpaceDN w:val="0"/>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毒理性质</w:t>
            </w:r>
          </w:p>
        </w:tc>
        <w:tc>
          <w:tcPr>
            <w:tcW w:w="945" w:type="pct"/>
            <w:noWrap w:val="0"/>
            <w:vAlign w:val="center"/>
          </w:tcPr>
          <w:p w14:paraId="551B0EC6">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毒性</w:t>
            </w:r>
          </w:p>
        </w:tc>
        <w:tc>
          <w:tcPr>
            <w:tcW w:w="3672" w:type="pct"/>
            <w:noWrap w:val="0"/>
            <w:vAlign w:val="center"/>
          </w:tcPr>
          <w:p w14:paraId="466EAB1C">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属微毒类。允许气体安全地扩散到大气中或当作燃料使用。有单纯性窒息作用，在高浓度时因缺氧窒息而引起中毒。空气中达到 25%～30%出现头昏、呼吸加速、运动失调。急性毒性：小鼠吸入 42%浓度×60 分钟，麻醉作用；兔吸入 42%浓度×60 分钟，麻醉作用。</w:t>
            </w:r>
          </w:p>
        </w:tc>
      </w:tr>
      <w:tr w14:paraId="4E79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2A72038A">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5D4CF0AE">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健康危害</w:t>
            </w:r>
          </w:p>
        </w:tc>
        <w:tc>
          <w:tcPr>
            <w:tcW w:w="3672" w:type="pct"/>
            <w:noWrap w:val="0"/>
            <w:vAlign w:val="center"/>
          </w:tcPr>
          <w:p w14:paraId="52410FA7">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甲烷对人基本无毒，但浓度过高时，使空气中氧含量明显降低，使人窒息。当空气中甲烷达 25%～30%时，可引起头痛、头晕、乏力、注意力不集中、呼吸和心跳加速。若不及时脱离，可致窒息死亡。皮肤接触液化本品，可致冻伤。</w:t>
            </w:r>
          </w:p>
        </w:tc>
      </w:tr>
      <w:tr w14:paraId="5663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pct"/>
            <w:gridSpan w:val="2"/>
            <w:noWrap w:val="0"/>
            <w:vAlign w:val="center"/>
          </w:tcPr>
          <w:p w14:paraId="7B53C00F">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泄漏处置</w:t>
            </w:r>
          </w:p>
        </w:tc>
        <w:tc>
          <w:tcPr>
            <w:tcW w:w="3672" w:type="pct"/>
            <w:noWrap w:val="0"/>
            <w:vAlign w:val="center"/>
          </w:tcPr>
          <w:p w14:paraId="1F2BD770">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妥善处理修复检验后再用。</w:t>
            </w:r>
          </w:p>
        </w:tc>
      </w:tr>
      <w:tr w14:paraId="37C5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noWrap w:val="0"/>
            <w:vAlign w:val="center"/>
          </w:tcPr>
          <w:p w14:paraId="1335B807">
            <w:pPr>
              <w:autoSpaceDE w:val="0"/>
              <w:autoSpaceDN w:val="0"/>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防护措施</w:t>
            </w:r>
          </w:p>
        </w:tc>
        <w:tc>
          <w:tcPr>
            <w:tcW w:w="945" w:type="pct"/>
            <w:noWrap w:val="0"/>
            <w:vAlign w:val="center"/>
          </w:tcPr>
          <w:p w14:paraId="22FED1D5">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呼吸系统防护</w:t>
            </w:r>
          </w:p>
        </w:tc>
        <w:tc>
          <w:tcPr>
            <w:tcW w:w="3672" w:type="pct"/>
            <w:noWrap w:val="0"/>
            <w:vAlign w:val="center"/>
          </w:tcPr>
          <w:p w14:paraId="2ACCB9BB">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一般不需要特殊防护，但建议特殊情况下，佩戴自吸过滤式防毒面具（半面罩）。</w:t>
            </w:r>
          </w:p>
        </w:tc>
      </w:tr>
      <w:tr w14:paraId="795F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499C6B59">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7DAF1615">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眼睛防护</w:t>
            </w:r>
          </w:p>
        </w:tc>
        <w:tc>
          <w:tcPr>
            <w:tcW w:w="3672" w:type="pct"/>
            <w:noWrap w:val="0"/>
            <w:vAlign w:val="center"/>
          </w:tcPr>
          <w:p w14:paraId="1C7C8B69">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一般不需要特别防护，高浓度接触时可戴安全防护眼镜。</w:t>
            </w:r>
          </w:p>
        </w:tc>
      </w:tr>
      <w:tr w14:paraId="158A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199DCFC1">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6E5E3F8A">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身体防护</w:t>
            </w:r>
          </w:p>
        </w:tc>
        <w:tc>
          <w:tcPr>
            <w:tcW w:w="3672" w:type="pct"/>
            <w:noWrap w:val="0"/>
            <w:vAlign w:val="center"/>
          </w:tcPr>
          <w:p w14:paraId="4ED3172B">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穿防静电工作服</w:t>
            </w:r>
          </w:p>
        </w:tc>
      </w:tr>
      <w:tr w14:paraId="3752F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3F331656">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3CA1A9A0">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手防护</w:t>
            </w:r>
          </w:p>
        </w:tc>
        <w:tc>
          <w:tcPr>
            <w:tcW w:w="3672" w:type="pct"/>
            <w:noWrap w:val="0"/>
            <w:vAlign w:val="center"/>
          </w:tcPr>
          <w:p w14:paraId="2DF3793E">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戴一般作业防护手套</w:t>
            </w:r>
          </w:p>
        </w:tc>
      </w:tr>
      <w:tr w14:paraId="4682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20EF86EB">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6EBE9ED2">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其他</w:t>
            </w:r>
          </w:p>
        </w:tc>
        <w:tc>
          <w:tcPr>
            <w:tcW w:w="3672" w:type="pct"/>
            <w:noWrap w:val="0"/>
            <w:vAlign w:val="center"/>
          </w:tcPr>
          <w:p w14:paraId="134A7C48">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工作现场严禁吸烟。避免长期反复接触。进入罐、限制性空间或其他高浓度区作业，须有人监护。</w:t>
            </w:r>
          </w:p>
        </w:tc>
      </w:tr>
      <w:tr w14:paraId="76D1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noWrap w:val="0"/>
            <w:vAlign w:val="center"/>
          </w:tcPr>
          <w:p w14:paraId="4FD94B09">
            <w:pPr>
              <w:autoSpaceDE w:val="0"/>
              <w:autoSpaceDN w:val="0"/>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急救措施</w:t>
            </w:r>
          </w:p>
        </w:tc>
        <w:tc>
          <w:tcPr>
            <w:tcW w:w="945" w:type="pct"/>
            <w:noWrap w:val="0"/>
            <w:vAlign w:val="center"/>
          </w:tcPr>
          <w:p w14:paraId="31DE170F">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皮肤接触</w:t>
            </w:r>
          </w:p>
        </w:tc>
        <w:tc>
          <w:tcPr>
            <w:tcW w:w="3672" w:type="pct"/>
            <w:noWrap w:val="0"/>
            <w:vAlign w:val="center"/>
          </w:tcPr>
          <w:p w14:paraId="206A6C0E">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若有冻伤，就医治疗。</w:t>
            </w:r>
          </w:p>
        </w:tc>
      </w:tr>
      <w:tr w14:paraId="0E08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noWrap w:val="0"/>
            <w:vAlign w:val="center"/>
          </w:tcPr>
          <w:p w14:paraId="3A65FDAF">
            <w:pPr>
              <w:autoSpaceDE w:val="0"/>
              <w:autoSpaceDN w:val="0"/>
              <w:adjustRightInd w:val="0"/>
              <w:snapToGrid w:val="0"/>
              <w:jc w:val="center"/>
              <w:rPr>
                <w:rFonts w:hint="default" w:ascii="Times New Roman" w:hAnsi="Times New Roman" w:eastAsia="宋体" w:cs="Times New Roman"/>
                <w:color w:val="auto"/>
                <w:sz w:val="22"/>
                <w:szCs w:val="22"/>
              </w:rPr>
            </w:pPr>
          </w:p>
        </w:tc>
        <w:tc>
          <w:tcPr>
            <w:tcW w:w="945" w:type="pct"/>
            <w:noWrap w:val="0"/>
            <w:vAlign w:val="center"/>
          </w:tcPr>
          <w:p w14:paraId="1687B90C">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吸入</w:t>
            </w:r>
          </w:p>
        </w:tc>
        <w:tc>
          <w:tcPr>
            <w:tcW w:w="3672" w:type="pct"/>
            <w:noWrap w:val="0"/>
            <w:vAlign w:val="center"/>
          </w:tcPr>
          <w:p w14:paraId="57224A13">
            <w:pPr>
              <w:autoSpaceDE w:val="0"/>
              <w:autoSpaceDN w:val="0"/>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迅速脱离现场至空气新鲜处。保持呼吸道通畅。如呼吸困难，给输氧。如呼吸停止，立即进行人工呼吸。就医。</w:t>
            </w:r>
          </w:p>
        </w:tc>
      </w:tr>
    </w:tbl>
    <w:p w14:paraId="0A88458D">
      <w:pPr>
        <w:pStyle w:val="58"/>
        <w:rPr>
          <w:rFonts w:hint="default" w:ascii="Times New Roman" w:hAnsi="Times New Roman" w:eastAsia="宋体" w:cs="Times New Roman"/>
          <w:color w:val="auto"/>
        </w:rPr>
      </w:pPr>
    </w:p>
    <w:p w14:paraId="6C60B774">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7.2.2生产系统风险识别</w:t>
      </w:r>
    </w:p>
    <w:p w14:paraId="6CD6CABB">
      <w:pPr>
        <w:spacing w:line="460" w:lineRule="exact"/>
        <w:ind w:firstLine="52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（1）危险单位划分</w:t>
      </w:r>
    </w:p>
    <w:p w14:paraId="70178FE2">
      <w:pPr>
        <w:spacing w:line="460" w:lineRule="exact"/>
        <w:ind w:firstLine="52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项目危险单元详见表7.1-1。</w:t>
      </w:r>
    </w:p>
    <w:p w14:paraId="13486FB5">
      <w:pPr>
        <w:autoSpaceDE w:val="0"/>
        <w:autoSpaceDN w:val="0"/>
        <w:adjustRightInd w:val="0"/>
        <w:spacing w:line="46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（2）风险因素</w:t>
      </w:r>
    </w:p>
    <w:p w14:paraId="0BEDAA1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由上表可知，输气管道涉及的危险性物料输送量大，对管道的承压、密封和耐腐蚀要求较高，存在因管道破裂发生物料泄漏的可能。在设计、施工、运行管理过程中，可能存在设计不合理、施工质量问题、腐蚀、疲劳等因素，造成管线、设备及连接部位破损引起泄漏事故。其风险因素主要包括：</w:t>
      </w:r>
    </w:p>
    <w:p w14:paraId="4431E88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①设计不合理：材料选材、设备选型不合理。在确定管子、管件、法兰、阀门、机械设</w:t>
      </w:r>
      <w:r>
        <w:rPr>
          <w:rFonts w:hint="default" w:ascii="Times New Roman" w:hAnsi="Times New Roman" w:eastAsia="宋体" w:cs="Times New Roman"/>
          <w:color w:val="auto"/>
          <w:shd w:val="clear" w:fill="FFFFFF"/>
        </w:rPr>
        <w:t>备</w:t>
      </w:r>
      <w:r>
        <w:rPr>
          <w:rFonts w:hint="default" w:ascii="Times New Roman" w:hAnsi="Times New Roman" w:eastAsia="宋体" w:cs="Times New Roman"/>
          <w:color w:val="auto"/>
        </w:rPr>
        <w:t>材料时，未充分考虑材料的强度，若管线的选材不能满足强度要求，管道存在应力开裂危险。管线布置、柔性考虑不周。管线布置不合理，造成管道因热胀冷缩产生变形破坏或振动；埋地管道弯头的设置、弹性敷设、埋设地质影响、温差变化等，对运行管道产生管道位移具有重要影响，柔性分析中如果未充分考虑或考虑不全面，将会引起管道弯曲、拱起甚至断裂。管内介质不稳定流动和穿越公路处地基振动产生的管道振动也可能导致管道位移。</w:t>
      </w:r>
    </w:p>
    <w:p w14:paraId="5EF0A4A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②管材及施工缺陷：管材本身质量差多是因为金属材质及制造工艺的缺陷引起，其中管材卷边、分层、制管焊缝缺陷、管段热处理等工艺均可影响到管材质量；管道焊接缺陷主要表现在焊接边缘错位、未焊透与未熔合、夹渣、气孔和裂纹等，这些缺陷大多数是由于焊工责任心不强、工作不认真以及违反焊接工艺规程所造成的。制管质量事故多出现于有缝钢管（多见于螺旋缝钢管）。我国由于生产螺旋缝钢管的生产历史较长，输送天然气几乎全部采用螺旋缝钢管。螺旋焊钢管有其自身的优点，但它的焊缝长度具有应力集中现象，因而焊缝缺陷引发的事故比直缝钢管概率高。施工不良还表现在以下方面：管道除锈、去污、防腐和现场补口等工序未按施工要求去做；管道下沟动作粗鲁以及回填作业草率，使泥土、岩石冲击防腐层，造成防腐层破坏；阴极保护没有与管道埋地同时进行；还有管道搬运时不仔细，管道产生疲劳裂纹。</w:t>
      </w:r>
    </w:p>
    <w:p w14:paraId="177FA203">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③腐蚀、磨蚀：腐蚀既有可能大面积减薄管的壁厚，导致过度变形或爆破，也有可能导致管道穿孔，引发漏气事故。另外，如果管道的阴极保护系统故障或受到人为破坏，使被保护管段短时失去保护，也可能导致管线腐蚀。在管输工艺过程中，若天然气中所含尘粒等固体杂质未被有效分离清除，同时管输天然气的流速较高，会冲击、磨蚀管道或设备材料表面，在管线转弯处尤为严重，从而可能导致局部减薄、刺漏。</w:t>
      </w:r>
    </w:p>
    <w:p w14:paraId="7CA2519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④疲劳失效：管道、设备等设施在交变应力作用下发生的破坏现象称为疲劳破坏。所谓交变应力即为因载荷作用而产生随时间周期或无规则变化的应力。交变应力引起的破坏与静应力引起的破坏现象截然不同，即使在交变应力低于材料屈服极限的情况下，经过长时间反复作用，也会发生突然破坏。管道经常开停车或变负荷，系统流动不稳定，穿越公路处地基振动产生管道振动等均会产生交变应力。而管道、设备等设施在制造过程中，</w:t>
      </w:r>
      <w:r>
        <w:rPr>
          <w:rFonts w:hint="default" w:ascii="Times New Roman" w:hAnsi="Times New Roman" w:eastAsia="宋体" w:cs="Times New Roman"/>
          <w:color w:val="auto"/>
          <w:shd w:val="clear" w:fill="FFFFFF"/>
        </w:rPr>
        <w:t>不可避免的存在</w:t>
      </w:r>
      <w:r>
        <w:rPr>
          <w:rFonts w:hint="default" w:ascii="Times New Roman" w:hAnsi="Times New Roman" w:eastAsia="宋体" w:cs="Times New Roman"/>
          <w:color w:val="auto"/>
        </w:rPr>
        <w:t>开孔或支管连接、焊缝缺陷，这些几何不连续造成应力集中，由于交变应力的作用将在这些部位产生疲劳裂纹，疲劳裂纹逐渐扩展贯穿整个壁厚后，会导致天然气泄漏或火灾、爆炸事故。</w:t>
      </w:r>
    </w:p>
    <w:p w14:paraId="3F0B8AE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⑤第三方破坏：第三方破坏指人为偷盗油气造成的管道损伤以及管道沿线修筑道路、建筑施工、农民耕地等活动引起的管道损伤等。面对第三者破坏情况，2010年1月中华人民共和国主席令（第三十号）颁发了《中华人民共和国石油天然气管道保护法》，这对确保石油天然气管道安全起到了积极作用，是打击和</w:t>
      </w:r>
      <w:r>
        <w:rPr>
          <w:rFonts w:hint="default" w:ascii="Times New Roman" w:hAnsi="Times New Roman" w:eastAsia="宋体" w:cs="Times New Roman"/>
          <w:color w:val="auto"/>
          <w:shd w:val="clear" w:fill="FFFFFF"/>
        </w:rPr>
        <w:t>扼制</w:t>
      </w:r>
      <w:r>
        <w:rPr>
          <w:rFonts w:hint="default" w:ascii="Times New Roman" w:hAnsi="Times New Roman" w:eastAsia="宋体" w:cs="Times New Roman"/>
          <w:color w:val="auto"/>
        </w:rPr>
        <w:t>第三方破坏的有效依据。</w:t>
      </w:r>
    </w:p>
    <w:p w14:paraId="04DA6FF3">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7.2.3环境风险类型及危害分析</w:t>
      </w:r>
    </w:p>
    <w:p w14:paraId="2D942EB4">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根据导则，环境风险类型通常包括危险物质泄漏，以及火灾、爆炸等引发的伴生/次生污染排放。本项目危险物质为净化后的天然气（主要成分为甲烷），其环境风险类型主要为泄漏事故。在泄漏事故发生时，甲烷将直接进入大气环境，在高浓度时会导致人体因缺氧窒息而引起中毒。</w:t>
      </w:r>
    </w:p>
    <w:p w14:paraId="33CC1BFC">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7.2.4环境敏感性分析</w:t>
      </w:r>
    </w:p>
    <w:p w14:paraId="3483DDF3">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项目环境风险识别表详见表7.2-2。</w:t>
      </w:r>
    </w:p>
    <w:p w14:paraId="6D5B6B18">
      <w:pPr>
        <w:pStyle w:val="58"/>
        <w:rPr>
          <w:rFonts w:hint="default" w:ascii="Times New Roman" w:hAnsi="Times New Roman" w:eastAsia="宋体" w:cs="Times New Roman"/>
          <w:color w:val="auto"/>
        </w:rPr>
      </w:pPr>
    </w:p>
    <w:p w14:paraId="5BD5A31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表7.2-2   项目环境风险识别表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54"/>
        <w:gridCol w:w="1311"/>
        <w:gridCol w:w="578"/>
        <w:gridCol w:w="945"/>
        <w:gridCol w:w="945"/>
        <w:gridCol w:w="2016"/>
        <w:gridCol w:w="1463"/>
        <w:gridCol w:w="1132"/>
      </w:tblGrid>
      <w:tr w14:paraId="7217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257" w:type="pct"/>
            <w:noWrap w:val="0"/>
            <w:vAlign w:val="center"/>
          </w:tcPr>
          <w:p w14:paraId="706A5B01">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741" w:type="pct"/>
            <w:noWrap w:val="0"/>
            <w:vAlign w:val="center"/>
          </w:tcPr>
          <w:p w14:paraId="6B9C4740">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危险单元</w:t>
            </w:r>
          </w:p>
        </w:tc>
        <w:tc>
          <w:tcPr>
            <w:tcW w:w="327" w:type="pct"/>
            <w:noWrap w:val="0"/>
            <w:vAlign w:val="center"/>
          </w:tcPr>
          <w:p w14:paraId="5DCA4EDD">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风险源</w:t>
            </w:r>
          </w:p>
        </w:tc>
        <w:tc>
          <w:tcPr>
            <w:tcW w:w="534" w:type="pct"/>
            <w:noWrap w:val="0"/>
            <w:vAlign w:val="center"/>
          </w:tcPr>
          <w:p w14:paraId="2CA8E32F">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主要危险物质</w:t>
            </w:r>
          </w:p>
        </w:tc>
        <w:tc>
          <w:tcPr>
            <w:tcW w:w="534" w:type="pct"/>
            <w:noWrap w:val="0"/>
            <w:vAlign w:val="center"/>
          </w:tcPr>
          <w:p w14:paraId="167B50C4">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环境风险类型</w:t>
            </w:r>
          </w:p>
        </w:tc>
        <w:tc>
          <w:tcPr>
            <w:tcW w:w="1140" w:type="pct"/>
            <w:noWrap w:val="0"/>
            <w:vAlign w:val="center"/>
          </w:tcPr>
          <w:p w14:paraId="012FA34A">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环境影响途径</w:t>
            </w:r>
          </w:p>
        </w:tc>
        <w:tc>
          <w:tcPr>
            <w:tcW w:w="827" w:type="pct"/>
            <w:noWrap w:val="0"/>
            <w:vAlign w:val="center"/>
          </w:tcPr>
          <w:p w14:paraId="131B8DBD">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可能受影响的环境敏感目标</w:t>
            </w:r>
          </w:p>
        </w:tc>
        <w:tc>
          <w:tcPr>
            <w:tcW w:w="640" w:type="pct"/>
            <w:noWrap w:val="0"/>
            <w:vAlign w:val="center"/>
          </w:tcPr>
          <w:p w14:paraId="2F5D5B3A">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备注</w:t>
            </w:r>
          </w:p>
        </w:tc>
      </w:tr>
      <w:tr w14:paraId="6C07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79" w:hRule="atLeast"/>
        </w:trPr>
        <w:tc>
          <w:tcPr>
            <w:tcW w:w="257" w:type="pct"/>
            <w:noWrap w:val="0"/>
            <w:vAlign w:val="center"/>
          </w:tcPr>
          <w:p w14:paraId="11B76A3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741" w:type="pct"/>
            <w:noWrap w:val="0"/>
            <w:vAlign w:val="center"/>
          </w:tcPr>
          <w:p w14:paraId="3098008A">
            <w:pPr>
              <w:pStyle w:val="6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新盛站</w:t>
            </w:r>
            <w:r>
              <w:rPr>
                <w:rFonts w:hint="default" w:ascii="Times New Roman" w:hAnsi="Times New Roman" w:eastAsia="宋体" w:cs="Times New Roman"/>
                <w:color w:val="auto"/>
              </w:rPr>
              <w:t>至</w:t>
            </w:r>
            <w:r>
              <w:rPr>
                <w:rFonts w:hint="default" w:ascii="Times New Roman" w:hAnsi="Times New Roman" w:eastAsia="宋体" w:cs="Times New Roman"/>
                <w:color w:val="auto"/>
                <w:lang w:eastAsia="zh-CN"/>
              </w:rPr>
              <w:t>铁浅1井</w:t>
            </w:r>
          </w:p>
        </w:tc>
        <w:tc>
          <w:tcPr>
            <w:tcW w:w="327" w:type="pct"/>
            <w:noWrap w:val="0"/>
            <w:vAlign w:val="center"/>
          </w:tcPr>
          <w:p w14:paraId="3BA8D947">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管道</w:t>
            </w:r>
          </w:p>
        </w:tc>
        <w:tc>
          <w:tcPr>
            <w:tcW w:w="534" w:type="pct"/>
            <w:noWrap w:val="0"/>
            <w:vAlign w:val="center"/>
          </w:tcPr>
          <w:p w14:paraId="4CFEC100">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甲烷</w:t>
            </w:r>
          </w:p>
        </w:tc>
        <w:tc>
          <w:tcPr>
            <w:tcW w:w="534" w:type="pct"/>
            <w:noWrap w:val="0"/>
            <w:vAlign w:val="center"/>
          </w:tcPr>
          <w:p w14:paraId="258643A5">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泄漏</w:t>
            </w:r>
          </w:p>
        </w:tc>
        <w:tc>
          <w:tcPr>
            <w:tcW w:w="1140" w:type="pct"/>
            <w:noWrap w:val="0"/>
            <w:vAlign w:val="center"/>
          </w:tcPr>
          <w:p w14:paraId="1EFEBC7F">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进入大气，引起人体缺氧、窒息</w:t>
            </w:r>
          </w:p>
        </w:tc>
        <w:tc>
          <w:tcPr>
            <w:tcW w:w="827" w:type="pct"/>
            <w:noWrap w:val="0"/>
            <w:vAlign w:val="center"/>
          </w:tcPr>
          <w:p w14:paraId="75D68214">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沿线的居民</w:t>
            </w:r>
          </w:p>
        </w:tc>
        <w:tc>
          <w:tcPr>
            <w:tcW w:w="640" w:type="pct"/>
            <w:noWrap w:val="0"/>
            <w:vAlign w:val="center"/>
          </w:tcPr>
          <w:p w14:paraId="2D0EB75C">
            <w:pPr>
              <w:pStyle w:val="6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简单</w:t>
            </w:r>
            <w:r>
              <w:rPr>
                <w:rFonts w:hint="default" w:ascii="Times New Roman" w:hAnsi="Times New Roman" w:eastAsia="宋体" w:cs="Times New Roman"/>
                <w:color w:val="auto"/>
              </w:rPr>
              <w:t>分析</w:t>
            </w:r>
          </w:p>
        </w:tc>
      </w:tr>
    </w:tbl>
    <w:p w14:paraId="2E9A49CB">
      <w:pPr>
        <w:adjustRightInd w:val="0"/>
        <w:snapToGrid w:val="0"/>
        <w:spacing w:line="460" w:lineRule="exact"/>
        <w:ind w:firstLine="522"/>
        <w:outlineLvl w:val="1"/>
        <w:rPr>
          <w:rFonts w:hint="default" w:ascii="Times New Roman" w:hAnsi="Times New Roman" w:eastAsia="宋体" w:cs="Times New Roman"/>
          <w:b/>
          <w:color w:val="auto"/>
          <w:sz w:val="26"/>
          <w:szCs w:val="26"/>
        </w:rPr>
      </w:pPr>
      <w:bookmarkStart w:id="370" w:name="_Toc65774073"/>
      <w:bookmarkStart w:id="371" w:name="_Toc9305"/>
      <w:bookmarkStart w:id="372" w:name="_Toc22026"/>
      <w:bookmarkStart w:id="373" w:name="_Toc125968194"/>
      <w:bookmarkStart w:id="374" w:name="_Toc28141"/>
      <w:r>
        <w:rPr>
          <w:rFonts w:hint="default" w:ascii="Times New Roman" w:hAnsi="Times New Roman" w:eastAsia="宋体" w:cs="Times New Roman"/>
          <w:b/>
          <w:color w:val="auto"/>
          <w:sz w:val="26"/>
          <w:szCs w:val="26"/>
        </w:rPr>
        <w:t>7.</w:t>
      </w:r>
      <w:bookmarkEnd w:id="370"/>
      <w:bookmarkEnd w:id="371"/>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 xml:space="preserve"> 环境风险分析</w:t>
      </w:r>
      <w:bookmarkEnd w:id="372"/>
      <w:bookmarkEnd w:id="373"/>
      <w:bookmarkEnd w:id="374"/>
    </w:p>
    <w:p w14:paraId="6D11EC47">
      <w:pPr>
        <w:keepNext w:val="0"/>
        <w:keepLines w:val="0"/>
        <w:pageBreakBefore w:val="0"/>
        <w:widowControl w:val="0"/>
        <w:kinsoku/>
        <w:wordWrap/>
        <w:overflowPunct/>
        <w:topLinePunct w:val="0"/>
        <w:autoSpaceDE w:val="0"/>
        <w:autoSpaceDN w:val="0"/>
        <w:bidi w:val="0"/>
        <w:adjustRightInd w:val="0"/>
        <w:spacing w:line="500" w:lineRule="exact"/>
        <w:ind w:firstLine="520" w:firstLineChars="200"/>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天然气管道事故通常是指造成天然气从管道内释放并影响正常输气的意外事件。当出现事故时，天然气输气管道释放出的天然气可能带来下列危害：天然气若立即着火即产生燃烧热辐射，在危险距离内的人会受到热辐射伤害；天然气未立即着火可形成爆炸气体云团，遇明火就会发生爆炸，在危险距离以内，人会受到爆炸冲击波的伤害，建筑物会受到损坏。</w:t>
      </w:r>
    </w:p>
    <w:p w14:paraId="1F155D56">
      <w:pPr>
        <w:keepNext w:val="0"/>
        <w:keepLines w:val="0"/>
        <w:pageBreakBefore w:val="0"/>
        <w:widowControl w:val="0"/>
        <w:kinsoku/>
        <w:wordWrap/>
        <w:overflowPunct/>
        <w:topLinePunct w:val="0"/>
        <w:bidi w:val="0"/>
        <w:spacing w:line="500" w:lineRule="exact"/>
        <w:ind w:firstLine="522" w:firstLineChars="200"/>
        <w:textAlignment w:val="auto"/>
        <w:outlineLvl w:val="2"/>
        <w:rPr>
          <w:rFonts w:hint="default" w:ascii="Times New Roman" w:hAnsi="Times New Roman" w:eastAsia="宋体" w:cs="Times New Roman"/>
          <w:b/>
          <w:bCs/>
          <w:color w:val="auto"/>
          <w:sz w:val="26"/>
          <w:szCs w:val="26"/>
        </w:rPr>
      </w:pPr>
      <w:r>
        <w:rPr>
          <w:rFonts w:hint="default" w:ascii="Times New Roman" w:hAnsi="Times New Roman" w:eastAsia="宋体" w:cs="Times New Roman"/>
          <w:b/>
          <w:color w:val="auto"/>
          <w:sz w:val="26"/>
          <w:szCs w:val="26"/>
        </w:rPr>
        <w:t>7.</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 xml:space="preserve">1 </w:t>
      </w:r>
      <w:r>
        <w:rPr>
          <w:rFonts w:hint="default" w:ascii="Times New Roman" w:hAnsi="Times New Roman" w:eastAsia="宋体" w:cs="Times New Roman"/>
          <w:b/>
          <w:bCs/>
          <w:color w:val="auto"/>
          <w:sz w:val="26"/>
          <w:szCs w:val="26"/>
        </w:rPr>
        <w:t>大气环境风险影响分析</w:t>
      </w:r>
    </w:p>
    <w:p w14:paraId="7BC145DF">
      <w:pPr>
        <w:keepNext w:val="0"/>
        <w:keepLines w:val="0"/>
        <w:pageBreakBefore w:val="0"/>
        <w:widowControl w:val="0"/>
        <w:kinsoku/>
        <w:wordWrap/>
        <w:overflowPunct/>
        <w:topLinePunct w:val="0"/>
        <w:autoSpaceDE w:val="0"/>
        <w:autoSpaceDN w:val="0"/>
        <w:bidi w:val="0"/>
        <w:adjustRightInd w:val="0"/>
        <w:spacing w:line="500" w:lineRule="exact"/>
        <w:ind w:firstLine="522" w:firstLineChars="200"/>
        <w:textAlignment w:val="auto"/>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（1）天然气泄漏事故影响分析</w:t>
      </w:r>
    </w:p>
    <w:p w14:paraId="1C9476AD">
      <w:pPr>
        <w:keepNext w:val="0"/>
        <w:keepLines w:val="0"/>
        <w:pageBreakBefore w:val="0"/>
        <w:widowControl w:val="0"/>
        <w:kinsoku/>
        <w:wordWrap/>
        <w:overflowPunct/>
        <w:topLinePunct w:val="0"/>
        <w:autoSpaceDE w:val="0"/>
        <w:autoSpaceDN w:val="0"/>
        <w:bidi w:val="0"/>
        <w:adjustRightInd w:val="0"/>
        <w:spacing w:line="500" w:lineRule="exact"/>
        <w:ind w:firstLine="520" w:firstLineChars="200"/>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本项目输送介质为天然气，不含H</w:t>
      </w:r>
      <w:r>
        <w:rPr>
          <w:rFonts w:hint="default" w:ascii="Times New Roman" w:hAnsi="Times New Roman" w:eastAsia="宋体" w:cs="Times New Roman"/>
          <w:color w:val="auto"/>
          <w:sz w:val="26"/>
          <w:szCs w:val="26"/>
          <w:vertAlign w:val="subscript"/>
        </w:rPr>
        <w:t>2</w:t>
      </w:r>
      <w:r>
        <w:rPr>
          <w:rFonts w:hint="default" w:ascii="Times New Roman" w:hAnsi="Times New Roman" w:eastAsia="宋体" w:cs="Times New Roman"/>
          <w:color w:val="auto"/>
          <w:sz w:val="26"/>
          <w:szCs w:val="26"/>
        </w:rPr>
        <w:t>S，稀释扩散很快，随着距泄漏点距离的增加，甲烷毒性浓度下降非常快，一个泄漏点泄漏的甲烷对环境、人和动物的影响是局部影响。本项目管线正常输气时，站控系统可实时监测管线压力变化情况，当管线发生意外事故破裂，监测点压力急剧下降，压降变化速率</w:t>
      </w:r>
      <w:r>
        <w:rPr>
          <w:rFonts w:hint="default" w:ascii="Times New Roman" w:hAnsi="Times New Roman" w:eastAsia="宋体" w:cs="Times New Roman"/>
          <w:color w:val="auto"/>
          <w:sz w:val="26"/>
          <w:szCs w:val="26"/>
          <w:shd w:val="clear" w:fill="FFFFFF"/>
        </w:rPr>
        <w:t>达</w:t>
      </w:r>
      <w:r>
        <w:rPr>
          <w:rFonts w:hint="default" w:ascii="Times New Roman" w:hAnsi="Times New Roman" w:eastAsia="宋体" w:cs="Times New Roman"/>
          <w:color w:val="auto"/>
          <w:sz w:val="26"/>
          <w:szCs w:val="26"/>
        </w:rPr>
        <w:t>设定值后并保持超过设定时间时，自动启动气-液联动驱动头，利用管输天然气的压力，关闭阀门，截断燃气管道。从站控系统感测压力降至关闭阀门时间3～5分钟，因此，天然气管道发生事故时，高浓度区域出现的</w:t>
      </w:r>
      <w:r>
        <w:rPr>
          <w:rFonts w:hint="default" w:ascii="Times New Roman" w:hAnsi="Times New Roman" w:eastAsia="宋体" w:cs="Times New Roman"/>
          <w:color w:val="auto"/>
          <w:sz w:val="26"/>
          <w:szCs w:val="26"/>
          <w:shd w:val="clear" w:fill="FFFFFF"/>
          <w:lang w:eastAsia="zh-CN"/>
        </w:rPr>
        <w:t>时间最长</w:t>
      </w:r>
      <w:r>
        <w:rPr>
          <w:rFonts w:hint="default" w:ascii="Times New Roman" w:hAnsi="Times New Roman" w:eastAsia="宋体" w:cs="Times New Roman"/>
          <w:color w:val="auto"/>
          <w:sz w:val="26"/>
          <w:szCs w:val="26"/>
        </w:rPr>
        <w:t>不超过10分钟，出现高浓度污染区时，为防止缺氧状况发生，救援人员应选择供气式空气呼吸器（工作时间在30~60min），做好防护工作，一旦发生窒息，救援人员应将中毒人员撤出甲烷污染区才能进入现场进行救援，同时注意防止火灾和爆炸的发生。</w:t>
      </w:r>
    </w:p>
    <w:p w14:paraId="2D1C75B2">
      <w:pPr>
        <w:keepNext w:val="0"/>
        <w:keepLines w:val="0"/>
        <w:pageBreakBefore w:val="0"/>
        <w:widowControl w:val="0"/>
        <w:kinsoku/>
        <w:wordWrap/>
        <w:overflowPunct/>
        <w:topLinePunct w:val="0"/>
        <w:autoSpaceDE w:val="0"/>
        <w:autoSpaceDN w:val="0"/>
        <w:bidi w:val="0"/>
        <w:adjustRightInd w:val="0"/>
        <w:spacing w:line="500" w:lineRule="exact"/>
        <w:ind w:firstLine="522" w:firstLineChars="200"/>
        <w:textAlignment w:val="auto"/>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（2）天然气火灾伴生事故影响分析</w:t>
      </w:r>
    </w:p>
    <w:p w14:paraId="43B3A252">
      <w:pPr>
        <w:keepNext w:val="0"/>
        <w:keepLines w:val="0"/>
        <w:pageBreakBefore w:val="0"/>
        <w:widowControl w:val="0"/>
        <w:kinsoku/>
        <w:wordWrap/>
        <w:overflowPunct/>
        <w:topLinePunct w:val="0"/>
        <w:autoSpaceDE w:val="0"/>
        <w:autoSpaceDN w:val="0"/>
        <w:bidi w:val="0"/>
        <w:adjustRightInd w:val="0"/>
        <w:spacing w:line="500" w:lineRule="exact"/>
        <w:ind w:firstLine="520" w:firstLineChars="200"/>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在事故状态下，若发生火灾或爆炸事故，天然气燃烧生成的主要产物为CO</w:t>
      </w:r>
      <w:r>
        <w:rPr>
          <w:rFonts w:hint="default" w:ascii="Times New Roman" w:hAnsi="Times New Roman" w:eastAsia="宋体" w:cs="Times New Roman"/>
          <w:color w:val="auto"/>
          <w:sz w:val="26"/>
          <w:szCs w:val="26"/>
          <w:vertAlign w:val="subscript"/>
        </w:rPr>
        <w:t>2</w:t>
      </w:r>
      <w:r>
        <w:rPr>
          <w:rFonts w:hint="default" w:ascii="Times New Roman" w:hAnsi="Times New Roman" w:eastAsia="宋体" w:cs="Times New Roman"/>
          <w:color w:val="auto"/>
          <w:sz w:val="26"/>
          <w:szCs w:val="26"/>
        </w:rPr>
        <w:t>和H</w:t>
      </w:r>
      <w:r>
        <w:rPr>
          <w:rFonts w:hint="default" w:ascii="Times New Roman" w:hAnsi="Times New Roman" w:eastAsia="宋体" w:cs="Times New Roman"/>
          <w:color w:val="auto"/>
          <w:sz w:val="26"/>
          <w:szCs w:val="26"/>
          <w:vertAlign w:val="subscript"/>
        </w:rPr>
        <w:t>2</w:t>
      </w:r>
      <w:r>
        <w:rPr>
          <w:rFonts w:hint="default" w:ascii="Times New Roman" w:hAnsi="Times New Roman" w:eastAsia="宋体" w:cs="Times New Roman"/>
          <w:color w:val="auto"/>
          <w:sz w:val="26"/>
          <w:szCs w:val="26"/>
        </w:rPr>
        <w:t>O，仅在事故刚发生时有少量甲烷、乙烷等释放，天然气燃烧过程中还会产生少量CO和NOx，但是管道火灾或爆炸事故一般发生在开阔空间，事故发生后污染物会很快扩散，不会长期影响空气质量，对项目拟建地周围环境不会造成较大污染。</w:t>
      </w:r>
    </w:p>
    <w:p w14:paraId="0B072985">
      <w:pPr>
        <w:keepNext w:val="0"/>
        <w:keepLines w:val="0"/>
        <w:pageBreakBefore w:val="0"/>
        <w:widowControl w:val="0"/>
        <w:kinsoku/>
        <w:wordWrap/>
        <w:overflowPunct/>
        <w:topLinePunct w:val="0"/>
        <w:autoSpaceDE w:val="0"/>
        <w:autoSpaceDN w:val="0"/>
        <w:bidi w:val="0"/>
        <w:adjustRightInd w:val="0"/>
        <w:spacing w:line="500" w:lineRule="exact"/>
        <w:ind w:firstLine="520" w:firstLineChars="200"/>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总的来说，由于项目设置紧急截断阀，当管道发生泄漏等事故时，可快速关闭紧急截断阀门，减少天然气泄漏损失。风险情况下，管道泄漏时间短，甲烷暴露时间短，不会对人体造成不可逆的伤害；甲烷泄漏后如果遇火发生燃烧爆炸事故，产生的次生污染物种类和数量均较小，不会严重影响空气质量。</w:t>
      </w:r>
    </w:p>
    <w:p w14:paraId="44C27D00">
      <w:pPr>
        <w:keepNext w:val="0"/>
        <w:keepLines w:val="0"/>
        <w:pageBreakBefore w:val="0"/>
        <w:widowControl w:val="0"/>
        <w:kinsoku/>
        <w:wordWrap/>
        <w:overflowPunct/>
        <w:topLinePunct w:val="0"/>
        <w:autoSpaceDE w:val="0"/>
        <w:autoSpaceDN w:val="0"/>
        <w:bidi w:val="0"/>
        <w:adjustRightInd w:val="0"/>
        <w:spacing w:line="500" w:lineRule="exact"/>
        <w:ind w:firstLine="520" w:firstLineChars="200"/>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建设单位在落实本次评价提出的各项环境风险防范措施，并制定有效的应急预案的前提下，环境风险总体可控。</w:t>
      </w:r>
    </w:p>
    <w:p w14:paraId="14CF0AF5">
      <w:pPr>
        <w:keepNext w:val="0"/>
        <w:keepLines w:val="0"/>
        <w:pageBreakBefore w:val="0"/>
        <w:widowControl w:val="0"/>
        <w:kinsoku/>
        <w:wordWrap/>
        <w:overflowPunct/>
        <w:topLinePunct w:val="0"/>
        <w:bidi w:val="0"/>
        <w:spacing w:line="500" w:lineRule="exact"/>
        <w:ind w:firstLine="522" w:firstLineChars="200"/>
        <w:textAlignment w:val="auto"/>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7.</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.2 对地表水、地下水</w:t>
      </w:r>
      <w:r>
        <w:rPr>
          <w:rFonts w:hint="default" w:ascii="Times New Roman" w:hAnsi="Times New Roman" w:eastAsia="宋体" w:cs="Times New Roman"/>
          <w:b/>
          <w:color w:val="auto"/>
          <w:sz w:val="26"/>
          <w:szCs w:val="26"/>
          <w:lang w:eastAsia="zh-CN"/>
        </w:rPr>
        <w:t>、</w:t>
      </w:r>
      <w:r>
        <w:rPr>
          <w:rFonts w:hint="default" w:ascii="Times New Roman" w:hAnsi="Times New Roman" w:eastAsia="宋体" w:cs="Times New Roman"/>
          <w:b/>
          <w:color w:val="auto"/>
          <w:sz w:val="26"/>
          <w:szCs w:val="26"/>
          <w:lang w:val="en-US" w:eastAsia="zh-CN"/>
        </w:rPr>
        <w:t>土壤</w:t>
      </w:r>
      <w:r>
        <w:rPr>
          <w:rFonts w:hint="default" w:ascii="Times New Roman" w:hAnsi="Times New Roman" w:eastAsia="宋体" w:cs="Times New Roman"/>
          <w:b/>
          <w:color w:val="auto"/>
          <w:sz w:val="26"/>
          <w:szCs w:val="26"/>
        </w:rPr>
        <w:t>环境的影响</w:t>
      </w:r>
    </w:p>
    <w:p w14:paraId="68EEE9B6">
      <w:pPr>
        <w:keepNext w:val="0"/>
        <w:keepLines w:val="0"/>
        <w:pageBreakBefore w:val="0"/>
        <w:widowControl w:val="0"/>
        <w:kinsoku/>
        <w:wordWrap/>
        <w:overflowPunct/>
        <w:topLinePunct w:val="0"/>
        <w:autoSpaceDE w:val="0"/>
        <w:autoSpaceDN w:val="0"/>
        <w:bidi w:val="0"/>
        <w:adjustRightInd w:val="0"/>
        <w:spacing w:line="500" w:lineRule="exact"/>
        <w:ind w:firstLine="520" w:firstLineChars="200"/>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w:t>
      </w:r>
      <w:r>
        <w:rPr>
          <w:rFonts w:hint="default" w:ascii="Times New Roman" w:hAnsi="Times New Roman" w:eastAsia="宋体" w:cs="Times New Roman"/>
          <w:color w:val="auto"/>
          <w:sz w:val="26"/>
          <w:szCs w:val="26"/>
          <w:lang w:val="en-US" w:eastAsia="zh-CN"/>
        </w:rPr>
        <w:t>项目</w:t>
      </w:r>
      <w:r>
        <w:rPr>
          <w:rFonts w:hint="default" w:ascii="Times New Roman" w:hAnsi="Times New Roman" w:eastAsia="宋体" w:cs="Times New Roman"/>
          <w:color w:val="auto"/>
          <w:sz w:val="26"/>
          <w:szCs w:val="26"/>
        </w:rPr>
        <w:t>全线直管段采用三层PE加强级外防腐</w:t>
      </w:r>
      <w:r>
        <w:rPr>
          <w:rFonts w:hint="default" w:ascii="Times New Roman" w:hAnsi="Times New Roman" w:eastAsia="宋体" w:cs="Times New Roman"/>
          <w:color w:val="auto"/>
          <w:sz w:val="26"/>
          <w:szCs w:val="26"/>
          <w:lang w:eastAsia="zh-CN"/>
        </w:rPr>
        <w:t>，防腐层的性能指标、预制、检验和施工执行GB/T23257-2017《埋地钢质管道聚乙烯防腐层》的规定；管道环向对接焊缝防腐层补口采用带配套底漆的三层结构辐射交联聚乙烯热收缩套防腐</w:t>
      </w:r>
      <w:r>
        <w:rPr>
          <w:rFonts w:hint="default" w:ascii="Times New Roman" w:hAnsi="Times New Roman" w:eastAsia="宋体" w:cs="Times New Roman"/>
          <w:color w:val="auto"/>
          <w:sz w:val="26"/>
          <w:szCs w:val="26"/>
        </w:rPr>
        <w:t>。一般情况管道阀门泄漏，少量泄漏气体挥发至空气中，不会污染地表水、地下水环境，管道破裂导致天然气大量泄漏</w:t>
      </w:r>
      <w:r>
        <w:rPr>
          <w:rFonts w:hint="default" w:ascii="Times New Roman" w:hAnsi="Times New Roman" w:eastAsia="宋体" w:cs="Times New Roman"/>
          <w:color w:val="auto"/>
          <w:sz w:val="26"/>
          <w:szCs w:val="26"/>
          <w:shd w:val="clear" w:fill="FFFFFF"/>
        </w:rPr>
        <w:t>的机率</w:t>
      </w:r>
      <w:r>
        <w:rPr>
          <w:rFonts w:hint="default" w:ascii="Times New Roman" w:hAnsi="Times New Roman" w:eastAsia="宋体" w:cs="Times New Roman"/>
          <w:color w:val="auto"/>
          <w:sz w:val="26"/>
          <w:szCs w:val="26"/>
        </w:rPr>
        <w:t>很小。即便天然气发生泄漏，泄漏气体大量挥发至空气中，亦不会污染地表水、地下水</w:t>
      </w:r>
      <w:r>
        <w:rPr>
          <w:rFonts w:hint="default" w:ascii="Times New Roman" w:hAnsi="Times New Roman" w:eastAsia="宋体" w:cs="Times New Roman"/>
          <w:color w:val="auto"/>
          <w:sz w:val="26"/>
          <w:szCs w:val="26"/>
          <w:lang w:val="en-US" w:eastAsia="zh-CN"/>
        </w:rPr>
        <w:t>和土壤</w:t>
      </w:r>
      <w:r>
        <w:rPr>
          <w:rFonts w:hint="default" w:ascii="Times New Roman" w:hAnsi="Times New Roman" w:eastAsia="宋体" w:cs="Times New Roman"/>
          <w:color w:val="auto"/>
          <w:sz w:val="26"/>
          <w:szCs w:val="26"/>
        </w:rPr>
        <w:t>环境。</w:t>
      </w:r>
    </w:p>
    <w:p w14:paraId="07D226DB">
      <w:pPr>
        <w:keepNext w:val="0"/>
        <w:keepLines w:val="0"/>
        <w:pageBreakBefore w:val="0"/>
        <w:widowControl w:val="0"/>
        <w:kinsoku/>
        <w:wordWrap/>
        <w:overflowPunct/>
        <w:topLinePunct w:val="0"/>
        <w:bidi w:val="0"/>
        <w:spacing w:line="500" w:lineRule="exact"/>
        <w:ind w:firstLine="522" w:firstLineChars="200"/>
        <w:textAlignment w:val="auto"/>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7.</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.3 对沿线农作物（永久基本农田）影响分析</w:t>
      </w:r>
    </w:p>
    <w:p w14:paraId="78F77375">
      <w:pPr>
        <w:keepNext w:val="0"/>
        <w:keepLines w:val="0"/>
        <w:pageBreakBefore w:val="0"/>
        <w:widowControl w:val="0"/>
        <w:kinsoku/>
        <w:wordWrap/>
        <w:overflowPunct/>
        <w:topLinePunct w:val="0"/>
        <w:autoSpaceDE w:val="0"/>
        <w:autoSpaceDN w:val="0"/>
        <w:bidi w:val="0"/>
        <w:adjustRightInd w:val="0"/>
        <w:spacing w:line="500" w:lineRule="exact"/>
        <w:ind w:firstLine="5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6"/>
          <w:szCs w:val="26"/>
        </w:rPr>
        <w:t>管道经过的部分区域属于农作物种植区，农作物种植区多为</w:t>
      </w:r>
      <w:r>
        <w:rPr>
          <w:rFonts w:hint="default" w:ascii="Times New Roman" w:hAnsi="Times New Roman" w:eastAsia="宋体" w:cs="Times New Roman"/>
          <w:color w:val="auto"/>
          <w:sz w:val="26"/>
          <w:szCs w:val="26"/>
          <w:lang w:val="en-US" w:eastAsia="zh-CN"/>
        </w:rPr>
        <w:t>番薯、油菜、玉米</w:t>
      </w:r>
      <w:r>
        <w:rPr>
          <w:rFonts w:hint="default" w:ascii="Times New Roman" w:hAnsi="Times New Roman" w:eastAsia="宋体" w:cs="Times New Roman"/>
          <w:color w:val="auto"/>
          <w:sz w:val="26"/>
          <w:szCs w:val="26"/>
        </w:rPr>
        <w:t>等作物、蔬菜地，天然气泄漏对农作物影响不大，主要体现在泄漏后燃烧对农作物等植物的直接焚毁。事故产生的影响一般在半径200m范围内，影响时间相对较短，在发生事故时，应加强对抢维修作业的管理，把环境影响降到最低程度。</w:t>
      </w:r>
    </w:p>
    <w:p w14:paraId="2B76A9F2">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7.</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w:t>
      </w:r>
      <w:r>
        <w:rPr>
          <w:rFonts w:hint="default" w:ascii="Times New Roman" w:hAnsi="Times New Roman" w:eastAsia="宋体" w:cs="Times New Roman"/>
          <w:b/>
          <w:color w:val="auto"/>
          <w:sz w:val="26"/>
          <w:szCs w:val="26"/>
          <w:lang w:val="en-US" w:eastAsia="zh-CN"/>
        </w:rPr>
        <w:t>4</w:t>
      </w:r>
      <w:r>
        <w:rPr>
          <w:rFonts w:hint="default" w:ascii="Times New Roman" w:hAnsi="Times New Roman" w:eastAsia="宋体" w:cs="Times New Roman"/>
          <w:b/>
          <w:color w:val="auto"/>
          <w:sz w:val="26"/>
          <w:szCs w:val="26"/>
        </w:rPr>
        <w:t>燃烧和爆炸的次生污染影响</w:t>
      </w:r>
    </w:p>
    <w:p w14:paraId="15B0D5C1">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在事故状态下，若发生火灾或爆炸事故，天然气燃烧生成的主要产物为CO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O，以及极少量的NO</w:t>
      </w:r>
      <w:r>
        <w:rPr>
          <w:rFonts w:hint="default" w:ascii="Times New Roman" w:hAnsi="Times New Roman" w:eastAsia="宋体" w:cs="Times New Roman"/>
          <w:color w:val="auto"/>
          <w:vertAlign w:val="subscript"/>
        </w:rPr>
        <w:t>X</w:t>
      </w:r>
      <w:r>
        <w:rPr>
          <w:rFonts w:hint="default" w:ascii="Times New Roman" w:hAnsi="Times New Roman" w:eastAsia="宋体" w:cs="Times New Roman"/>
          <w:color w:val="auto"/>
        </w:rPr>
        <w:t>，但是管道火灾或爆炸事故一般发生在开阔空间，事故发生后污染物会很快扩散，不会长期影响空气质量，对项目拟建地周围环境不会造成较大污染。</w:t>
      </w:r>
    </w:p>
    <w:p w14:paraId="679CB123">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总的来说，由于项目各个危险单元前后设置了紧急隔离系统，一旦管道发生泄漏事故，两端站场迅速关闭，泄漏时间一般不会超过10min，风险情况下，管道泄漏时间短，甲烷暴露时间短，不会对人体造成不可逆的伤害；甲烷泄漏后如果遇火发生燃烧爆炸事故，产生的次生污染物种类和数量均较</w:t>
      </w:r>
      <w:r>
        <w:rPr>
          <w:rFonts w:hint="default" w:ascii="Times New Roman" w:hAnsi="Times New Roman" w:eastAsia="宋体" w:cs="Times New Roman"/>
          <w:color w:val="auto"/>
          <w:shd w:val="clear" w:fill="FFFFFF"/>
        </w:rPr>
        <w:t>小</w:t>
      </w:r>
      <w:r>
        <w:rPr>
          <w:rFonts w:hint="default" w:ascii="Times New Roman" w:hAnsi="Times New Roman" w:eastAsia="宋体" w:cs="Times New Roman"/>
          <w:color w:val="auto"/>
        </w:rPr>
        <w:t>，不会严重影响空气质量。同时，结合导则的统计数据知，全管径泄漏的概率约为1.00×10</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/m.a，事故发生的概率极低。采取积极的风险防范措施，并制定有效的应急预案后，环境风险总体可控。</w:t>
      </w:r>
    </w:p>
    <w:p w14:paraId="604F896A">
      <w:pPr>
        <w:adjustRightInd w:val="0"/>
        <w:snapToGri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7.</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.5同类工程事故调查</w:t>
      </w:r>
    </w:p>
    <w:p w14:paraId="3EF55E18">
      <w:pPr>
        <w:autoSpaceDE w:val="0"/>
        <w:autoSpaceDN w:val="0"/>
        <w:adjustRightIn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（1）欧洲</w:t>
      </w:r>
    </w:p>
    <w:p w14:paraId="1229DC96">
      <w:pPr>
        <w:autoSpaceDE w:val="0"/>
        <w:autoSpaceDN w:val="0"/>
        <w:adjustRightIn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欧洲是天然气工业发展比较早，也是十分发达的地区，经过几十年的发展和建设，该地区的跨国管道已将许多欧洲国家相连，形成了密集复杂的天然气网络系统。为了更有效地掌握输气管道事故发生的频率和原因，1982年开始，6 家欧洲气体输送公司联合开展了收集所属公司管道事故的调查工作。这项工作得到了各大输气公司的积极响应，并据此成立了一个专门组织即欧洲输气管道事故数据组织(EGIG)。目前，EGIG已经涵盖了17家欧洲主要天然气管道运营单位，管道长度约14.3×10</w:t>
      </w:r>
      <w:r>
        <w:rPr>
          <w:rFonts w:hint="default" w:ascii="Times New Roman" w:hAnsi="Times New Roman" w:eastAsia="宋体" w:cs="Times New Roman"/>
          <w:color w:val="auto"/>
          <w:sz w:val="26"/>
          <w:szCs w:val="26"/>
          <w:vertAlign w:val="superscript"/>
        </w:rPr>
        <w:t>4</w:t>
      </w:r>
      <w:r>
        <w:rPr>
          <w:rFonts w:hint="default" w:ascii="Times New Roman" w:hAnsi="Times New Roman" w:eastAsia="宋体" w:cs="Times New Roman"/>
          <w:color w:val="auto"/>
          <w:sz w:val="26"/>
          <w:szCs w:val="26"/>
        </w:rPr>
        <w:t>km（管道压力≥1.5MPa.包括DN100mm以下的管道）。这个数据库已经在世界各地的燃气管道安全分析中广泛应用，对提高管道安全发挥了作用。</w:t>
      </w:r>
    </w:p>
    <w:p w14:paraId="4BCAFF3D">
      <w:pPr>
        <w:autoSpaceDE w:val="0"/>
        <w:autoSpaceDN w:val="0"/>
        <w:adjustRightIn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eastAsia="ja-JP"/>
        </w:rPr>
        <w:t>①</w:t>
      </w:r>
      <w:r>
        <w:rPr>
          <w:rFonts w:hint="default" w:ascii="Times New Roman" w:hAnsi="Times New Roman" w:eastAsia="宋体" w:cs="Times New Roman"/>
          <w:color w:val="auto"/>
          <w:sz w:val="26"/>
          <w:szCs w:val="26"/>
        </w:rPr>
        <w:t>事故率统计</w:t>
      </w:r>
    </w:p>
    <w:p w14:paraId="5904B35E">
      <w:pPr>
        <w:autoSpaceDE w:val="0"/>
        <w:autoSpaceDN w:val="0"/>
        <w:adjustRightIn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2018年3月，EGIG发布了“10th EGIG report”，对1970 年～2016年共47 年间该组织范围内所辖的输气管道的事故进行统计分析。根据该报告，1970年～2016年间，共发生事故1366 起。每年发生的事故次数统计见图7.2-1。</w:t>
      </w:r>
    </w:p>
    <w:p w14:paraId="694BAB39">
      <w:pPr>
        <w:autoSpaceDE w:val="0"/>
        <w:autoSpaceDN w:val="0"/>
        <w:adjustRightInd w:val="0"/>
        <w:rPr>
          <w:rFonts w:hint="default" w:ascii="Times New Roman" w:hAnsi="Times New Roman" w:eastAsia="宋体" w:cs="Times New Roman"/>
          <w:color w:val="auto"/>
        </w:rPr>
      </w:pPr>
    </w:p>
    <w:p w14:paraId="49117589">
      <w:pPr>
        <w:autoSpaceDE w:val="0"/>
        <w:autoSpaceDN w:val="0"/>
        <w:adjustRightIn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985385" cy="2694940"/>
            <wp:effectExtent l="0" t="0" r="5715" b="10160"/>
            <wp:docPr id="10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4"/>
                    <pic:cNvPicPr>
                      <a:picLocks noChangeAspect="1"/>
                    </pic:cNvPicPr>
                  </pic:nvPicPr>
                  <pic:blipFill>
                    <a:blip r:embed="rId34"/>
                    <a:stretch>
                      <a:fillRect/>
                    </a:stretch>
                  </pic:blipFill>
                  <pic:spPr>
                    <a:xfrm>
                      <a:off x="0" y="0"/>
                      <a:ext cx="4985385" cy="2694940"/>
                    </a:xfrm>
                    <a:prstGeom prst="rect">
                      <a:avLst/>
                    </a:prstGeom>
                    <a:noFill/>
                    <a:ln>
                      <a:noFill/>
                    </a:ln>
                  </pic:spPr>
                </pic:pic>
              </a:graphicData>
            </a:graphic>
          </wp:inline>
        </w:drawing>
      </w:r>
    </w:p>
    <w:p w14:paraId="5D0902CA">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图7.</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-1  历年事故次数统计(1970-2016)</w:t>
      </w:r>
    </w:p>
    <w:p w14:paraId="2A77BECD">
      <w:pPr>
        <w:pStyle w:val="58"/>
        <w:rPr>
          <w:rFonts w:hint="default" w:ascii="Times New Roman" w:hAnsi="Times New Roman" w:eastAsia="宋体" w:cs="Times New Roman"/>
          <w:color w:val="auto"/>
        </w:rPr>
      </w:pPr>
    </w:p>
    <w:p w14:paraId="0F385DDD">
      <w:pPr>
        <w:autoSpaceDE w:val="0"/>
        <w:autoSpaceDN w:val="0"/>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EGIG对1970-2016年47年间、EGIG前几期报告所对应时间段、近40年、近30年、近20年、近10年以及近5年等各个时间段的事故率进行了对比，具体见表7.2-3。1970-2016年间总事故率为0.31/1000km•a，与1970-2013年间总事故率0.33/1000km•a相比，稍微有所下降。2012-2016近5年间，事故率仅为 0.14/1000km•a。</w:t>
      </w:r>
    </w:p>
    <w:p w14:paraId="6FB39B34">
      <w:pPr>
        <w:pStyle w:val="58"/>
        <w:rPr>
          <w:rFonts w:hint="default" w:ascii="Times New Roman" w:hAnsi="Times New Roman" w:eastAsia="宋体" w:cs="Times New Roman"/>
          <w:color w:val="auto"/>
        </w:rPr>
      </w:pPr>
    </w:p>
    <w:p w14:paraId="1F290A6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表7.</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-3   不同时段事故率统计</w:t>
      </w:r>
    </w:p>
    <w:p w14:paraId="0322D688">
      <w:pPr>
        <w:autoSpaceDE w:val="0"/>
        <w:autoSpaceDN w:val="0"/>
        <w:adjustRightInd w:val="0"/>
        <w:snapToGrid w:val="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w:drawing>
          <wp:inline distT="0" distB="0" distL="114300" distR="114300">
            <wp:extent cx="5541645" cy="1759585"/>
            <wp:effectExtent l="0" t="0" r="1905" b="12065"/>
            <wp:docPr id="10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5"/>
                    <pic:cNvPicPr>
                      <a:picLocks noChangeAspect="1"/>
                    </pic:cNvPicPr>
                  </pic:nvPicPr>
                  <pic:blipFill>
                    <a:blip r:embed="rId35"/>
                    <a:stretch>
                      <a:fillRect/>
                    </a:stretch>
                  </pic:blipFill>
                  <pic:spPr>
                    <a:xfrm>
                      <a:off x="0" y="0"/>
                      <a:ext cx="5541645" cy="1759585"/>
                    </a:xfrm>
                    <a:prstGeom prst="rect">
                      <a:avLst/>
                    </a:prstGeom>
                    <a:noFill/>
                    <a:ln>
                      <a:noFill/>
                    </a:ln>
                  </pic:spPr>
                </pic:pic>
              </a:graphicData>
            </a:graphic>
          </wp:inline>
        </w:drawing>
      </w:r>
    </w:p>
    <w:p w14:paraId="208CBC7E">
      <w:pPr>
        <w:autoSpaceDE w:val="0"/>
        <w:autoSpaceDN w:val="0"/>
        <w:adjustRightInd w:val="0"/>
        <w:snapToGrid w:val="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w:drawing>
          <wp:inline distT="0" distB="0" distL="114300" distR="114300">
            <wp:extent cx="5540375" cy="2846705"/>
            <wp:effectExtent l="0" t="0" r="3175" b="10795"/>
            <wp:docPr id="10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6"/>
                    <pic:cNvPicPr>
                      <a:picLocks noChangeAspect="1"/>
                    </pic:cNvPicPr>
                  </pic:nvPicPr>
                  <pic:blipFill>
                    <a:blip r:embed="rId36"/>
                    <a:stretch>
                      <a:fillRect/>
                    </a:stretch>
                  </pic:blipFill>
                  <pic:spPr>
                    <a:xfrm>
                      <a:off x="0" y="0"/>
                      <a:ext cx="5540375" cy="2846705"/>
                    </a:xfrm>
                    <a:prstGeom prst="rect">
                      <a:avLst/>
                    </a:prstGeom>
                    <a:noFill/>
                    <a:ln>
                      <a:noFill/>
                    </a:ln>
                  </pic:spPr>
                </pic:pic>
              </a:graphicData>
            </a:graphic>
          </wp:inline>
        </w:drawing>
      </w:r>
    </w:p>
    <w:p w14:paraId="16EDD8C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图7.</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-2  事故率变化趋势(EGIG)</w:t>
      </w:r>
    </w:p>
    <w:p w14:paraId="61541D16">
      <w:pPr>
        <w:pStyle w:val="58"/>
        <w:rPr>
          <w:rFonts w:hint="default" w:ascii="Times New Roman" w:hAnsi="Times New Roman" w:eastAsia="宋体" w:cs="Times New Roman"/>
          <w:color w:val="auto"/>
        </w:rPr>
      </w:pPr>
    </w:p>
    <w:p w14:paraId="1FDA0469">
      <w:pPr>
        <w:autoSpaceDE w:val="0"/>
        <w:autoSpaceDN w:val="0"/>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图7.2-2为1970-2016年间的事故率变化情况。从该图可知，事故率逐年稳步下降，从1970年的0.87/1000km·a，降至2016年的0.31/1000km·a；其5 年移动平均事故率更是降至最初的六分之一，由0.86/1000km·a降至0.14/1000km·a。</w:t>
      </w:r>
    </w:p>
    <w:p w14:paraId="7703BE09">
      <w:pPr>
        <w:autoSpaceDE w:val="0"/>
        <w:autoSpaceDN w:val="0"/>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②事故原因统计</w:t>
      </w:r>
    </w:p>
    <w:p w14:paraId="3D5E9CBE">
      <w:pPr>
        <w:autoSpaceDE w:val="0"/>
        <w:autoSpaceDN w:val="0"/>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根据统计，近十年来，腐蚀和第三方破坏导致的事故占比不相上下。第三方破坏事故占比28.37%，腐蚀事故占比25%，施工和材料缺陷事故占比17.79%，地基位移、其他原因和误操作等事故分别位于第4～6位，详见图7.2-3。前三项事故原因不仅是造成欧洲输气管道事故的主要因素，而且也是整个世界管道工业中事故率最高的三大因素。</w:t>
      </w:r>
    </w:p>
    <w:p w14:paraId="4C70D073">
      <w:pPr>
        <w:autoSpaceDE w:val="0"/>
        <w:autoSpaceDN w:val="0"/>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w:drawing>
          <wp:inline distT="0" distB="0" distL="114300" distR="114300">
            <wp:extent cx="4933315" cy="2402840"/>
            <wp:effectExtent l="0" t="0" r="635" b="16510"/>
            <wp:docPr id="10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7"/>
                    <pic:cNvPicPr>
                      <a:picLocks noChangeAspect="1"/>
                    </pic:cNvPicPr>
                  </pic:nvPicPr>
                  <pic:blipFill>
                    <a:blip r:embed="rId37"/>
                    <a:stretch>
                      <a:fillRect/>
                    </a:stretch>
                  </pic:blipFill>
                  <pic:spPr>
                    <a:xfrm>
                      <a:off x="0" y="0"/>
                      <a:ext cx="4933315" cy="2402840"/>
                    </a:xfrm>
                    <a:prstGeom prst="rect">
                      <a:avLst/>
                    </a:prstGeom>
                    <a:noFill/>
                    <a:ln>
                      <a:noFill/>
                    </a:ln>
                  </pic:spPr>
                </pic:pic>
              </a:graphicData>
            </a:graphic>
          </wp:inline>
        </w:drawing>
      </w:r>
    </w:p>
    <w:p w14:paraId="16076582">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图7.</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-3  欧洲输气管道事故原因统计(2007-2016)</w:t>
      </w:r>
    </w:p>
    <w:p w14:paraId="64646072">
      <w:pPr>
        <w:autoSpaceDE w:val="0"/>
        <w:autoSpaceDN w:val="0"/>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w:drawing>
          <wp:inline distT="0" distB="0" distL="114300" distR="114300">
            <wp:extent cx="4911090" cy="2884170"/>
            <wp:effectExtent l="0" t="0" r="3810" b="11430"/>
            <wp:docPr id="10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8"/>
                    <pic:cNvPicPr>
                      <a:picLocks noChangeAspect="1"/>
                    </pic:cNvPicPr>
                  </pic:nvPicPr>
                  <pic:blipFill>
                    <a:blip r:embed="rId38"/>
                    <a:stretch>
                      <a:fillRect/>
                    </a:stretch>
                  </pic:blipFill>
                  <pic:spPr>
                    <a:xfrm>
                      <a:off x="0" y="0"/>
                      <a:ext cx="4911090" cy="2884170"/>
                    </a:xfrm>
                    <a:prstGeom prst="rect">
                      <a:avLst/>
                    </a:prstGeom>
                    <a:noFill/>
                    <a:ln>
                      <a:noFill/>
                    </a:ln>
                  </pic:spPr>
                </pic:pic>
              </a:graphicData>
            </a:graphic>
          </wp:inline>
        </w:drawing>
      </w:r>
    </w:p>
    <w:p w14:paraId="333B196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图7.</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-4  不同原因导致的各种类型泄漏事故率统计(2007-2016)</w:t>
      </w:r>
    </w:p>
    <w:p w14:paraId="399B30E6">
      <w:pPr>
        <w:pStyle w:val="58"/>
        <w:rPr>
          <w:rFonts w:hint="default" w:ascii="Times New Roman" w:hAnsi="Times New Roman" w:eastAsia="宋体" w:cs="Times New Roman"/>
          <w:color w:val="auto"/>
        </w:rPr>
      </w:pPr>
    </w:p>
    <w:p w14:paraId="4ACC799E">
      <w:pPr>
        <w:autoSpaceDE w:val="0"/>
        <w:autoSpaceDN w:val="0"/>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图7.2-3、7.2-4展示了不同事故原因导致的各种泄漏孔径的事故率数值。虽然近年来事故率有所下降，但是对于某种孔径的泄漏来说，其产生原因依然没变。导致穿孔事故和破裂事故的原因依然主要是第三方破坏，针孔泄漏依然主要是由腐蚀导致的。</w:t>
      </w:r>
    </w:p>
    <w:p w14:paraId="2E83231E">
      <w:pPr>
        <w:pStyle w:val="58"/>
        <w:rPr>
          <w:rFonts w:hint="default" w:ascii="Times New Roman" w:hAnsi="Times New Roman" w:eastAsia="宋体" w:cs="Times New Roman"/>
          <w:color w:val="auto"/>
        </w:rPr>
      </w:pPr>
    </w:p>
    <w:p w14:paraId="2D34596F">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表7.</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-4   不同原因导致的各种类型泄漏事故率统计(2007-2016)</w:t>
      </w:r>
    </w:p>
    <w:p w14:paraId="17223FF1">
      <w:pPr>
        <w:autoSpaceDE w:val="0"/>
        <w:autoSpaceDN w:val="0"/>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w:drawing>
          <wp:inline distT="0" distB="0" distL="114300" distR="114300">
            <wp:extent cx="5537835" cy="1094740"/>
            <wp:effectExtent l="0" t="0" r="5715" b="10160"/>
            <wp:docPr id="10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9"/>
                    <pic:cNvPicPr>
                      <a:picLocks noChangeAspect="1"/>
                    </pic:cNvPicPr>
                  </pic:nvPicPr>
                  <pic:blipFill>
                    <a:blip r:embed="rId39"/>
                    <a:stretch>
                      <a:fillRect/>
                    </a:stretch>
                  </pic:blipFill>
                  <pic:spPr>
                    <a:xfrm>
                      <a:off x="0" y="0"/>
                      <a:ext cx="5537835" cy="1094740"/>
                    </a:xfrm>
                    <a:prstGeom prst="rect">
                      <a:avLst/>
                    </a:prstGeom>
                    <a:noFill/>
                    <a:ln>
                      <a:noFill/>
                    </a:ln>
                  </pic:spPr>
                </pic:pic>
              </a:graphicData>
            </a:graphic>
          </wp:inline>
        </w:drawing>
      </w:r>
    </w:p>
    <w:p w14:paraId="3BD611B4">
      <w:pPr>
        <w:autoSpaceDE w:val="0"/>
        <w:autoSpaceDN w:val="0"/>
        <w:adjustRightInd w:val="0"/>
        <w:snapToGrid w:val="0"/>
        <w:jc w:val="center"/>
        <w:rPr>
          <w:rFonts w:hint="default" w:ascii="Times New Roman" w:hAnsi="Times New Roman" w:eastAsia="宋体" w:cs="Times New Roman"/>
          <w:color w:val="auto"/>
          <w:sz w:val="26"/>
          <w:szCs w:val="26"/>
        </w:rPr>
      </w:pPr>
    </w:p>
    <w:p w14:paraId="198C348B">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A</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第三方破坏</w:t>
      </w:r>
    </w:p>
    <w:p w14:paraId="75A7584F">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第三方破坏指的是由外在原因或由第三方以及不可抗拒的外力而引发的管道事故，它是造成欧洲输气管道事故的首要原因，近十年来约占事故总数的 28.37%。随着对如何防止第三方破坏的重视，近十年来由第三方破坏引发的事故率已降至0.043/1000km•a。EGIG 调查结果还显示管道事故的发生频率与管道直径、埋深和壁厚均有关系。管径较小的管道，其事故率高于管径较大管道的事故率。因为管径小，管壁相应较薄，容易出针孔或孔洞，所以小管径管道更容易受到第三方破坏；管道埋深越深，第三方破坏事故率越低；管道壁厚越厚，第三方破坏事故率也越低。研究还显示，近年来各种填埋深度的管道与之前同样埋深的管道相比，事故率也有所下降；15mm以上壁厚的管道，没有发生过第三方破坏事故。</w:t>
      </w:r>
    </w:p>
    <w:p w14:paraId="36BEEB97">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B</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腐蚀</w:t>
      </w:r>
    </w:p>
    <w:p w14:paraId="023CE7EA">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腐蚀也是欧洲输气管道泄漏的主要原因之一，且通常发生在薄壁管上。根据EGIG的统计结果，近十年来腐蚀引发的事故率排在第二位，占事故总数的25%。</w:t>
      </w:r>
    </w:p>
    <w:p w14:paraId="04979685">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早期建设的管道，主要采用沥青作为防腐层，事故率较高；近年来，大多数管道采用诸如聚乙烯类材料的现代涂层，腐蚀事故率明显下降；聚乙烯涂层与其他类型涂层相比，可大大降低管道的腐蚀事故率。腐蚀事故率随着管道壁厚增加而下降。主要原因为：腐蚀过程跟时间有关，跟管道壁厚没有关系。但是管壁越薄越容易因腐蚀而损坏。管壁越厚的管道，发生腐蚀损坏需要的时间就越长，因此也就有更多的机会被检测到。EGIG 还对腐蚀事故有关的两个方面的数据进行了统计，分别为腐蚀发生位置（内腐蚀、外腐蚀、未知位置）和腐蚀类型（全面腐蚀、点状腐蚀、裂纹腐蚀）。点状腐蚀是最普遍的腐蚀类型，几乎所有带有点状腐蚀的事故都发</w:t>
      </w:r>
      <w:r>
        <w:rPr>
          <w:rFonts w:hint="default" w:ascii="Times New Roman" w:hAnsi="Times New Roman" w:eastAsia="宋体" w:cs="Times New Roman"/>
          <w:color w:val="auto"/>
          <w:sz w:val="26"/>
          <w:szCs w:val="26"/>
          <w:shd w:val="clear" w:fill="FFFFFF"/>
          <w:lang w:eastAsia="zh-CN"/>
        </w:rPr>
        <w:t>生在</w:t>
      </w:r>
      <w:r>
        <w:rPr>
          <w:rFonts w:hint="default" w:ascii="Times New Roman" w:hAnsi="Times New Roman" w:eastAsia="宋体" w:cs="Times New Roman"/>
          <w:color w:val="auto"/>
          <w:sz w:val="26"/>
          <w:szCs w:val="26"/>
        </w:rPr>
        <w:t>管道的外表面。裂纹腐蚀是第二大腐蚀类型，且在管道内外表面均有发生。近年来，所有的裂纹腐蚀均发生在管道外表面。全面腐蚀即金属表面出现均匀的腐蚀现象，这种类型的腐蚀通常在管道外表面被检测到。</w:t>
      </w:r>
    </w:p>
    <w:p w14:paraId="7257EE02">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C</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施工缺陷及材料缺陷</w:t>
      </w:r>
    </w:p>
    <w:p w14:paraId="4B8D83B5">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根据EGIG的统计，近十年（2007年-2016年</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来，施工和材料缺陷在欧洲输气管道事故因素中占第三位，所占比例为17.79%。EGIG对1970-2016年之间发生的，因施工和材料缺陷导致的事故进行了统计。</w:t>
      </w:r>
    </w:p>
    <w:p w14:paraId="15F2805C">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总而言之，近年来由施工和材料缺陷导致的事故率逐年下降。由于施工技术的提高，新建管道发生的施工缺陷事故率越来越少。</w:t>
      </w:r>
    </w:p>
    <w:p w14:paraId="1C781F3F">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D</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热损伤</w:t>
      </w:r>
    </w:p>
    <w:p w14:paraId="035E0DAA">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总的来说，热损伤事故率随管径增大而降低，并且对于各种泄漏孔径的事故率而言均是如此。</w:t>
      </w:r>
    </w:p>
    <w:p w14:paraId="58F28E0F">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E</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地基位移</w:t>
      </w:r>
    </w:p>
    <w:p w14:paraId="40DF70BD">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地基位移在近十年的管道事故原因中，大概占比15%。统计表明，1970-2016 年期间，由地基位移导致的事故率随管径增大而降低。47</w:t>
      </w:r>
      <w:r>
        <w:rPr>
          <w:rFonts w:hint="default" w:ascii="Times New Roman" w:hAnsi="Times New Roman" w:eastAsia="宋体" w:cs="Times New Roman"/>
          <w:color w:val="auto"/>
          <w:sz w:val="26"/>
          <w:szCs w:val="26"/>
          <w:shd w:val="clear" w:fill="FFFFFF"/>
        </w:rPr>
        <w:t>英寸</w:t>
      </w:r>
      <w:r>
        <w:rPr>
          <w:rFonts w:hint="default" w:ascii="Times New Roman" w:hAnsi="Times New Roman" w:eastAsia="宋体" w:cs="Times New Roman"/>
          <w:color w:val="auto"/>
          <w:sz w:val="26"/>
          <w:szCs w:val="26"/>
        </w:rPr>
        <w:t>以上管径的管道只发生过一次地基位移事故。滑坡是导致地基位移最主要的原因，占比在60%以上。</w:t>
      </w:r>
    </w:p>
    <w:p w14:paraId="27C0E6BA">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F</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其他未知原因</w:t>
      </w:r>
    </w:p>
    <w:p w14:paraId="7A2A788A">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在EGIG统计目录中，被划入“其他未知原因”的事故中，29.3%的事故原因是雷击。1970-2016年期间，EGIG 数据库中记录有29起跟雷击有关的事故，事故率相当于0.0066/1000km·a。EGIG对雷击事故导致的泄漏孔径进行调查，发现29起雷击事故中，其中27起为针孔泄漏，另外2起为穿孔泄漏。</w:t>
      </w:r>
    </w:p>
    <w:p w14:paraId="5DDCB6E6">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（2）美国</w:t>
      </w:r>
    </w:p>
    <w:p w14:paraId="1F6A737F">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OPS(Office of Pipeline Safety)是美国联邦政府指定的输油和输气管道管理部门，管道事故资料较</w:t>
      </w:r>
      <w:r>
        <w:rPr>
          <w:rFonts w:hint="default" w:ascii="Times New Roman" w:hAnsi="Times New Roman" w:eastAsia="宋体" w:cs="Times New Roman"/>
          <w:color w:val="auto"/>
          <w:sz w:val="26"/>
          <w:szCs w:val="26"/>
          <w:shd w:val="clear" w:fill="FFFFFF"/>
        </w:rPr>
        <w:t>详实</w:t>
      </w:r>
      <w:r>
        <w:rPr>
          <w:rFonts w:hint="default" w:ascii="Times New Roman" w:hAnsi="Times New Roman" w:eastAsia="宋体" w:cs="Times New Roman"/>
          <w:color w:val="auto"/>
          <w:sz w:val="26"/>
          <w:szCs w:val="26"/>
        </w:rPr>
        <w:t>。根据1991-2017年美国陆上输气管道事故统计，</w:t>
      </w:r>
      <w:r>
        <w:rPr>
          <w:rFonts w:hint="default" w:ascii="Times New Roman" w:hAnsi="Times New Roman" w:eastAsia="宋体" w:cs="Times New Roman"/>
          <w:color w:val="auto"/>
          <w:sz w:val="26"/>
          <w:szCs w:val="26"/>
          <w:lang w:bidi="ar"/>
        </w:rPr>
        <w:t>在1991年</w:t>
      </w:r>
      <w:r>
        <w:rPr>
          <w:rFonts w:hint="default" w:ascii="Times New Roman" w:hAnsi="Times New Roman" w:eastAsia="宋体" w:cs="Times New Roman"/>
          <w:color w:val="auto"/>
          <w:sz w:val="26"/>
          <w:szCs w:val="26"/>
          <w:shd w:val="clear" w:fill="FFFFFF"/>
          <w:lang w:bidi="ar"/>
        </w:rPr>
        <w:t>～</w:t>
      </w:r>
      <w:r>
        <w:rPr>
          <w:rFonts w:hint="default" w:ascii="Times New Roman" w:hAnsi="Times New Roman" w:eastAsia="宋体" w:cs="Times New Roman"/>
          <w:color w:val="auto"/>
          <w:sz w:val="26"/>
          <w:szCs w:val="26"/>
          <w:lang w:bidi="ar"/>
        </w:rPr>
        <w:t>2017年的27年里，美国输气管道 共发生了2163次事故，年平均事故率约为80.1次，事故率平均为1.70×10</w:t>
      </w:r>
      <w:r>
        <w:rPr>
          <w:rFonts w:hint="default" w:ascii="Times New Roman" w:hAnsi="Times New Roman" w:eastAsia="宋体" w:cs="Times New Roman"/>
          <w:color w:val="auto"/>
          <w:sz w:val="26"/>
          <w:szCs w:val="26"/>
          <w:vertAlign w:val="superscript"/>
          <w:lang w:bidi="ar"/>
        </w:rPr>
        <w:t>-4</w:t>
      </w:r>
      <w:r>
        <w:rPr>
          <w:rFonts w:hint="default" w:ascii="Times New Roman" w:hAnsi="Times New Roman" w:eastAsia="宋体" w:cs="Times New Roman"/>
          <w:color w:val="auto"/>
          <w:sz w:val="26"/>
          <w:szCs w:val="26"/>
          <w:lang w:bidi="ar"/>
        </w:rPr>
        <w:t>次/(km•a)，事故伤亡率平均为3.35×10</w:t>
      </w:r>
      <w:r>
        <w:rPr>
          <w:rFonts w:hint="default" w:ascii="Times New Roman" w:hAnsi="Times New Roman" w:eastAsia="宋体" w:cs="Times New Roman"/>
          <w:color w:val="auto"/>
          <w:sz w:val="26"/>
          <w:szCs w:val="26"/>
          <w:vertAlign w:val="superscript"/>
          <w:lang w:bidi="ar"/>
        </w:rPr>
        <w:t>-7</w:t>
      </w:r>
      <w:r>
        <w:rPr>
          <w:rFonts w:hint="default" w:ascii="Times New Roman" w:hAnsi="Times New Roman" w:eastAsia="宋体" w:cs="Times New Roman"/>
          <w:color w:val="auto"/>
          <w:sz w:val="26"/>
          <w:szCs w:val="26"/>
          <w:lang w:bidi="ar"/>
        </w:rPr>
        <w:t>/（次·km·a）</w:t>
      </w:r>
      <w:r>
        <w:rPr>
          <w:rFonts w:hint="default" w:ascii="Times New Roman" w:hAnsi="Times New Roman" w:eastAsia="宋体" w:cs="Times New Roman"/>
          <w:color w:val="auto"/>
          <w:sz w:val="26"/>
          <w:szCs w:val="26"/>
        </w:rPr>
        <w:t>。</w:t>
      </w:r>
    </w:p>
    <w:p w14:paraId="1A673D56">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（3）</w:t>
      </w:r>
      <w:r>
        <w:rPr>
          <w:rFonts w:hint="default" w:ascii="Times New Roman" w:hAnsi="Times New Roman" w:eastAsia="宋体" w:cs="Times New Roman"/>
          <w:color w:val="auto"/>
          <w:sz w:val="26"/>
          <w:szCs w:val="26"/>
          <w:shd w:val="clear" w:fill="FFFFFF"/>
        </w:rPr>
        <w:t>前苏联</w:t>
      </w:r>
    </w:p>
    <w:p w14:paraId="4937615E">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shd w:val="clear" w:fill="FFFFFF"/>
        </w:rPr>
        <w:t>前苏联的</w:t>
      </w:r>
      <w:r>
        <w:rPr>
          <w:rFonts w:hint="default" w:ascii="Times New Roman" w:hAnsi="Times New Roman" w:eastAsia="宋体" w:cs="Times New Roman"/>
          <w:color w:val="auto"/>
          <w:sz w:val="26"/>
          <w:szCs w:val="26"/>
        </w:rPr>
        <w:t>石油天然气工业在 80 年代得到了迅猛发展，这一时期建设的输气管道包括著名的乌连戈依－中央输气管道系统，它把西伯利亚天然气输送到了西欧。</w:t>
      </w:r>
      <w:r>
        <w:rPr>
          <w:rFonts w:hint="default" w:ascii="Times New Roman" w:hAnsi="Times New Roman" w:eastAsia="宋体" w:cs="Times New Roman"/>
          <w:color w:val="auto"/>
          <w:sz w:val="26"/>
          <w:szCs w:val="26"/>
          <w:shd w:val="clear" w:fill="FFFFFF"/>
        </w:rPr>
        <w:t>前苏联</w:t>
      </w:r>
      <w:r>
        <w:rPr>
          <w:rFonts w:hint="default" w:ascii="Times New Roman" w:hAnsi="Times New Roman" w:eastAsia="宋体" w:cs="Times New Roman"/>
          <w:color w:val="auto"/>
          <w:sz w:val="26"/>
          <w:szCs w:val="26"/>
        </w:rPr>
        <w:t>输气管道在几十年的运营中，出现过各种类型的事故，表7.2-5 列出的是1981年到1990年期间发生事故的统计结果。各种事故原因统计分析结果列于表7.2-6。</w:t>
      </w:r>
    </w:p>
    <w:p w14:paraId="6391871D">
      <w:pPr>
        <w:pStyle w:val="58"/>
        <w:rPr>
          <w:rFonts w:hint="default" w:ascii="Times New Roman" w:hAnsi="Times New Roman" w:eastAsia="宋体" w:cs="Times New Roman"/>
          <w:color w:val="auto"/>
        </w:rPr>
      </w:pPr>
    </w:p>
    <w:p w14:paraId="34B009F8">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表7.</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-5   1981年～1990年</w:t>
      </w:r>
      <w:r>
        <w:rPr>
          <w:rFonts w:hint="default" w:ascii="Times New Roman" w:hAnsi="Times New Roman" w:eastAsia="宋体" w:cs="Times New Roman"/>
          <w:color w:val="auto"/>
          <w:shd w:val="clear" w:fill="FFFFFF"/>
        </w:rPr>
        <w:t>前苏联</w:t>
      </w:r>
      <w:r>
        <w:rPr>
          <w:rFonts w:hint="default" w:ascii="Times New Roman" w:hAnsi="Times New Roman" w:eastAsia="宋体" w:cs="Times New Roman"/>
          <w:color w:val="auto"/>
        </w:rPr>
        <w:t>输气管道事故统计数据</w:t>
      </w:r>
    </w:p>
    <w:p w14:paraId="062385D3">
      <w:pPr>
        <w:adjustRightInd w:val="0"/>
        <w:snapToGrid w:val="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w:drawing>
          <wp:inline distT="0" distB="0" distL="114300" distR="114300">
            <wp:extent cx="5541645" cy="2464435"/>
            <wp:effectExtent l="0" t="0" r="1905" b="12065"/>
            <wp:docPr id="10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0"/>
                    <pic:cNvPicPr>
                      <a:picLocks noChangeAspect="1"/>
                    </pic:cNvPicPr>
                  </pic:nvPicPr>
                  <pic:blipFill>
                    <a:blip r:embed="rId40"/>
                    <a:srcRect t="1347"/>
                    <a:stretch>
                      <a:fillRect/>
                    </a:stretch>
                  </pic:blipFill>
                  <pic:spPr>
                    <a:xfrm>
                      <a:off x="0" y="0"/>
                      <a:ext cx="5541645" cy="2464435"/>
                    </a:xfrm>
                    <a:prstGeom prst="rect">
                      <a:avLst/>
                    </a:prstGeom>
                    <a:noFill/>
                    <a:ln>
                      <a:noFill/>
                    </a:ln>
                  </pic:spPr>
                </pic:pic>
              </a:graphicData>
            </a:graphic>
          </wp:inline>
        </w:drawing>
      </w:r>
    </w:p>
    <w:p w14:paraId="63E3D10B">
      <w:pPr>
        <w:pStyle w:val="58"/>
        <w:rPr>
          <w:rFonts w:hint="default" w:ascii="Times New Roman" w:hAnsi="Times New Roman" w:eastAsia="宋体" w:cs="Times New Roman"/>
          <w:color w:val="auto"/>
        </w:rPr>
      </w:pPr>
    </w:p>
    <w:p w14:paraId="2BE4D339">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表7.</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-6   1981年～1990年</w:t>
      </w:r>
      <w:r>
        <w:rPr>
          <w:rFonts w:hint="default" w:ascii="Times New Roman" w:hAnsi="Times New Roman" w:eastAsia="宋体" w:cs="Times New Roman"/>
          <w:color w:val="auto"/>
          <w:shd w:val="clear" w:fill="FFFFFF"/>
        </w:rPr>
        <w:t>前苏联</w:t>
      </w:r>
      <w:r>
        <w:rPr>
          <w:rFonts w:hint="default" w:ascii="Times New Roman" w:hAnsi="Times New Roman" w:eastAsia="宋体" w:cs="Times New Roman"/>
          <w:color w:val="auto"/>
        </w:rPr>
        <w:t>输气管道事故原因分析</w:t>
      </w:r>
    </w:p>
    <w:p w14:paraId="6A38C774">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rPr>
        <w:drawing>
          <wp:inline distT="0" distB="0" distL="114300" distR="114300">
            <wp:extent cx="5541645" cy="2014855"/>
            <wp:effectExtent l="0" t="0" r="1905" b="4445"/>
            <wp:docPr id="11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1"/>
                    <pic:cNvPicPr>
                      <a:picLocks noChangeAspect="1"/>
                    </pic:cNvPicPr>
                  </pic:nvPicPr>
                  <pic:blipFill>
                    <a:blip r:embed="rId41"/>
                    <a:stretch>
                      <a:fillRect/>
                    </a:stretch>
                  </pic:blipFill>
                  <pic:spPr>
                    <a:xfrm>
                      <a:off x="0" y="0"/>
                      <a:ext cx="5541645" cy="2014855"/>
                    </a:xfrm>
                    <a:prstGeom prst="rect">
                      <a:avLst/>
                    </a:prstGeom>
                    <a:noFill/>
                    <a:ln>
                      <a:noFill/>
                    </a:ln>
                  </pic:spPr>
                </pic:pic>
              </a:graphicData>
            </a:graphic>
          </wp:inline>
        </w:drawing>
      </w:r>
    </w:p>
    <w:p w14:paraId="75084852">
      <w:pPr>
        <w:pStyle w:val="58"/>
        <w:rPr>
          <w:rFonts w:hint="default" w:ascii="Times New Roman" w:hAnsi="Times New Roman" w:eastAsia="宋体" w:cs="Times New Roman"/>
          <w:color w:val="auto"/>
        </w:rPr>
      </w:pPr>
    </w:p>
    <w:p w14:paraId="5E6E4705">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在1981年到1990年10年间，</w:t>
      </w:r>
      <w:r>
        <w:rPr>
          <w:rFonts w:hint="default" w:ascii="Times New Roman" w:hAnsi="Times New Roman" w:eastAsia="宋体" w:cs="Times New Roman"/>
          <w:color w:val="auto"/>
          <w:sz w:val="26"/>
          <w:szCs w:val="26"/>
          <w:shd w:val="clear" w:fill="FFFFFF"/>
        </w:rPr>
        <w:t>前苏联</w:t>
      </w:r>
      <w:r>
        <w:rPr>
          <w:rFonts w:hint="default" w:ascii="Times New Roman" w:hAnsi="Times New Roman" w:eastAsia="宋体" w:cs="Times New Roman"/>
          <w:color w:val="auto"/>
          <w:sz w:val="26"/>
          <w:szCs w:val="26"/>
        </w:rPr>
        <w:t>由于各种事故原因造成输气管道事故共752次，平均事故率为0.46×10</w:t>
      </w:r>
      <w:r>
        <w:rPr>
          <w:rFonts w:hint="default" w:ascii="Times New Roman" w:hAnsi="Times New Roman" w:eastAsia="宋体" w:cs="Times New Roman"/>
          <w:color w:val="auto"/>
          <w:sz w:val="26"/>
          <w:szCs w:val="26"/>
          <w:vertAlign w:val="superscript"/>
        </w:rPr>
        <w:t>-3</w:t>
      </w:r>
      <w:r>
        <w:rPr>
          <w:rFonts w:hint="default" w:ascii="Times New Roman" w:hAnsi="Times New Roman" w:eastAsia="宋体" w:cs="Times New Roman"/>
          <w:color w:val="auto"/>
          <w:sz w:val="26"/>
          <w:szCs w:val="26"/>
        </w:rPr>
        <w:t>次/(km·a)。从上两个表的统计结果可以看出，各种事故原因依其在事故总次数中所占的比例排序为：腐蚀39.9%（其中外腐蚀33.0%，内腐蚀6.9%），第三方破坏16.9%，材料缺陷13.3%，焊接缺陷10.8%，施工缺陷8.6%，违反操作规程、设备缺陷和其他原因所占比例较低，分别为2.9%、2.3%和5.3%。</w:t>
      </w:r>
    </w:p>
    <w:p w14:paraId="5641A9FA">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（4）中国</w:t>
      </w:r>
    </w:p>
    <w:p w14:paraId="644094DB">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进入90年代，我国在西部地区建设了以陕京线、靖西线和靖银线为代表的标志着我国90年代输气管道建设技术水平的三条管道。其中1997年建成的陕京线是目前国内陆上长度、规模、投资最大的天然气长输管道工程。以上三条管道从1997年投产以来，共发生了2</w:t>
      </w:r>
      <w:r>
        <w:rPr>
          <w:rFonts w:hint="default" w:ascii="Times New Roman" w:hAnsi="Times New Roman" w:eastAsia="宋体" w:cs="Times New Roman"/>
          <w:color w:val="auto"/>
          <w:sz w:val="26"/>
          <w:szCs w:val="26"/>
          <w:shd w:val="clear" w:fill="FFFFFF"/>
        </w:rPr>
        <w:t>次</w:t>
      </w:r>
      <w:r>
        <w:rPr>
          <w:rFonts w:hint="default" w:ascii="Times New Roman" w:hAnsi="Times New Roman" w:eastAsia="宋体" w:cs="Times New Roman"/>
          <w:color w:val="auto"/>
          <w:sz w:val="26"/>
          <w:szCs w:val="26"/>
        </w:rPr>
        <w:t>事故，均由洪水引发并发生在地质灾害比较多的黄土高原地区。其事故发生率约为0.42×10</w:t>
      </w:r>
      <w:r>
        <w:rPr>
          <w:rFonts w:hint="default" w:ascii="Times New Roman" w:hAnsi="Times New Roman" w:eastAsia="宋体" w:cs="Times New Roman"/>
          <w:color w:val="auto"/>
          <w:sz w:val="26"/>
          <w:szCs w:val="26"/>
          <w:vertAlign w:val="superscript"/>
        </w:rPr>
        <w:t>-3</w:t>
      </w:r>
      <w:r>
        <w:rPr>
          <w:rFonts w:hint="default" w:ascii="Times New Roman" w:hAnsi="Times New Roman" w:eastAsia="宋体" w:cs="Times New Roman"/>
          <w:color w:val="auto"/>
          <w:sz w:val="26"/>
          <w:szCs w:val="26"/>
        </w:rPr>
        <w:t>次/（km•a）。</w:t>
      </w:r>
    </w:p>
    <w:p w14:paraId="226F7DB7">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（5）四川</w:t>
      </w:r>
    </w:p>
    <w:p w14:paraId="507DA35B">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川渝地区经过四十余年的天然气勘探开发，目前已成为我国重要的天然气工业基地，从60 年代开始相继建成了川渝地区南半环供气系统并与1989 年建成的北半环供气系统相连接，形成了环形输气干线，盆地内至今已建成输气管道约有5890km，承担着向川、渝、滇、黔三省一市的供气任务，是西南三省一市经济发展的命脉。下表列出了1969年</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1990年四川天然气管道事故统计结果。</w:t>
      </w:r>
    </w:p>
    <w:p w14:paraId="1A0E59F7">
      <w:pPr>
        <w:pStyle w:val="58"/>
        <w:rPr>
          <w:rFonts w:hint="default" w:ascii="Times New Roman" w:hAnsi="Times New Roman" w:eastAsia="宋体" w:cs="Times New Roman"/>
          <w:color w:val="auto"/>
        </w:rPr>
      </w:pPr>
    </w:p>
    <w:p w14:paraId="423BCFEB">
      <w:pPr>
        <w:pStyle w:val="58"/>
        <w:rPr>
          <w:rFonts w:hint="default" w:ascii="Times New Roman" w:hAnsi="Times New Roman" w:eastAsia="宋体" w:cs="Times New Roman"/>
          <w:color w:val="auto"/>
        </w:rPr>
      </w:pPr>
      <w:r>
        <w:rPr>
          <w:rFonts w:hint="default" w:ascii="Times New Roman" w:hAnsi="Times New Roman" w:eastAsia="宋体" w:cs="Times New Roman"/>
          <w:color w:val="auto"/>
        </w:rPr>
        <w:t>表7.</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-5    1969 年～1990 年四川天然气管道事故统计</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3363"/>
        <w:gridCol w:w="3121"/>
        <w:gridCol w:w="2458"/>
      </w:tblGrid>
      <w:tr w14:paraId="7F9D37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0" w:hRule="atLeast"/>
          <w:jc w:val="center"/>
        </w:trPr>
        <w:tc>
          <w:tcPr>
            <w:tcW w:w="1880" w:type="pct"/>
            <w:noWrap w:val="0"/>
            <w:vAlign w:val="center"/>
          </w:tcPr>
          <w:p w14:paraId="403F4E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事故原因</w:t>
            </w:r>
          </w:p>
        </w:tc>
        <w:tc>
          <w:tcPr>
            <w:tcW w:w="1745" w:type="pct"/>
            <w:noWrap w:val="0"/>
            <w:vAlign w:val="center"/>
          </w:tcPr>
          <w:p w14:paraId="5A10C4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事故次数</w:t>
            </w:r>
          </w:p>
        </w:tc>
        <w:tc>
          <w:tcPr>
            <w:tcW w:w="1374" w:type="pct"/>
            <w:noWrap w:val="0"/>
            <w:vAlign w:val="center"/>
          </w:tcPr>
          <w:p w14:paraId="0BEB43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事故率（%）</w:t>
            </w:r>
          </w:p>
        </w:tc>
      </w:tr>
      <w:tr w14:paraId="06A994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0" w:type="pct"/>
            <w:noWrap w:val="0"/>
            <w:vAlign w:val="center"/>
          </w:tcPr>
          <w:p w14:paraId="6CEEE2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腐蚀</w:t>
            </w:r>
          </w:p>
        </w:tc>
        <w:tc>
          <w:tcPr>
            <w:tcW w:w="1745" w:type="pct"/>
            <w:noWrap w:val="0"/>
            <w:vAlign w:val="center"/>
          </w:tcPr>
          <w:p w14:paraId="7C21A2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1374" w:type="pct"/>
            <w:noWrap w:val="0"/>
            <w:vAlign w:val="center"/>
          </w:tcPr>
          <w:p w14:paraId="3385EA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43.22</w:t>
            </w:r>
          </w:p>
        </w:tc>
      </w:tr>
      <w:tr w14:paraId="076073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0" w:type="pct"/>
            <w:noWrap w:val="0"/>
            <w:vAlign w:val="center"/>
          </w:tcPr>
          <w:p w14:paraId="712CD0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其中：内腐蚀</w:t>
            </w:r>
          </w:p>
        </w:tc>
        <w:tc>
          <w:tcPr>
            <w:tcW w:w="1745" w:type="pct"/>
            <w:noWrap w:val="0"/>
            <w:vAlign w:val="center"/>
          </w:tcPr>
          <w:p w14:paraId="212140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1374" w:type="pct"/>
            <w:noWrap w:val="0"/>
            <w:vAlign w:val="center"/>
          </w:tcPr>
          <w:p w14:paraId="56233D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（29.67）</w:t>
            </w:r>
          </w:p>
        </w:tc>
      </w:tr>
      <w:tr w14:paraId="659691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0" w:type="pct"/>
            <w:noWrap w:val="0"/>
            <w:vAlign w:val="center"/>
          </w:tcPr>
          <w:p w14:paraId="5DAF4D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外腐蚀</w:t>
            </w:r>
          </w:p>
        </w:tc>
        <w:tc>
          <w:tcPr>
            <w:tcW w:w="1745" w:type="pct"/>
            <w:noWrap w:val="0"/>
            <w:vAlign w:val="center"/>
          </w:tcPr>
          <w:p w14:paraId="2A5490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374" w:type="pct"/>
            <w:noWrap w:val="0"/>
            <w:vAlign w:val="center"/>
          </w:tcPr>
          <w:p w14:paraId="0E8ED5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（13.55）</w:t>
            </w:r>
          </w:p>
        </w:tc>
      </w:tr>
      <w:tr w14:paraId="489856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0" w:type="pct"/>
            <w:noWrap w:val="0"/>
            <w:vAlign w:val="center"/>
          </w:tcPr>
          <w:p w14:paraId="3DF446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施工和材料缺陷</w:t>
            </w:r>
          </w:p>
        </w:tc>
        <w:tc>
          <w:tcPr>
            <w:tcW w:w="1745" w:type="pct"/>
            <w:noWrap w:val="0"/>
            <w:vAlign w:val="center"/>
          </w:tcPr>
          <w:p w14:paraId="79158D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374" w:type="pct"/>
            <w:noWrap w:val="0"/>
            <w:vAlign w:val="center"/>
          </w:tcPr>
          <w:p w14:paraId="42C591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38.71</w:t>
            </w:r>
          </w:p>
        </w:tc>
      </w:tr>
      <w:tr w14:paraId="4689C69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0" w:type="pct"/>
            <w:noWrap w:val="0"/>
            <w:vAlign w:val="center"/>
          </w:tcPr>
          <w:p w14:paraId="0ADD5D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其中：施工质量</w:t>
            </w:r>
          </w:p>
        </w:tc>
        <w:tc>
          <w:tcPr>
            <w:tcW w:w="1745" w:type="pct"/>
            <w:noWrap w:val="0"/>
            <w:vAlign w:val="center"/>
          </w:tcPr>
          <w:p w14:paraId="02E123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1374" w:type="pct"/>
            <w:noWrap w:val="0"/>
            <w:vAlign w:val="center"/>
          </w:tcPr>
          <w:p w14:paraId="21F73E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（26.45）</w:t>
            </w:r>
          </w:p>
        </w:tc>
      </w:tr>
      <w:tr w14:paraId="34AC2D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0" w:type="pct"/>
            <w:noWrap w:val="0"/>
            <w:vAlign w:val="center"/>
          </w:tcPr>
          <w:p w14:paraId="6AA2C52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制管质量</w:t>
            </w:r>
          </w:p>
        </w:tc>
        <w:tc>
          <w:tcPr>
            <w:tcW w:w="1745" w:type="pct"/>
            <w:noWrap w:val="0"/>
            <w:vAlign w:val="center"/>
          </w:tcPr>
          <w:p w14:paraId="5C3D9F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374" w:type="pct"/>
            <w:noWrap w:val="0"/>
            <w:vAlign w:val="center"/>
          </w:tcPr>
          <w:p w14:paraId="2F6314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（12.26）</w:t>
            </w:r>
          </w:p>
        </w:tc>
      </w:tr>
      <w:tr w14:paraId="11F2D3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0" w:type="pct"/>
            <w:noWrap w:val="0"/>
            <w:vAlign w:val="center"/>
          </w:tcPr>
          <w:p w14:paraId="5B696A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不良环境影响</w:t>
            </w:r>
          </w:p>
        </w:tc>
        <w:tc>
          <w:tcPr>
            <w:tcW w:w="1745" w:type="pct"/>
            <w:noWrap w:val="0"/>
            <w:vAlign w:val="center"/>
          </w:tcPr>
          <w:p w14:paraId="3C88CF6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374" w:type="pct"/>
            <w:noWrap w:val="0"/>
            <w:vAlign w:val="center"/>
          </w:tcPr>
          <w:p w14:paraId="3B31BC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14.20</w:t>
            </w:r>
          </w:p>
        </w:tc>
      </w:tr>
      <w:tr w14:paraId="25B5F2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0" w:type="pct"/>
            <w:noWrap w:val="0"/>
            <w:vAlign w:val="center"/>
          </w:tcPr>
          <w:p w14:paraId="267984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人为破坏及其他原因</w:t>
            </w:r>
          </w:p>
        </w:tc>
        <w:tc>
          <w:tcPr>
            <w:tcW w:w="1745" w:type="pct"/>
            <w:noWrap w:val="0"/>
            <w:vAlign w:val="center"/>
          </w:tcPr>
          <w:p w14:paraId="2E9A08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374" w:type="pct"/>
            <w:noWrap w:val="0"/>
            <w:vAlign w:val="center"/>
          </w:tcPr>
          <w:p w14:paraId="039229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3.87</w:t>
            </w:r>
          </w:p>
        </w:tc>
      </w:tr>
      <w:tr w14:paraId="20847F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0" w:type="pct"/>
            <w:noWrap w:val="0"/>
            <w:vAlign w:val="center"/>
          </w:tcPr>
          <w:p w14:paraId="3DDB90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745" w:type="pct"/>
            <w:noWrap w:val="0"/>
            <w:vAlign w:val="center"/>
          </w:tcPr>
          <w:p w14:paraId="2C8D89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155</w:t>
            </w:r>
          </w:p>
        </w:tc>
        <w:tc>
          <w:tcPr>
            <w:tcW w:w="1374" w:type="pct"/>
            <w:noWrap w:val="0"/>
            <w:vAlign w:val="center"/>
          </w:tcPr>
          <w:p w14:paraId="0A1E9C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bl>
    <w:p w14:paraId="564B0EB1">
      <w:pPr>
        <w:pStyle w:val="58"/>
        <w:rPr>
          <w:rFonts w:hint="default" w:ascii="Times New Roman" w:hAnsi="Times New Roman" w:eastAsia="宋体" w:cs="Times New Roman"/>
          <w:color w:val="auto"/>
        </w:rPr>
      </w:pPr>
    </w:p>
    <w:p w14:paraId="40B13F22">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从表中可以看出，在1969 年～1990年的21年间，四川输气管道共发生155</w:t>
      </w:r>
      <w:r>
        <w:rPr>
          <w:rFonts w:hint="default" w:ascii="Times New Roman" w:hAnsi="Times New Roman" w:eastAsia="宋体" w:cs="Times New Roman"/>
          <w:color w:val="auto"/>
          <w:sz w:val="26"/>
          <w:szCs w:val="26"/>
          <w:shd w:val="clear" w:fill="FFFFFF"/>
        </w:rPr>
        <w:t>次</w:t>
      </w:r>
      <w:r>
        <w:rPr>
          <w:rFonts w:hint="default" w:ascii="Times New Roman" w:hAnsi="Times New Roman" w:eastAsia="宋体" w:cs="Times New Roman"/>
          <w:color w:val="auto"/>
          <w:sz w:val="26"/>
          <w:szCs w:val="26"/>
        </w:rPr>
        <w:t>事故，其中腐蚀引发的有67次，占事故总数的43.22%，是导致事故的首要原因；施工和材料缺陷事故共有60次，占总数的38.71%，仅次于腐蚀因素而列于事故原因的第二位；由不良环境影响而导致的事故有22次，</w:t>
      </w:r>
      <w:r>
        <w:rPr>
          <w:rFonts w:hint="default" w:ascii="Times New Roman" w:hAnsi="Times New Roman" w:eastAsia="宋体" w:cs="Times New Roman"/>
          <w:color w:val="auto"/>
          <w:sz w:val="26"/>
          <w:szCs w:val="26"/>
          <w:shd w:val="clear" w:fill="FFFFFF"/>
        </w:rPr>
        <w:t>占到</w:t>
      </w:r>
      <w:r>
        <w:rPr>
          <w:rFonts w:hint="default" w:ascii="Times New Roman" w:hAnsi="Times New Roman" w:eastAsia="宋体" w:cs="Times New Roman"/>
          <w:color w:val="auto"/>
          <w:sz w:val="26"/>
          <w:szCs w:val="26"/>
        </w:rPr>
        <w:t>事故总数的14.20%，位居第三。从表中统计结果可以看出，在统计期间造成输气管道事故的主要原因分别是腐蚀、施工和材料缺陷及不良环境影响。这一统计结果与国外统计结果</w:t>
      </w:r>
      <w:r>
        <w:rPr>
          <w:rFonts w:hint="default" w:ascii="Times New Roman" w:hAnsi="Times New Roman" w:eastAsia="宋体" w:cs="Times New Roman"/>
          <w:color w:val="auto"/>
          <w:sz w:val="26"/>
          <w:szCs w:val="26"/>
          <w:shd w:val="clear" w:fill="FFFFFF"/>
        </w:rPr>
        <w:t>有相</w:t>
      </w:r>
      <w:r>
        <w:rPr>
          <w:rFonts w:hint="default" w:ascii="Times New Roman" w:hAnsi="Times New Roman" w:eastAsia="宋体" w:cs="Times New Roman"/>
          <w:color w:val="auto"/>
          <w:sz w:val="26"/>
          <w:szCs w:val="26"/>
        </w:rPr>
        <w:t>类似的地方，同样表明腐蚀及施工和材料缺陷是影响管道安全运行的主要因素。</w:t>
      </w:r>
    </w:p>
    <w:p w14:paraId="55783A89">
      <w:pPr>
        <w:adjustRightInd w:val="0"/>
        <w:snapToGri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总结上述不同国家、地区输气管道的事故原因，发现尽管事故原因在不同国家所占比例不同，即引起事故的原因排序不同，但结果基本相同，即主要为外力影响、腐蚀、材料及施工缺陷等三大原因。</w:t>
      </w:r>
    </w:p>
    <w:p w14:paraId="2ADB47A9">
      <w:pPr>
        <w:adjustRightInd w:val="0"/>
        <w:snapToGrid w:val="0"/>
        <w:spacing w:line="460" w:lineRule="exact"/>
        <w:ind w:firstLine="522"/>
        <w:outlineLvl w:val="1"/>
        <w:rPr>
          <w:rFonts w:hint="default" w:ascii="Times New Roman" w:hAnsi="Times New Roman" w:eastAsia="宋体" w:cs="Times New Roman"/>
          <w:b/>
          <w:color w:val="auto"/>
          <w:sz w:val="26"/>
          <w:szCs w:val="26"/>
        </w:rPr>
      </w:pPr>
      <w:bookmarkStart w:id="375" w:name="_Toc60144421"/>
      <w:bookmarkStart w:id="376" w:name="_Toc25114"/>
      <w:bookmarkStart w:id="377" w:name="_Toc45551105"/>
      <w:bookmarkStart w:id="378" w:name="_Toc28661"/>
      <w:r>
        <w:rPr>
          <w:rFonts w:hint="default" w:ascii="Times New Roman" w:hAnsi="Times New Roman" w:eastAsia="宋体" w:cs="Times New Roman"/>
          <w:b/>
          <w:color w:val="auto"/>
          <w:sz w:val="26"/>
          <w:szCs w:val="26"/>
        </w:rPr>
        <w:t>7.</w:t>
      </w:r>
      <w:r>
        <w:rPr>
          <w:rFonts w:hint="default" w:ascii="Times New Roman" w:hAnsi="Times New Roman" w:eastAsia="宋体" w:cs="Times New Roman"/>
          <w:b/>
          <w:color w:val="auto"/>
          <w:sz w:val="26"/>
          <w:szCs w:val="26"/>
          <w:lang w:val="en-US" w:eastAsia="zh-CN"/>
        </w:rPr>
        <w:t>4</w:t>
      </w:r>
      <w:r>
        <w:rPr>
          <w:rFonts w:hint="default" w:ascii="Times New Roman" w:hAnsi="Times New Roman" w:eastAsia="宋体" w:cs="Times New Roman"/>
          <w:b/>
          <w:color w:val="auto"/>
          <w:sz w:val="26"/>
          <w:szCs w:val="26"/>
        </w:rPr>
        <w:t>环境风险防范措施</w:t>
      </w:r>
      <w:bookmarkEnd w:id="375"/>
      <w:bookmarkEnd w:id="376"/>
      <w:bookmarkEnd w:id="377"/>
      <w:bookmarkEnd w:id="378"/>
    </w:p>
    <w:p w14:paraId="7C82E49D">
      <w:pPr>
        <w:autoSpaceDE w:val="0"/>
        <w:autoSpaceDN w:val="0"/>
        <w:adjustRightIn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7.</w:t>
      </w:r>
      <w:r>
        <w:rPr>
          <w:rFonts w:hint="default" w:ascii="Times New Roman" w:hAnsi="Times New Roman" w:eastAsia="宋体" w:cs="Times New Roman"/>
          <w:b/>
          <w:color w:val="auto"/>
          <w:sz w:val="26"/>
          <w:szCs w:val="26"/>
          <w:lang w:val="en-US" w:eastAsia="zh-CN"/>
        </w:rPr>
        <w:t>4</w:t>
      </w:r>
      <w:r>
        <w:rPr>
          <w:rFonts w:hint="default" w:ascii="Times New Roman" w:hAnsi="Times New Roman" w:eastAsia="宋体" w:cs="Times New Roman"/>
          <w:b/>
          <w:color w:val="auto"/>
          <w:sz w:val="26"/>
          <w:szCs w:val="26"/>
        </w:rPr>
        <w:t>.1已经采取的环境风险防范措施</w:t>
      </w:r>
    </w:p>
    <w:p w14:paraId="332FD723">
      <w:pPr>
        <w:autoSpaceDE w:val="0"/>
        <w:autoSpaceDN w:val="0"/>
        <w:adjustRightInd w:val="0"/>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引发输气管道出现事故的最主要原因是腐蚀，其次是材料缺陷及人工缺陷，排在第三的是外部干扰。因此，主体工程在设计阶段已经提出了风险削减措施。</w:t>
      </w:r>
    </w:p>
    <w:p w14:paraId="17CCA94A">
      <w:pPr>
        <w:autoSpaceDE w:val="0"/>
        <w:autoSpaceDN w:val="0"/>
        <w:adjustRightInd w:val="0"/>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（1）防腐措施</w:t>
      </w:r>
    </w:p>
    <w:p w14:paraId="00FF28E3">
      <w:pPr>
        <w:autoSpaceDE w:val="0"/>
        <w:autoSpaceDN w:val="0"/>
        <w:adjustRightInd w:val="0"/>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根据各防腐层的性能及本工程环境条件，结合线路特点对防腐层性能的要求，从技术经济、安全可靠、维护管理等因素综合分析，本工程管道防腐选择三层PE加强级外防腐</w:t>
      </w:r>
      <w:r>
        <w:rPr>
          <w:rFonts w:hint="default" w:ascii="Times New Roman" w:hAnsi="Times New Roman" w:eastAsia="宋体" w:cs="Times New Roman"/>
          <w:color w:val="auto"/>
          <w:sz w:val="26"/>
          <w:szCs w:val="26"/>
          <w:lang w:eastAsia="zh-CN"/>
        </w:rPr>
        <w:t>，具有防腐性能、机械性能良好的特点</w:t>
      </w:r>
      <w:r>
        <w:rPr>
          <w:rFonts w:hint="default" w:ascii="Times New Roman" w:hAnsi="Times New Roman" w:eastAsia="宋体" w:cs="Times New Roman"/>
          <w:color w:val="auto"/>
          <w:sz w:val="26"/>
          <w:szCs w:val="26"/>
        </w:rPr>
        <w:t>。</w:t>
      </w:r>
    </w:p>
    <w:p w14:paraId="7030A4D4">
      <w:pPr>
        <w:autoSpaceDE w:val="0"/>
        <w:autoSpaceDN w:val="0"/>
        <w:adjustRightInd w:val="0"/>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（2）选材及施工保证</w:t>
      </w:r>
    </w:p>
    <w:p w14:paraId="4232242A">
      <w:pPr>
        <w:autoSpaceDE w:val="0"/>
        <w:autoSpaceDN w:val="0"/>
        <w:adjustRightInd w:val="0"/>
        <w:snapToGrid w:val="0"/>
        <w:spacing w:line="460" w:lineRule="exact"/>
        <w:ind w:firstLine="525"/>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rPr>
        <w:t>根据初步设计，本工程钢管采用D89×5 L245N PSL2无缝钢管。</w:t>
      </w:r>
      <w:r>
        <w:rPr>
          <w:rFonts w:hint="default" w:ascii="Times New Roman" w:hAnsi="Times New Roman" w:eastAsia="宋体" w:cs="Times New Roman"/>
          <w:color w:val="auto"/>
          <w:sz w:val="26"/>
          <w:szCs w:val="26"/>
          <w:lang w:val="en-US" w:eastAsia="zh-CN"/>
        </w:rPr>
        <w:t>该管型是</w:t>
      </w:r>
      <w:r>
        <w:rPr>
          <w:rFonts w:hint="default" w:ascii="Times New Roman" w:hAnsi="Times New Roman" w:eastAsia="宋体" w:cs="Times New Roman"/>
          <w:color w:val="auto"/>
          <w:sz w:val="26"/>
          <w:szCs w:val="26"/>
        </w:rPr>
        <w:t>API5L标准（石油天然气工业管线输送系统用钢管）下的典型管线钢，适用场景广泛</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覆盖多领域输送需求</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如</w:t>
      </w:r>
      <w:r>
        <w:rPr>
          <w:rFonts w:hint="default" w:ascii="Times New Roman" w:hAnsi="Times New Roman" w:eastAsia="宋体" w:cs="Times New Roman"/>
          <w:color w:val="auto"/>
          <w:sz w:val="26"/>
          <w:szCs w:val="26"/>
        </w:rPr>
        <w:t>油气长输管线、城市燃气管道、工业流体输送等场景。</w:t>
      </w:r>
      <w:r>
        <w:rPr>
          <w:rFonts w:hint="default" w:ascii="Times New Roman" w:hAnsi="Times New Roman" w:eastAsia="宋体" w:cs="Times New Roman"/>
          <w:color w:val="auto"/>
          <w:sz w:val="26"/>
          <w:szCs w:val="26"/>
          <w:lang w:val="en-US" w:eastAsia="zh-CN"/>
        </w:rPr>
        <w:t>其他优点如：具有</w:t>
      </w:r>
      <w:r>
        <w:rPr>
          <w:rFonts w:hint="default" w:ascii="Times New Roman" w:hAnsi="Times New Roman" w:eastAsia="宋体" w:cs="Times New Roman"/>
          <w:color w:val="auto"/>
          <w:sz w:val="26"/>
          <w:szCs w:val="26"/>
        </w:rPr>
        <w:t>稳定的强度匹配中低压工况</w:t>
      </w:r>
      <w:r>
        <w:rPr>
          <w:rFonts w:hint="default" w:ascii="Times New Roman" w:hAnsi="Times New Roman" w:eastAsia="宋体" w:cs="Times New Roman"/>
          <w:color w:val="auto"/>
          <w:sz w:val="26"/>
          <w:szCs w:val="26"/>
          <w:lang w:eastAsia="zh-CN"/>
        </w:rPr>
        <w:t>，兼顾强度与韧性，保障安全运行，低温韧性突出，抗脆断能力强，无缝结构+严格质控，降低泄漏隐患，</w:t>
      </w:r>
      <w:r>
        <w:rPr>
          <w:rFonts w:hint="default" w:ascii="Times New Roman" w:hAnsi="Times New Roman" w:eastAsia="宋体" w:cs="Times New Roman"/>
          <w:color w:val="auto"/>
          <w:sz w:val="26"/>
          <w:szCs w:val="26"/>
          <w:lang w:val="en-US" w:eastAsia="zh-CN"/>
        </w:rPr>
        <w:t>具有易焊接、易施工，降低工程成本等良好的工艺适配性。</w:t>
      </w:r>
    </w:p>
    <w:p w14:paraId="6DEEDC44">
      <w:pPr>
        <w:autoSpaceDE w:val="0"/>
        <w:autoSpaceDN w:val="0"/>
        <w:adjustRightInd w:val="0"/>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（3）外部干预消除</w:t>
      </w:r>
    </w:p>
    <w:p w14:paraId="1CD673A9">
      <w:pPr>
        <w:autoSpaceDE w:val="0"/>
        <w:autoSpaceDN w:val="0"/>
        <w:adjustRightInd w:val="0"/>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近年来，随着国家经济发展，外部干扰（第三方破坏）导致天然气管道环境风险事故的情况持续上升。针对这一情况，建设单位制定了一系列的宣传、保护措施。管道敷设完毕后，建设单位在管道沿线设置明显的标志桩，在穿越公路的地段设置</w:t>
      </w:r>
      <w:r>
        <w:rPr>
          <w:rFonts w:hint="default" w:ascii="Times New Roman" w:hAnsi="Times New Roman" w:eastAsia="宋体" w:cs="Times New Roman"/>
          <w:color w:val="auto"/>
          <w:sz w:val="26"/>
          <w:szCs w:val="26"/>
          <w:lang w:val="en-US" w:eastAsia="zh-CN"/>
        </w:rPr>
        <w:t>警示</w:t>
      </w:r>
      <w:r>
        <w:rPr>
          <w:rFonts w:hint="default" w:ascii="Times New Roman" w:hAnsi="Times New Roman" w:eastAsia="宋体" w:cs="Times New Roman"/>
          <w:color w:val="auto"/>
          <w:sz w:val="26"/>
          <w:szCs w:val="26"/>
        </w:rPr>
        <w:t>牌，组织管道沿线居民学习《中华人民共和国石油天然气管道保护法》，和当地政府保持紧密联系、确保大型建设施工动土不破坏天然气管线等。</w:t>
      </w:r>
    </w:p>
    <w:p w14:paraId="2B057CFF">
      <w:pPr>
        <w:autoSpaceDE w:val="0"/>
        <w:autoSpaceDN w:val="0"/>
        <w:adjustRightInd w:val="0"/>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7.</w:t>
      </w:r>
      <w:r>
        <w:rPr>
          <w:rFonts w:hint="default" w:ascii="Times New Roman" w:hAnsi="Times New Roman" w:eastAsia="宋体" w:cs="Times New Roman"/>
          <w:b/>
          <w:color w:val="auto"/>
          <w:sz w:val="26"/>
          <w:szCs w:val="26"/>
          <w:lang w:val="en-US" w:eastAsia="zh-CN"/>
        </w:rPr>
        <w:t>4</w:t>
      </w:r>
      <w:r>
        <w:rPr>
          <w:rFonts w:hint="default" w:ascii="Times New Roman" w:hAnsi="Times New Roman" w:eastAsia="宋体" w:cs="Times New Roman"/>
          <w:b/>
          <w:color w:val="auto"/>
          <w:sz w:val="26"/>
          <w:szCs w:val="26"/>
        </w:rPr>
        <w:t>.2应进一步</w:t>
      </w:r>
      <w:r>
        <w:rPr>
          <w:rFonts w:hint="default" w:ascii="Times New Roman" w:hAnsi="Times New Roman" w:eastAsia="宋体" w:cs="Times New Roman"/>
          <w:b/>
          <w:color w:val="auto"/>
          <w:sz w:val="26"/>
          <w:szCs w:val="26"/>
          <w:shd w:val="clear" w:fill="FFFFFF"/>
        </w:rPr>
        <w:t>加强的</w:t>
      </w:r>
      <w:r>
        <w:rPr>
          <w:rFonts w:hint="default" w:ascii="Times New Roman" w:hAnsi="Times New Roman" w:eastAsia="宋体" w:cs="Times New Roman"/>
          <w:b/>
          <w:color w:val="auto"/>
          <w:sz w:val="26"/>
          <w:szCs w:val="26"/>
        </w:rPr>
        <w:t>风险管理</w:t>
      </w:r>
    </w:p>
    <w:p w14:paraId="2056261C">
      <w:pPr>
        <w:autoSpaceDE w:val="0"/>
        <w:autoSpaceDN w:val="0"/>
        <w:adjustRightInd w:val="0"/>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（1）设计阶段</w:t>
      </w:r>
    </w:p>
    <w:p w14:paraId="73F65532">
      <w:pPr>
        <w:autoSpaceDE w:val="0"/>
        <w:autoSpaceDN w:val="0"/>
        <w:adjustRightInd w:val="0"/>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对不良地质地段的泥石流、滑坡、崩塌等进行调查，并</w:t>
      </w:r>
      <w:r>
        <w:rPr>
          <w:rFonts w:hint="default" w:ascii="Times New Roman" w:hAnsi="Times New Roman" w:eastAsia="宋体" w:cs="Times New Roman"/>
          <w:color w:val="auto"/>
          <w:sz w:val="26"/>
          <w:szCs w:val="26"/>
          <w:shd w:val="clear" w:fill="FFFFFF"/>
        </w:rPr>
        <w:t>提出的</w:t>
      </w:r>
      <w:r>
        <w:rPr>
          <w:rFonts w:hint="default" w:ascii="Times New Roman" w:hAnsi="Times New Roman" w:eastAsia="宋体" w:cs="Times New Roman"/>
          <w:color w:val="auto"/>
          <w:sz w:val="26"/>
          <w:szCs w:val="26"/>
        </w:rPr>
        <w:t>治理措施进行地质灾害治理措施设计。在断层、地震带内敷设管道时，采用浅埋措施，管道回填厚度应适当减小（不宜超过1.2m），管道回填土可采用疏松至中等密度的无</w:t>
      </w:r>
      <w:r>
        <w:rPr>
          <w:rFonts w:hint="default" w:ascii="Times New Roman" w:hAnsi="Times New Roman" w:eastAsia="宋体" w:cs="Times New Roman"/>
          <w:color w:val="auto"/>
          <w:sz w:val="26"/>
          <w:szCs w:val="26"/>
          <w:shd w:val="clear" w:fill="FFFFFF"/>
        </w:rPr>
        <w:t>粘性</w:t>
      </w:r>
      <w:r>
        <w:rPr>
          <w:rFonts w:hint="default" w:ascii="Times New Roman" w:hAnsi="Times New Roman" w:eastAsia="宋体" w:cs="Times New Roman"/>
          <w:color w:val="auto"/>
          <w:sz w:val="26"/>
          <w:szCs w:val="26"/>
        </w:rPr>
        <w:t>材料，断层过渡段可设有膨胀节，断层区管道不宜采用不同直径和壁厚的钢管，断层过渡段不宜设三通、旁通和阀门等部件，增加管道柔性 （采用合适的管材、接头采用柔性连接等）。管道穿越公路设计时应根据《输气管道工程设计规范》（GB50251-2015）要求设计管道强度系数。</w:t>
      </w:r>
    </w:p>
    <w:p w14:paraId="168A946D">
      <w:pPr>
        <w:autoSpaceDE w:val="0"/>
        <w:autoSpaceDN w:val="0"/>
        <w:adjustRightInd w:val="0"/>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（2）施工阶段</w:t>
      </w:r>
    </w:p>
    <w:p w14:paraId="231AD90B">
      <w:pPr>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加强对施工人员的培训及管理，主要技术人员持证上岗施工，辅助施工人员在技术人员的监督下施工；在施工过程中，加强监理，确保防腐、探伤等施工工艺的质量；严格保证各类建设材料的质量，严禁使用不合格产品</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施工过程中加强监理，确保涂层、管道接口焊接等工程施工质量；进行水压试验，排除</w:t>
      </w:r>
      <w:r>
        <w:rPr>
          <w:rFonts w:hint="default" w:ascii="Times New Roman" w:hAnsi="Times New Roman" w:eastAsia="宋体" w:cs="Times New Roman"/>
          <w:color w:val="auto"/>
          <w:sz w:val="26"/>
          <w:szCs w:val="26"/>
          <w:shd w:val="clear" w:fill="FFFFFF"/>
        </w:rPr>
        <w:t>更多的存在于</w:t>
      </w:r>
      <w:r>
        <w:rPr>
          <w:rFonts w:hint="default" w:ascii="Times New Roman" w:hAnsi="Times New Roman" w:eastAsia="宋体" w:cs="Times New Roman"/>
          <w:color w:val="auto"/>
          <w:sz w:val="26"/>
          <w:szCs w:val="26"/>
        </w:rPr>
        <w:t>焊缝和母材的缺陷；制定严格的规章制度，发现缺陷及时正确修补并做好记录；建立施工质量保证体系，提高施工检验人员水平，加强检验手段；进行</w:t>
      </w:r>
      <w:r>
        <w:rPr>
          <w:rFonts w:hint="default" w:ascii="Times New Roman" w:hAnsi="Times New Roman" w:eastAsia="宋体" w:cs="Times New Roman"/>
          <w:color w:val="auto"/>
          <w:sz w:val="26"/>
          <w:szCs w:val="26"/>
          <w:shd w:val="clear" w:fill="FFFFFF"/>
        </w:rPr>
        <w:t>水压实验</w:t>
      </w:r>
      <w:r>
        <w:rPr>
          <w:rFonts w:hint="default" w:ascii="Times New Roman" w:hAnsi="Times New Roman" w:eastAsia="宋体" w:cs="Times New Roman"/>
          <w:color w:val="auto"/>
          <w:sz w:val="26"/>
          <w:szCs w:val="26"/>
        </w:rPr>
        <w:t>，严格排除焊缝和母材缺陷；选择有丰富经验的单位进行施工，并有优秀的第三方对其施工质量进行强有力的监督，减少施工误操作。</w:t>
      </w:r>
    </w:p>
    <w:p w14:paraId="02FAA85B">
      <w:pPr>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管道内的气体置换应在干燥结束后或投产前进行，置换过程中的混合气体应集中放空，置换管道末端应用检测仪对气体进行检测。混合气体排放口应选择在空旷开阔的地区，其前方100m，左右50m以内不得有人、畜和火源。混合气体排放口50m范围内应有专人警戒，有具体的防火、防爆措施。</w:t>
      </w:r>
    </w:p>
    <w:p w14:paraId="1297DC83">
      <w:pPr>
        <w:autoSpaceDE w:val="0"/>
        <w:autoSpaceDN w:val="0"/>
        <w:adjustRightInd w:val="0"/>
        <w:snapToGrid w:val="0"/>
        <w:spacing w:line="460" w:lineRule="exact"/>
        <w:ind w:firstLine="525"/>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（3）运营阶段</w:t>
      </w:r>
    </w:p>
    <w:p w14:paraId="0B11015E">
      <w:pPr>
        <w:spacing w:line="460" w:lineRule="exact"/>
        <w:ind w:firstLine="520" w:firstLineChars="200"/>
        <w:rPr>
          <w:rFonts w:hint="default" w:ascii="Times New Roman" w:hAnsi="Times New Roman" w:eastAsia="宋体" w:cs="Times New Roman"/>
          <w:color w:val="auto"/>
          <w:sz w:val="26"/>
          <w:szCs w:val="26"/>
        </w:rPr>
      </w:pPr>
      <w:bookmarkStart w:id="379" w:name="_Toc496535177"/>
      <w:r>
        <w:rPr>
          <w:rFonts w:hint="default" w:ascii="Times New Roman" w:hAnsi="Times New Roman" w:eastAsia="宋体" w:cs="Times New Roman"/>
          <w:color w:val="auto"/>
          <w:sz w:val="26"/>
          <w:szCs w:val="26"/>
        </w:rPr>
        <w:t>严格控制输送天然气的气质，定期清管，排除管内污物，以减轻管道内腐蚀；定期进行管道壁厚的测量，对严重减薄的管段，及时维修更换，避免爆管事故的发生；定期检查管道安全保护系统，使管道在超压时能够得到安全处理，使危害影响范围减小到最低程度。加大巡线频率，提高巡线的有效性；定期检查管道施工带，查看地表情况，并关注在此地带的人员活动情况，发现对管道安全有影响的行为，应及时制止、采取相应措施并向上级报告。在运营期，建设单位应加强与当地相关规划管理的沟通，协助规划部门做好管道周边的规划。按《石油天然气管道保护条例》的要求，禁止管道两侧5m范围新建居民住宅；50m范围内禁止爆破、开山和修筑大型建筑物、构筑物工程；在管道中心线两侧各50m至500m范围内进行爆破的，应当事先征得管道企业同意，在采取安全保护措施后方可进行；加强天然气管道安全宣传工作，减少第三方破坏活动的发生。</w:t>
      </w:r>
    </w:p>
    <w:p w14:paraId="3F959B4E">
      <w:pPr>
        <w:spacing w:line="460" w:lineRule="exact"/>
        <w:ind w:firstLine="522" w:firstLineChars="200"/>
        <w:outlineLvl w:val="1"/>
        <w:rPr>
          <w:rFonts w:hint="default" w:ascii="Times New Roman" w:hAnsi="Times New Roman" w:eastAsia="宋体" w:cs="Times New Roman"/>
          <w:b/>
          <w:color w:val="auto"/>
          <w:sz w:val="26"/>
          <w:szCs w:val="26"/>
        </w:rPr>
      </w:pPr>
      <w:bookmarkStart w:id="380" w:name="_Toc3158"/>
      <w:bookmarkStart w:id="381" w:name="_Toc11832"/>
      <w:bookmarkStart w:id="382" w:name="_Toc45551106"/>
      <w:bookmarkStart w:id="383" w:name="_Toc60144422"/>
      <w:r>
        <w:rPr>
          <w:rFonts w:hint="default" w:ascii="Times New Roman" w:hAnsi="Times New Roman" w:eastAsia="宋体" w:cs="Times New Roman"/>
          <w:b/>
          <w:color w:val="auto"/>
          <w:sz w:val="26"/>
          <w:szCs w:val="26"/>
        </w:rPr>
        <w:t>7.</w:t>
      </w:r>
      <w:r>
        <w:rPr>
          <w:rFonts w:hint="default" w:ascii="Times New Roman" w:hAnsi="Times New Roman" w:eastAsia="宋体" w:cs="Times New Roman"/>
          <w:b/>
          <w:color w:val="auto"/>
          <w:sz w:val="26"/>
          <w:szCs w:val="26"/>
          <w:lang w:val="en-US" w:eastAsia="zh-CN"/>
        </w:rPr>
        <w:t>5</w:t>
      </w:r>
      <w:r>
        <w:rPr>
          <w:rFonts w:hint="default" w:ascii="Times New Roman" w:hAnsi="Times New Roman" w:eastAsia="宋体" w:cs="Times New Roman"/>
          <w:b/>
          <w:color w:val="auto"/>
          <w:sz w:val="26"/>
          <w:szCs w:val="26"/>
        </w:rPr>
        <w:t>应急预案</w:t>
      </w:r>
      <w:bookmarkEnd w:id="379"/>
      <w:bookmarkEnd w:id="380"/>
      <w:bookmarkEnd w:id="381"/>
      <w:bookmarkEnd w:id="382"/>
      <w:bookmarkEnd w:id="383"/>
    </w:p>
    <w:p w14:paraId="26D05140">
      <w:pPr>
        <w:autoSpaceDE w:val="0"/>
        <w:autoSpaceDN w:val="0"/>
        <w:adjustRightInd w:val="0"/>
        <w:spacing w:line="460" w:lineRule="exact"/>
        <w:ind w:firstLine="520" w:firstLineChars="200"/>
        <w:rPr>
          <w:rFonts w:hint="default" w:ascii="Times New Roman" w:hAnsi="Times New Roman" w:eastAsia="宋体" w:cs="Times New Roman"/>
          <w:color w:val="auto"/>
          <w:sz w:val="26"/>
          <w:szCs w:val="26"/>
        </w:rPr>
      </w:pPr>
      <w:bookmarkStart w:id="384" w:name="_Toc28405"/>
      <w:bookmarkStart w:id="385" w:name="_Toc45551107"/>
      <w:bookmarkStart w:id="386" w:name="_Toc60144423"/>
      <w:bookmarkStart w:id="387" w:name="_Toc10555"/>
      <w:r>
        <w:rPr>
          <w:rFonts w:hint="default" w:ascii="Times New Roman" w:hAnsi="Times New Roman" w:eastAsia="宋体" w:cs="Times New Roman"/>
          <w:color w:val="auto"/>
          <w:sz w:val="26"/>
          <w:szCs w:val="26"/>
        </w:rPr>
        <w:t>目前，本项目</w:t>
      </w:r>
      <w:r>
        <w:rPr>
          <w:rFonts w:hint="default" w:ascii="Times New Roman" w:hAnsi="Times New Roman" w:eastAsia="宋体" w:cs="Times New Roman"/>
          <w:color w:val="auto"/>
          <w:sz w:val="26"/>
          <w:szCs w:val="26"/>
          <w:lang w:val="en-US" w:eastAsia="zh-CN"/>
        </w:rPr>
        <w:t>管理</w:t>
      </w:r>
      <w:r>
        <w:rPr>
          <w:rFonts w:hint="default" w:ascii="Times New Roman" w:hAnsi="Times New Roman" w:eastAsia="宋体" w:cs="Times New Roman"/>
          <w:color w:val="auto"/>
          <w:sz w:val="26"/>
          <w:szCs w:val="26"/>
        </w:rPr>
        <w:t>单位</w:t>
      </w:r>
      <w:r>
        <w:rPr>
          <w:rFonts w:hint="default" w:ascii="Times New Roman" w:hAnsi="Times New Roman" w:eastAsia="宋体" w:cs="Times New Roman"/>
          <w:color w:val="auto"/>
          <w:sz w:val="26"/>
          <w:szCs w:val="26"/>
          <w:lang w:eastAsia="zh-CN"/>
        </w:rPr>
        <w:t>重庆气矿江北采输气作业区调控中心</w:t>
      </w:r>
      <w:r>
        <w:rPr>
          <w:rFonts w:hint="default" w:ascii="Times New Roman" w:hAnsi="Times New Roman" w:eastAsia="宋体" w:cs="Times New Roman"/>
          <w:color w:val="auto"/>
          <w:sz w:val="26"/>
          <w:szCs w:val="26"/>
        </w:rPr>
        <w:t>已有完善的HSE体系、事故综合应急预案、专项应急预案和现场处置方案</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为确保本工程与输气处HSE体系的衔接，需根据管道改建后的具体情况重新修订《铁新线集输管道涉金钗湖水库建设迁改工程环境突发事件应急预案》</w:t>
      </w:r>
      <w:bookmarkEnd w:id="384"/>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并结合工程实际，明确以下方面的内容：</w:t>
      </w:r>
    </w:p>
    <w:p w14:paraId="24590BBE">
      <w:pPr>
        <w:autoSpaceDE w:val="0"/>
        <w:autoSpaceDN w:val="0"/>
        <w:adjustRightInd w:val="0"/>
        <w:spacing w:line="460" w:lineRule="exact"/>
        <w:ind w:firstLine="520" w:firstLineChars="200"/>
        <w:rPr>
          <w:rFonts w:hint="default" w:ascii="Times New Roman" w:hAnsi="Times New Roman" w:eastAsia="宋体" w:cs="Times New Roman"/>
          <w:color w:val="auto"/>
          <w:sz w:val="26"/>
          <w:szCs w:val="26"/>
        </w:rPr>
      </w:pPr>
    </w:p>
    <w:p w14:paraId="205A55A3">
      <w:pPr>
        <w:autoSpaceDE w:val="0"/>
        <w:autoSpaceDN w:val="0"/>
        <w:adjustRightInd w:val="0"/>
        <w:snapToGrid w:val="0"/>
        <w:ind w:firstLine="522" w:firstLineChars="200"/>
        <w:jc w:val="center"/>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表7.</w:t>
      </w:r>
      <w:r>
        <w:rPr>
          <w:rFonts w:hint="default" w:ascii="Times New Roman" w:hAnsi="Times New Roman" w:eastAsia="宋体" w:cs="Times New Roman"/>
          <w:b/>
          <w:bCs/>
          <w:color w:val="auto"/>
          <w:sz w:val="26"/>
          <w:szCs w:val="26"/>
          <w:lang w:val="en-US" w:eastAsia="zh-CN"/>
        </w:rPr>
        <w:t>5</w:t>
      </w:r>
      <w:r>
        <w:rPr>
          <w:rFonts w:hint="default" w:ascii="Times New Roman" w:hAnsi="Times New Roman" w:eastAsia="宋体" w:cs="Times New Roman"/>
          <w:b/>
          <w:bCs/>
          <w:color w:val="auto"/>
          <w:sz w:val="26"/>
          <w:szCs w:val="26"/>
        </w:rPr>
        <w:t>-1 应急预案内容</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2628"/>
        <w:gridCol w:w="5635"/>
      </w:tblGrid>
      <w:tr w14:paraId="1496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3E12159A">
            <w:pPr>
              <w:adjustRightInd w:val="0"/>
              <w:snapToGrid w:val="0"/>
              <w:jc w:val="center"/>
              <w:rPr>
                <w:rFonts w:hint="default" w:ascii="Times New Roman" w:hAnsi="Times New Roman" w:eastAsia="宋体" w:cs="Times New Roman"/>
                <w:bCs/>
                <w:color w:val="auto"/>
                <w:sz w:val="22"/>
                <w:szCs w:val="22"/>
              </w:rPr>
            </w:pPr>
            <w:r>
              <w:rPr>
                <w:rFonts w:hint="default" w:ascii="Times New Roman" w:hAnsi="Times New Roman" w:eastAsia="宋体" w:cs="Times New Roman"/>
                <w:bCs/>
                <w:color w:val="auto"/>
                <w:sz w:val="22"/>
                <w:szCs w:val="22"/>
              </w:rPr>
              <w:t>序号</w:t>
            </w:r>
          </w:p>
        </w:tc>
        <w:tc>
          <w:tcPr>
            <w:tcW w:w="1469" w:type="pct"/>
            <w:noWrap w:val="0"/>
            <w:vAlign w:val="center"/>
          </w:tcPr>
          <w:p w14:paraId="00CA6BCF">
            <w:pPr>
              <w:adjustRightInd w:val="0"/>
              <w:snapToGrid w:val="0"/>
              <w:jc w:val="center"/>
              <w:rPr>
                <w:rFonts w:hint="default" w:ascii="Times New Roman" w:hAnsi="Times New Roman" w:eastAsia="宋体" w:cs="Times New Roman"/>
                <w:bCs/>
                <w:color w:val="auto"/>
                <w:sz w:val="22"/>
                <w:szCs w:val="22"/>
              </w:rPr>
            </w:pPr>
            <w:r>
              <w:rPr>
                <w:rFonts w:hint="default" w:ascii="Times New Roman" w:hAnsi="Times New Roman" w:eastAsia="宋体" w:cs="Times New Roman"/>
                <w:bCs/>
                <w:color w:val="auto"/>
                <w:sz w:val="22"/>
                <w:szCs w:val="22"/>
              </w:rPr>
              <w:t>项目</w:t>
            </w:r>
          </w:p>
        </w:tc>
        <w:tc>
          <w:tcPr>
            <w:tcW w:w="3150" w:type="pct"/>
            <w:noWrap w:val="0"/>
            <w:vAlign w:val="center"/>
          </w:tcPr>
          <w:p w14:paraId="3CEEF527">
            <w:pPr>
              <w:adjustRightInd w:val="0"/>
              <w:snapToGrid w:val="0"/>
              <w:jc w:val="center"/>
              <w:rPr>
                <w:rFonts w:hint="default" w:ascii="Times New Roman" w:hAnsi="Times New Roman" w:eastAsia="宋体" w:cs="Times New Roman"/>
                <w:bCs/>
                <w:color w:val="auto"/>
                <w:sz w:val="22"/>
                <w:szCs w:val="22"/>
              </w:rPr>
            </w:pPr>
            <w:r>
              <w:rPr>
                <w:rFonts w:hint="default" w:ascii="Times New Roman" w:hAnsi="Times New Roman" w:eastAsia="宋体" w:cs="Times New Roman"/>
                <w:bCs/>
                <w:color w:val="auto"/>
                <w:sz w:val="22"/>
                <w:szCs w:val="22"/>
              </w:rPr>
              <w:t>内容及要求</w:t>
            </w:r>
          </w:p>
        </w:tc>
      </w:tr>
      <w:tr w14:paraId="4714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21154D27">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w:t>
            </w:r>
          </w:p>
        </w:tc>
        <w:tc>
          <w:tcPr>
            <w:tcW w:w="1469" w:type="pct"/>
            <w:noWrap w:val="0"/>
            <w:vAlign w:val="center"/>
          </w:tcPr>
          <w:p w14:paraId="28B4524E">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应急计划区</w:t>
            </w:r>
          </w:p>
        </w:tc>
        <w:tc>
          <w:tcPr>
            <w:tcW w:w="3150" w:type="pct"/>
            <w:noWrap w:val="0"/>
            <w:vAlign w:val="center"/>
          </w:tcPr>
          <w:p w14:paraId="031CED60">
            <w:pPr>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安全预评价制定的应急</w:t>
            </w:r>
            <w:r>
              <w:rPr>
                <w:rFonts w:hint="default" w:ascii="Times New Roman" w:hAnsi="Times New Roman" w:eastAsia="宋体" w:cs="Times New Roman"/>
                <w:color w:val="auto"/>
                <w:sz w:val="22"/>
                <w:szCs w:val="22"/>
                <w:shd w:val="clear" w:fill="FFFFFF"/>
              </w:rPr>
              <w:t>计划去</w:t>
            </w:r>
            <w:r>
              <w:rPr>
                <w:rFonts w:hint="default" w:ascii="Times New Roman" w:hAnsi="Times New Roman" w:eastAsia="宋体" w:cs="Times New Roman"/>
                <w:color w:val="auto"/>
                <w:sz w:val="22"/>
                <w:szCs w:val="22"/>
              </w:rPr>
              <w:t>及本项目环境保护目标</w:t>
            </w:r>
          </w:p>
        </w:tc>
      </w:tr>
      <w:tr w14:paraId="63C4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3395ABB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2</w:t>
            </w:r>
          </w:p>
        </w:tc>
        <w:tc>
          <w:tcPr>
            <w:tcW w:w="1469" w:type="pct"/>
            <w:noWrap w:val="0"/>
            <w:vAlign w:val="center"/>
          </w:tcPr>
          <w:p w14:paraId="7FAD6246">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应急组织机构、人员</w:t>
            </w:r>
          </w:p>
        </w:tc>
        <w:tc>
          <w:tcPr>
            <w:tcW w:w="3150" w:type="pct"/>
            <w:noWrap w:val="0"/>
            <w:vAlign w:val="center"/>
          </w:tcPr>
          <w:p w14:paraId="35C85F6D">
            <w:pPr>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地区应急组织机构、人员</w:t>
            </w:r>
          </w:p>
        </w:tc>
      </w:tr>
      <w:tr w14:paraId="28BF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5460EB24">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3</w:t>
            </w:r>
          </w:p>
        </w:tc>
        <w:tc>
          <w:tcPr>
            <w:tcW w:w="1469" w:type="pct"/>
            <w:noWrap w:val="0"/>
            <w:vAlign w:val="center"/>
          </w:tcPr>
          <w:p w14:paraId="5EC142D0">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预案分级响应条件</w:t>
            </w:r>
          </w:p>
        </w:tc>
        <w:tc>
          <w:tcPr>
            <w:tcW w:w="3150" w:type="pct"/>
            <w:noWrap w:val="0"/>
            <w:vAlign w:val="center"/>
          </w:tcPr>
          <w:p w14:paraId="1B116977">
            <w:pPr>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规定预案的级别及分级响应程序</w:t>
            </w:r>
          </w:p>
        </w:tc>
      </w:tr>
      <w:tr w14:paraId="013B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7840482F">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4</w:t>
            </w:r>
          </w:p>
        </w:tc>
        <w:tc>
          <w:tcPr>
            <w:tcW w:w="1469" w:type="pct"/>
            <w:noWrap w:val="0"/>
            <w:vAlign w:val="center"/>
          </w:tcPr>
          <w:p w14:paraId="422140A1">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应急救援保障</w:t>
            </w:r>
          </w:p>
        </w:tc>
        <w:tc>
          <w:tcPr>
            <w:tcW w:w="3150" w:type="pct"/>
            <w:noWrap w:val="0"/>
            <w:vAlign w:val="center"/>
          </w:tcPr>
          <w:p w14:paraId="00631682">
            <w:pPr>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应急设施，设备与器材等</w:t>
            </w:r>
          </w:p>
        </w:tc>
      </w:tr>
      <w:tr w14:paraId="441B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7A61D022">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5</w:t>
            </w:r>
          </w:p>
        </w:tc>
        <w:tc>
          <w:tcPr>
            <w:tcW w:w="1469" w:type="pct"/>
            <w:noWrap w:val="0"/>
            <w:vAlign w:val="center"/>
          </w:tcPr>
          <w:p w14:paraId="0485B293">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报警、通讯联络方式</w:t>
            </w:r>
          </w:p>
        </w:tc>
        <w:tc>
          <w:tcPr>
            <w:tcW w:w="3150" w:type="pct"/>
            <w:noWrap w:val="0"/>
            <w:vAlign w:val="center"/>
          </w:tcPr>
          <w:p w14:paraId="61BE7E32">
            <w:pPr>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规定应急状态下的</w:t>
            </w:r>
            <w:r>
              <w:rPr>
                <w:rFonts w:hint="default" w:ascii="Times New Roman" w:hAnsi="Times New Roman" w:eastAsia="宋体" w:cs="Times New Roman"/>
                <w:color w:val="auto"/>
                <w:sz w:val="22"/>
                <w:szCs w:val="22"/>
                <w:shd w:val="clear" w:fill="FFFFFF"/>
              </w:rPr>
              <w:t>报警通讯</w:t>
            </w:r>
            <w:r>
              <w:rPr>
                <w:rFonts w:hint="default" w:ascii="Times New Roman" w:hAnsi="Times New Roman" w:eastAsia="宋体" w:cs="Times New Roman"/>
                <w:color w:val="auto"/>
                <w:sz w:val="22"/>
                <w:szCs w:val="22"/>
              </w:rPr>
              <w:t>方式、通知方式和交通保障、管制</w:t>
            </w:r>
          </w:p>
        </w:tc>
      </w:tr>
      <w:tr w14:paraId="23AB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03E61560">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6</w:t>
            </w:r>
          </w:p>
        </w:tc>
        <w:tc>
          <w:tcPr>
            <w:tcW w:w="1469" w:type="pct"/>
            <w:noWrap w:val="0"/>
            <w:vAlign w:val="center"/>
          </w:tcPr>
          <w:p w14:paraId="512BC636">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应急环境监测、抢险、救援及控制措施</w:t>
            </w:r>
          </w:p>
        </w:tc>
        <w:tc>
          <w:tcPr>
            <w:tcW w:w="3150" w:type="pct"/>
            <w:noWrap w:val="0"/>
            <w:vAlign w:val="center"/>
          </w:tcPr>
          <w:p w14:paraId="2C05DF49">
            <w:pPr>
              <w:pStyle w:val="18"/>
              <w:adjustRightInd w:val="0"/>
              <w:snapToGrid w:val="0"/>
              <w:ind w:left="0" w:leftChars="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由专业队伍负责对事故现场进行侦察监测，对事故性质、参数与后果进行评估，为指挥部门提供决策依据</w:t>
            </w:r>
          </w:p>
        </w:tc>
      </w:tr>
      <w:tr w14:paraId="3BC1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6950AFE5">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7</w:t>
            </w:r>
          </w:p>
        </w:tc>
        <w:tc>
          <w:tcPr>
            <w:tcW w:w="1469" w:type="pct"/>
            <w:noWrap w:val="0"/>
            <w:vAlign w:val="center"/>
          </w:tcPr>
          <w:p w14:paraId="3008827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应急</w:t>
            </w:r>
            <w:r>
              <w:rPr>
                <w:rFonts w:hint="default" w:ascii="Times New Roman" w:hAnsi="Times New Roman" w:eastAsia="宋体" w:cs="Times New Roman"/>
                <w:color w:val="auto"/>
                <w:sz w:val="22"/>
                <w:szCs w:val="22"/>
                <w:shd w:val="clear" w:fill="FFFFFF"/>
              </w:rPr>
              <w:t>检测</w:t>
            </w:r>
            <w:r>
              <w:rPr>
                <w:rFonts w:hint="default" w:ascii="Times New Roman" w:hAnsi="Times New Roman" w:eastAsia="宋体" w:cs="Times New Roman"/>
                <w:color w:val="auto"/>
                <w:sz w:val="22"/>
                <w:szCs w:val="22"/>
              </w:rPr>
              <w:t>、防护措施、清除泄漏措施和器材</w:t>
            </w:r>
          </w:p>
        </w:tc>
        <w:tc>
          <w:tcPr>
            <w:tcW w:w="3150" w:type="pct"/>
            <w:noWrap w:val="0"/>
            <w:vAlign w:val="center"/>
          </w:tcPr>
          <w:p w14:paraId="423D8CFD">
            <w:pPr>
              <w:pStyle w:val="112"/>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事故现场、邻近区域、控制防火区域，控制和清除污染措施及设备</w:t>
            </w:r>
          </w:p>
        </w:tc>
      </w:tr>
      <w:tr w14:paraId="0A0C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1E74741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8</w:t>
            </w:r>
          </w:p>
        </w:tc>
        <w:tc>
          <w:tcPr>
            <w:tcW w:w="1469" w:type="pct"/>
            <w:noWrap w:val="0"/>
            <w:vAlign w:val="center"/>
          </w:tcPr>
          <w:p w14:paraId="44D127C5">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人员紧急撤离、疏散，应急剂量控制、撤离计划</w:t>
            </w:r>
          </w:p>
        </w:tc>
        <w:tc>
          <w:tcPr>
            <w:tcW w:w="3150" w:type="pct"/>
            <w:noWrap w:val="0"/>
            <w:vAlign w:val="center"/>
          </w:tcPr>
          <w:p w14:paraId="4E8AD1AA">
            <w:pPr>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事故现场、工厂邻近</w:t>
            </w:r>
            <w:r>
              <w:rPr>
                <w:rFonts w:hint="default" w:ascii="Times New Roman" w:hAnsi="Times New Roman" w:eastAsia="宋体" w:cs="Times New Roman"/>
                <w:color w:val="auto"/>
                <w:sz w:val="22"/>
                <w:szCs w:val="22"/>
                <w:shd w:val="clear" w:fill="FFFFFF"/>
              </w:rPr>
              <w:t>区</w:t>
            </w:r>
            <w:r>
              <w:rPr>
                <w:rFonts w:hint="default" w:ascii="Times New Roman" w:hAnsi="Times New Roman" w:eastAsia="宋体" w:cs="Times New Roman"/>
                <w:color w:val="auto"/>
                <w:sz w:val="22"/>
                <w:szCs w:val="22"/>
              </w:rPr>
              <w:t>、受事故影响的区域人员及公众对毒物应急剂量控制规定，撤离组织计划及救护，医疗救护公众健康</w:t>
            </w:r>
          </w:p>
        </w:tc>
      </w:tr>
      <w:tr w14:paraId="30DD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4C6358E2">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9</w:t>
            </w:r>
          </w:p>
        </w:tc>
        <w:tc>
          <w:tcPr>
            <w:tcW w:w="1469" w:type="pct"/>
            <w:noWrap w:val="0"/>
            <w:vAlign w:val="center"/>
          </w:tcPr>
          <w:p w14:paraId="3765C8B6">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事故应急救援关闭程序与恢复措施</w:t>
            </w:r>
          </w:p>
        </w:tc>
        <w:tc>
          <w:tcPr>
            <w:tcW w:w="3150" w:type="pct"/>
            <w:noWrap w:val="0"/>
            <w:vAlign w:val="center"/>
          </w:tcPr>
          <w:p w14:paraId="5B014D1F">
            <w:pPr>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规定应急状态终止程序；事故现场善后处理，恢复措施；邻近区域解除事故警戒及善后恢复措施</w:t>
            </w:r>
          </w:p>
        </w:tc>
      </w:tr>
      <w:tr w14:paraId="1DE6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666E7A87">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10</w:t>
            </w:r>
          </w:p>
        </w:tc>
        <w:tc>
          <w:tcPr>
            <w:tcW w:w="1469" w:type="pct"/>
            <w:noWrap w:val="0"/>
            <w:vAlign w:val="center"/>
          </w:tcPr>
          <w:p w14:paraId="35A9F4F9">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应急培训计划</w:t>
            </w:r>
          </w:p>
        </w:tc>
        <w:tc>
          <w:tcPr>
            <w:tcW w:w="3150" w:type="pct"/>
            <w:noWrap w:val="0"/>
            <w:vAlign w:val="center"/>
          </w:tcPr>
          <w:p w14:paraId="32E16915">
            <w:pPr>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应急计划制定后，平时安排人员培训与演练</w:t>
            </w:r>
          </w:p>
        </w:tc>
      </w:tr>
      <w:tr w14:paraId="4A57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0" w:type="pct"/>
            <w:noWrap w:val="0"/>
            <w:vAlign w:val="center"/>
          </w:tcPr>
          <w:p w14:paraId="0D2E3111">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11</w:t>
            </w:r>
          </w:p>
        </w:tc>
        <w:tc>
          <w:tcPr>
            <w:tcW w:w="1469" w:type="pct"/>
            <w:noWrap w:val="0"/>
            <w:vAlign w:val="center"/>
          </w:tcPr>
          <w:p w14:paraId="385D0373">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公众教育和信息</w:t>
            </w:r>
          </w:p>
        </w:tc>
        <w:tc>
          <w:tcPr>
            <w:tcW w:w="3150" w:type="pct"/>
            <w:noWrap w:val="0"/>
            <w:vAlign w:val="center"/>
          </w:tcPr>
          <w:p w14:paraId="1F2982E8">
            <w:pPr>
              <w:adjustRightInd w:val="0"/>
              <w:snapToGrid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对管线邻近地区开展公众教育、培训和发布有关信息</w:t>
            </w:r>
          </w:p>
        </w:tc>
      </w:tr>
    </w:tbl>
    <w:p w14:paraId="333CBA3B">
      <w:pPr>
        <w:autoSpaceDE w:val="0"/>
        <w:autoSpaceDN w:val="0"/>
        <w:adjustRightInd w:val="0"/>
        <w:spacing w:line="460" w:lineRule="exact"/>
        <w:ind w:firstLine="522" w:firstLineChars="200"/>
        <w:rPr>
          <w:rFonts w:hint="default" w:ascii="Times New Roman" w:hAnsi="Times New Roman" w:eastAsia="宋体" w:cs="Times New Roman"/>
          <w:b/>
          <w:color w:val="auto"/>
          <w:sz w:val="26"/>
          <w:szCs w:val="26"/>
        </w:rPr>
      </w:pPr>
    </w:p>
    <w:p w14:paraId="71F3E2CC">
      <w:pPr>
        <w:spacing w:line="460" w:lineRule="exact"/>
        <w:ind w:firstLine="522" w:firstLineChars="200"/>
        <w:outlineLvl w:val="1"/>
        <w:rPr>
          <w:rFonts w:hint="default" w:ascii="Times New Roman" w:hAnsi="Times New Roman" w:eastAsia="宋体" w:cs="Times New Roman"/>
          <w:b/>
          <w:color w:val="auto"/>
          <w:sz w:val="26"/>
          <w:szCs w:val="26"/>
          <w:lang w:eastAsia="zh-CN"/>
        </w:rPr>
      </w:pPr>
      <w:bookmarkStart w:id="388" w:name="_Toc28633"/>
      <w:bookmarkStart w:id="389" w:name="_Toc4216"/>
      <w:bookmarkStart w:id="390" w:name="_Toc1103"/>
      <w:r>
        <w:rPr>
          <w:rFonts w:hint="default" w:ascii="Times New Roman" w:hAnsi="Times New Roman" w:eastAsia="宋体" w:cs="Times New Roman"/>
          <w:b/>
          <w:color w:val="auto"/>
          <w:sz w:val="26"/>
          <w:szCs w:val="26"/>
        </w:rPr>
        <w:t>7.</w:t>
      </w:r>
      <w:r>
        <w:rPr>
          <w:rFonts w:hint="default" w:ascii="Times New Roman" w:hAnsi="Times New Roman" w:eastAsia="宋体" w:cs="Times New Roman"/>
          <w:b/>
          <w:color w:val="auto"/>
          <w:sz w:val="26"/>
          <w:szCs w:val="26"/>
          <w:lang w:val="en-US" w:eastAsia="zh-CN"/>
        </w:rPr>
        <w:t>6 分析结论</w:t>
      </w:r>
      <w:bookmarkEnd w:id="388"/>
      <w:bookmarkEnd w:id="389"/>
      <w:bookmarkEnd w:id="390"/>
    </w:p>
    <w:p w14:paraId="6A19C7EE">
      <w:pPr>
        <w:autoSpaceDE w:val="0"/>
        <w:autoSpaceDN w:val="0"/>
        <w:adjustRightInd w:val="0"/>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本项目环境风险主要为</w:t>
      </w:r>
      <w:r>
        <w:rPr>
          <w:rFonts w:hint="default" w:ascii="Times New Roman" w:hAnsi="Times New Roman" w:eastAsia="宋体" w:cs="Times New Roman"/>
          <w:color w:val="auto"/>
          <w:sz w:val="26"/>
          <w:szCs w:val="26"/>
          <w:shd w:val="clear" w:fill="FFFFFF"/>
          <w:lang w:eastAsia="zh-CN"/>
        </w:rPr>
        <w:t>天然气泄漏</w:t>
      </w:r>
      <w:r>
        <w:rPr>
          <w:rFonts w:hint="default" w:ascii="Times New Roman" w:hAnsi="Times New Roman" w:eastAsia="宋体" w:cs="Times New Roman"/>
          <w:color w:val="auto"/>
          <w:sz w:val="26"/>
          <w:szCs w:val="26"/>
        </w:rPr>
        <w:t>事故，其次为甲烷泄漏后遇火发生的燃烧或爆炸事故。通常情况下，</w:t>
      </w:r>
      <w:r>
        <w:rPr>
          <w:rFonts w:hint="default" w:ascii="Times New Roman" w:hAnsi="Times New Roman" w:eastAsia="宋体" w:cs="Times New Roman"/>
          <w:color w:val="auto"/>
          <w:sz w:val="26"/>
          <w:szCs w:val="26"/>
          <w:lang w:val="en-US" w:eastAsia="zh-CN"/>
        </w:rPr>
        <w:t>管输介质</w:t>
      </w:r>
      <w:r>
        <w:rPr>
          <w:rFonts w:hint="default" w:ascii="Times New Roman" w:hAnsi="Times New Roman" w:eastAsia="宋体" w:cs="Times New Roman"/>
          <w:color w:val="auto"/>
          <w:sz w:val="26"/>
          <w:szCs w:val="26"/>
        </w:rPr>
        <w:t>处于密闭状态，不会出现介质泄漏。事故状态时风险类型主要是管线泄漏和破裂造成的天然气泄漏，泄漏过程中甲烷浓度增加引发窒息影响；其次是泄漏后的甲烷遇火燃烧或爆炸引发的次生污染</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可能导致</w:t>
      </w:r>
      <w:r>
        <w:rPr>
          <w:rFonts w:hint="default" w:ascii="Times New Roman" w:hAnsi="Times New Roman" w:eastAsia="宋体" w:cs="Times New Roman"/>
          <w:color w:val="auto"/>
          <w:sz w:val="26"/>
          <w:szCs w:val="26"/>
          <w:lang w:eastAsia="zh-CN"/>
        </w:rPr>
        <w:t>地表水、地下水、土壤</w:t>
      </w:r>
      <w:r>
        <w:rPr>
          <w:rFonts w:hint="default" w:ascii="Times New Roman" w:hAnsi="Times New Roman" w:eastAsia="宋体" w:cs="Times New Roman"/>
          <w:color w:val="auto"/>
          <w:sz w:val="26"/>
          <w:szCs w:val="26"/>
          <w:lang w:val="en-US" w:eastAsia="zh-CN"/>
        </w:rPr>
        <w:t>受到</w:t>
      </w:r>
      <w:r>
        <w:rPr>
          <w:rFonts w:hint="default" w:ascii="Times New Roman" w:hAnsi="Times New Roman" w:eastAsia="宋体" w:cs="Times New Roman"/>
          <w:color w:val="auto"/>
          <w:sz w:val="26"/>
          <w:szCs w:val="26"/>
          <w:lang w:eastAsia="zh-CN"/>
        </w:rPr>
        <w:t>污染</w:t>
      </w:r>
      <w:r>
        <w:rPr>
          <w:rFonts w:hint="default" w:ascii="Times New Roman" w:hAnsi="Times New Roman" w:eastAsia="宋体" w:cs="Times New Roman"/>
          <w:color w:val="auto"/>
          <w:sz w:val="26"/>
          <w:szCs w:val="26"/>
          <w:lang w:val="en-US" w:eastAsia="zh-CN"/>
        </w:rPr>
        <w:t>影响</w:t>
      </w:r>
      <w:r>
        <w:rPr>
          <w:rFonts w:hint="default" w:ascii="Times New Roman" w:hAnsi="Times New Roman" w:eastAsia="宋体" w:cs="Times New Roman"/>
          <w:color w:val="auto"/>
          <w:sz w:val="26"/>
          <w:szCs w:val="26"/>
        </w:rPr>
        <w:t>。总的来说，由于项目</w:t>
      </w:r>
      <w:r>
        <w:rPr>
          <w:rFonts w:hint="default" w:ascii="Times New Roman" w:hAnsi="Times New Roman" w:eastAsia="宋体" w:cs="Times New Roman"/>
          <w:color w:val="auto"/>
          <w:sz w:val="26"/>
          <w:szCs w:val="26"/>
          <w:lang w:val="en-US" w:eastAsia="zh-CN"/>
        </w:rPr>
        <w:t>的</w:t>
      </w:r>
      <w:r>
        <w:rPr>
          <w:rFonts w:hint="default" w:ascii="Times New Roman" w:hAnsi="Times New Roman" w:eastAsia="宋体" w:cs="Times New Roman"/>
          <w:color w:val="auto"/>
          <w:sz w:val="26"/>
          <w:szCs w:val="26"/>
        </w:rPr>
        <w:t>各个危险单元前后设置了紧急隔离系统，泄漏时间短，且事故发生的概率低，在采取积极的风险防范措施，并制定有效的应急预案后，环境风险总体可控。</w:t>
      </w:r>
    </w:p>
    <w:p w14:paraId="2BBA0CBB">
      <w:pPr>
        <w:autoSpaceDE w:val="0"/>
        <w:autoSpaceDN w:val="0"/>
        <w:adjustRightInd w:val="0"/>
        <w:spacing w:line="460" w:lineRule="exact"/>
        <w:ind w:firstLine="520" w:firstLineChars="200"/>
        <w:rPr>
          <w:rFonts w:hint="default" w:ascii="Times New Roman" w:hAnsi="Times New Roman" w:eastAsia="宋体" w:cs="Times New Roman"/>
          <w:color w:val="auto"/>
          <w:sz w:val="26"/>
          <w:szCs w:val="26"/>
        </w:rPr>
      </w:pPr>
    </w:p>
    <w:p w14:paraId="33101064">
      <w:pPr>
        <w:adjustRightInd w:val="0"/>
        <w:snapToGrid w:val="0"/>
        <w:spacing w:after="120" w:afterLines="50"/>
        <w:jc w:val="center"/>
        <w:outlineLvl w:val="0"/>
        <w:rPr>
          <w:rFonts w:hint="default" w:ascii="Times New Roman" w:hAnsi="Times New Roman" w:eastAsia="宋体" w:cs="Times New Roman"/>
          <w:b/>
          <w:color w:val="auto"/>
          <w:sz w:val="32"/>
          <w:szCs w:val="32"/>
        </w:rPr>
      </w:pPr>
      <w:r>
        <w:rPr>
          <w:rFonts w:hint="default" w:ascii="Times New Roman" w:hAnsi="Times New Roman" w:eastAsia="宋体" w:cs="Times New Roman"/>
          <w:color w:val="auto"/>
          <w:sz w:val="26"/>
          <w:szCs w:val="26"/>
        </w:rPr>
        <w:br w:type="page"/>
      </w:r>
      <w:bookmarkStart w:id="391" w:name="_Toc30255"/>
      <w:r>
        <w:rPr>
          <w:rFonts w:hint="default" w:ascii="Times New Roman" w:hAnsi="Times New Roman" w:eastAsia="宋体" w:cs="Times New Roman"/>
          <w:b/>
          <w:color w:val="auto"/>
          <w:sz w:val="32"/>
          <w:szCs w:val="32"/>
        </w:rPr>
        <w:t xml:space="preserve">8 </w:t>
      </w:r>
      <w:r>
        <w:rPr>
          <w:rFonts w:hint="default" w:ascii="Times New Roman" w:hAnsi="Times New Roman" w:eastAsia="宋体" w:cs="Times New Roman"/>
          <w:b/>
          <w:color w:val="auto"/>
          <w:sz w:val="32"/>
          <w:szCs w:val="32"/>
          <w:lang w:val="en-US" w:eastAsia="zh-CN"/>
        </w:rPr>
        <w:t>生态</w:t>
      </w:r>
      <w:r>
        <w:rPr>
          <w:rFonts w:hint="default" w:ascii="Times New Roman" w:hAnsi="Times New Roman" w:eastAsia="宋体" w:cs="Times New Roman"/>
          <w:b/>
          <w:color w:val="auto"/>
          <w:sz w:val="32"/>
          <w:szCs w:val="32"/>
        </w:rPr>
        <w:t>环境保护</w:t>
      </w:r>
      <w:r>
        <w:rPr>
          <w:rFonts w:hint="default" w:ascii="Times New Roman" w:hAnsi="Times New Roman" w:eastAsia="宋体" w:cs="Times New Roman"/>
          <w:b/>
          <w:color w:val="auto"/>
          <w:sz w:val="32"/>
          <w:szCs w:val="32"/>
          <w:highlight w:val="none"/>
        </w:rPr>
        <w:t>污染防治措施</w:t>
      </w:r>
      <w:r>
        <w:rPr>
          <w:rFonts w:hint="default" w:ascii="Times New Roman" w:hAnsi="Times New Roman" w:eastAsia="宋体" w:cs="Times New Roman"/>
          <w:b/>
          <w:color w:val="auto"/>
          <w:sz w:val="32"/>
          <w:szCs w:val="32"/>
          <w:lang w:val="en-US" w:eastAsia="zh-CN"/>
        </w:rPr>
        <w:t>及其可行性</w:t>
      </w:r>
      <w:r>
        <w:rPr>
          <w:rFonts w:hint="default" w:ascii="Times New Roman" w:hAnsi="Times New Roman" w:eastAsia="宋体" w:cs="Times New Roman"/>
          <w:b/>
          <w:color w:val="auto"/>
          <w:sz w:val="32"/>
          <w:szCs w:val="32"/>
        </w:rPr>
        <w:t>论证</w:t>
      </w:r>
      <w:bookmarkEnd w:id="385"/>
      <w:bookmarkEnd w:id="386"/>
      <w:bookmarkEnd w:id="387"/>
      <w:bookmarkEnd w:id="391"/>
    </w:p>
    <w:p w14:paraId="5F595D28">
      <w:pPr>
        <w:adjustRightInd w:val="0"/>
        <w:snapToGrid w:val="0"/>
        <w:spacing w:line="460" w:lineRule="exact"/>
        <w:ind w:firstLine="522"/>
        <w:outlineLvl w:val="1"/>
        <w:rPr>
          <w:rFonts w:hint="default" w:ascii="Times New Roman" w:hAnsi="Times New Roman" w:eastAsia="宋体" w:cs="Times New Roman"/>
          <w:b/>
          <w:color w:val="auto"/>
          <w:sz w:val="26"/>
          <w:szCs w:val="26"/>
        </w:rPr>
      </w:pPr>
      <w:bookmarkStart w:id="392" w:name="_Toc45551108"/>
      <w:bookmarkStart w:id="393" w:name="_Toc13541"/>
      <w:bookmarkStart w:id="394" w:name="_Toc31370"/>
      <w:bookmarkStart w:id="395" w:name="_Toc60144424"/>
      <w:r>
        <w:rPr>
          <w:rFonts w:hint="default" w:ascii="Times New Roman" w:hAnsi="Times New Roman" w:eastAsia="宋体" w:cs="Times New Roman"/>
          <w:b/>
          <w:color w:val="auto"/>
          <w:sz w:val="26"/>
          <w:szCs w:val="26"/>
        </w:rPr>
        <w:t>8.1施工期环境保护措施</w:t>
      </w:r>
      <w:bookmarkEnd w:id="392"/>
      <w:bookmarkEnd w:id="393"/>
      <w:bookmarkEnd w:id="394"/>
      <w:bookmarkEnd w:id="395"/>
    </w:p>
    <w:p w14:paraId="7C890C6A">
      <w:pPr>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8.1.1施工期环境保护管理措施</w:t>
      </w:r>
    </w:p>
    <w:p w14:paraId="5C728C8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（1）建立高效、务实的环境保护管理体系</w:t>
      </w:r>
    </w:p>
    <w:p w14:paraId="7C7B224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建设单位</w:t>
      </w:r>
      <w:r>
        <w:rPr>
          <w:rFonts w:hint="default" w:ascii="Times New Roman" w:hAnsi="Times New Roman" w:eastAsia="宋体" w:cs="Times New Roman"/>
          <w:color w:val="auto"/>
          <w:shd w:val="clear" w:fill="FFFFFF"/>
        </w:rPr>
        <w:t>成立有</w:t>
      </w:r>
      <w:r>
        <w:rPr>
          <w:rFonts w:hint="default" w:ascii="Times New Roman" w:hAnsi="Times New Roman" w:eastAsia="宋体" w:cs="Times New Roman"/>
          <w:color w:val="auto"/>
        </w:rPr>
        <w:t>安全环保管理机构，有专人负责制定本项目相应的环境管理办法；并开展施工期的环境保护知识普及和宣教活动。</w:t>
      </w:r>
    </w:p>
    <w:p w14:paraId="79A75DED">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（2）加强招投标工作的管理</w:t>
      </w:r>
    </w:p>
    <w:p w14:paraId="5B71A7A3">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1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招标文件编制应体现工程的环境影响评价成果，明确制定在每一标段中的环境保护目标，明确工程承包商对国土、水等环境资源保护以及生态环境保护、水土保持、人群健康和环境整治的责任和义务。</w:t>
      </w:r>
    </w:p>
    <w:p w14:paraId="788D1401">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2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对各标段的施工组织计划提出具体的环境保护要求，要求编制环境保护实施计划，并配备相应的环境管理人员和环保设施。</w:t>
      </w:r>
    </w:p>
    <w:p w14:paraId="093FE3F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3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工程承包商要承诺其环境保护责任和义务，不得发生层层转包、层层提取管理费的现象，自愿接受建设单位和地方环保单位的监督。</w:t>
      </w:r>
    </w:p>
    <w:p w14:paraId="026B0E2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4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④</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建立高素质的评标专家队伍，注意引进高素质的环保专家参与评标；加强投标单位的资质、施工能力、管理水平和业绩的审查工作；认真审查其施工组织计划有关环境保护和施工文明的内容，尤其应对其环境保护保障条件加强审查，禁止那些旨在中标而随意压低环保投入的工程承包商入围。</w:t>
      </w:r>
    </w:p>
    <w:p w14:paraId="289C681A">
      <w:pPr>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8.1.</w:t>
      </w:r>
      <w:r>
        <w:rPr>
          <w:rFonts w:hint="default" w:ascii="Times New Roman" w:hAnsi="Times New Roman" w:eastAsia="宋体" w:cs="Times New Roman"/>
          <w:b/>
          <w:color w:val="auto"/>
          <w:sz w:val="26"/>
          <w:szCs w:val="26"/>
          <w:lang w:val="en-US" w:eastAsia="zh-CN"/>
        </w:rPr>
        <w:t>2</w:t>
      </w:r>
      <w:r>
        <w:rPr>
          <w:rFonts w:hint="default" w:ascii="Times New Roman" w:hAnsi="Times New Roman" w:eastAsia="宋体" w:cs="Times New Roman"/>
          <w:b/>
          <w:color w:val="auto"/>
          <w:sz w:val="26"/>
          <w:szCs w:val="26"/>
        </w:rPr>
        <w:t>施工期环境空气污染防治措施</w:t>
      </w:r>
    </w:p>
    <w:p w14:paraId="36802BF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本项目施工期的大气污染物主要为施工扬尘、少量施工机械尾气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少量焊接烟尘及</w:t>
      </w:r>
      <w:r>
        <w:rPr>
          <w:rFonts w:hint="default" w:ascii="Times New Roman" w:hAnsi="Times New Roman" w:eastAsia="宋体" w:cs="Times New Roman"/>
          <w:color w:val="auto"/>
          <w:lang w:val="en-US" w:eastAsia="zh-CN"/>
        </w:rPr>
        <w:t>停气置换</w:t>
      </w:r>
      <w:r>
        <w:rPr>
          <w:rFonts w:hint="default" w:ascii="Times New Roman" w:hAnsi="Times New Roman" w:eastAsia="宋体" w:cs="Times New Roman"/>
          <w:color w:val="auto"/>
        </w:rPr>
        <w:t>放空废气，针对施工期的大气污染物排放特征，本项目施工时应采取以下污染防治措施：</w:t>
      </w:r>
    </w:p>
    <w:p w14:paraId="50CA907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（1）对使用频繁的道路路面进行洒水处理，以减少路面沙尘</w:t>
      </w:r>
      <w:r>
        <w:rPr>
          <w:rFonts w:hint="default" w:ascii="Times New Roman" w:hAnsi="Times New Roman" w:eastAsia="宋体" w:cs="Times New Roman"/>
          <w:color w:val="auto"/>
          <w:shd w:val="clear" w:fill="FFFFFF"/>
        </w:rPr>
        <w:t>的扬起</w:t>
      </w:r>
      <w:r>
        <w:rPr>
          <w:rFonts w:hint="default" w:ascii="Times New Roman" w:hAnsi="Times New Roman" w:eastAsia="宋体" w:cs="Times New Roman"/>
          <w:color w:val="auto"/>
        </w:rPr>
        <w:t>，运输车辆进入施工区域，应低速行驶；加强进出场区道路的维护，避免运输道路的损坏造成运输车辆颠簸，从而产生扬尘</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在施工现场进行合理化管理，统一堆放材料</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并</w:t>
      </w:r>
      <w:r>
        <w:rPr>
          <w:rFonts w:hint="default" w:ascii="Times New Roman" w:hAnsi="Times New Roman" w:eastAsia="宋体" w:cs="Times New Roman"/>
          <w:color w:val="auto"/>
          <w:lang w:eastAsia="zh-CN"/>
        </w:rPr>
        <w:t>加强临时用地管理，及时清运施工固废，对临时堆放在施工作业带两侧的土石方、表土进行遮盖；</w:t>
      </w:r>
      <w:r>
        <w:rPr>
          <w:rFonts w:hint="default" w:ascii="Times New Roman" w:hAnsi="Times New Roman" w:eastAsia="宋体" w:cs="Times New Roman"/>
          <w:color w:val="auto"/>
        </w:rPr>
        <w:t>土方开挖、调运、装卸等极易产生扬尘的施工环节尽量避免在大风干燥季节实施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保持运输车辆完好，不过满装载，及时清扫散落在路面上的泥土和建筑材料。</w:t>
      </w:r>
    </w:p>
    <w:p w14:paraId="6EF81D11">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）选用先进</w:t>
      </w:r>
      <w:r>
        <w:rPr>
          <w:rFonts w:hint="default" w:ascii="Times New Roman" w:hAnsi="Times New Roman" w:eastAsia="宋体" w:cs="Times New Roman"/>
          <w:color w:val="auto"/>
          <w:lang w:val="en-US" w:eastAsia="zh-CN"/>
        </w:rPr>
        <w:t>施工机械和</w:t>
      </w:r>
      <w:r>
        <w:rPr>
          <w:rFonts w:hint="default" w:ascii="Times New Roman" w:hAnsi="Times New Roman" w:eastAsia="宋体" w:cs="Times New Roman"/>
          <w:color w:val="auto"/>
        </w:rPr>
        <w:t>设备，不宜使用油耗高、效率低、废气排放严重的施工机械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加强施工机械及车辆的维护</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保养</w:t>
      </w:r>
      <w:r>
        <w:rPr>
          <w:rFonts w:hint="default" w:ascii="Times New Roman" w:hAnsi="Times New Roman" w:eastAsia="宋体" w:cs="Times New Roman"/>
          <w:color w:val="auto"/>
        </w:rPr>
        <w:t>，禁止其超负荷运行，杜绝机械尾气超标排放</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合理选择运输路线，实行封闭式运输，避免运输过程中出现</w:t>
      </w:r>
      <w:r>
        <w:rPr>
          <w:rFonts w:hint="default" w:ascii="Times New Roman" w:hAnsi="Times New Roman" w:eastAsia="宋体" w:cs="Times New Roman"/>
          <w:color w:val="auto"/>
          <w:shd w:val="clear" w:fill="FFFFFF"/>
          <w:lang w:eastAsia="zh-CN"/>
        </w:rPr>
        <w:t>抛洒</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对燃油设备要合理配置，将燃油设备工作场地移至当地常年主导风下风向和场地开阔的地方，以利于污染物的扩散。</w:t>
      </w:r>
    </w:p>
    <w:p w14:paraId="6A82B61E">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管道焊接过程中应在开阔空间完成，使用优质环保焊条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由于本项目焊接烟气量较小，且施工现场均在野外，有利于空气的扩散，同时焊接烟气的排放具有分散、间断排放和排放量小的特点，因此对局部地区的环境空气影响较小</w:t>
      </w:r>
      <w:r>
        <w:rPr>
          <w:rFonts w:hint="default" w:ascii="Times New Roman" w:hAnsi="Times New Roman" w:eastAsia="宋体" w:cs="Times New Roman"/>
          <w:color w:val="auto"/>
        </w:rPr>
        <w:t>。</w:t>
      </w:r>
    </w:p>
    <w:p w14:paraId="758DDAE5">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）氮气为空气组成成分，从管道内排出并经空气稀释扩散后，不会对大气环境造成污染影响。</w:t>
      </w:r>
    </w:p>
    <w:p w14:paraId="754ADC4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综上，本项目通过洒水降尘、维护机械车辆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合理安排施工时间与布</w:t>
      </w:r>
      <w:r>
        <w:rPr>
          <w:rFonts w:hint="default" w:ascii="Times New Roman" w:hAnsi="Times New Roman" w:eastAsia="宋体" w:cs="Times New Roman"/>
          <w:color w:val="auto"/>
          <w:shd w:val="clear" w:fill="FFFFFF"/>
          <w:lang w:val="en-US" w:eastAsia="zh-CN"/>
        </w:rPr>
        <w:t>设设备</w:t>
      </w:r>
      <w:r>
        <w:rPr>
          <w:rFonts w:hint="default" w:ascii="Times New Roman" w:hAnsi="Times New Roman" w:eastAsia="宋体" w:cs="Times New Roman"/>
          <w:color w:val="auto"/>
        </w:rPr>
        <w:t>等措施后，施工扬尘、机械尾气对大气环境的影响较小，采取措施可行。同时，本项目施工时间短，焊接烟尘、非甲烷总烃排放量小，施工现场环境开阔，污染物经扩散后，对大气环境影响较小。氮气为空气组分，不会对大气环境造成影响。综上，本项目采取的大气防治措施可行，施工废气对大气环境影响较小，随着施工期结束，该影响将逐渐消失。</w:t>
      </w:r>
    </w:p>
    <w:p w14:paraId="4BA4267F">
      <w:pPr>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8.1.</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施工期</w:t>
      </w:r>
      <w:r>
        <w:rPr>
          <w:rFonts w:hint="default" w:ascii="Times New Roman" w:hAnsi="Times New Roman" w:eastAsia="宋体" w:cs="Times New Roman"/>
          <w:b/>
          <w:color w:val="auto"/>
          <w:sz w:val="26"/>
          <w:szCs w:val="26"/>
          <w:lang w:val="en-US" w:eastAsia="zh-CN"/>
        </w:rPr>
        <w:t>地表</w:t>
      </w:r>
      <w:r>
        <w:rPr>
          <w:rFonts w:hint="default" w:ascii="Times New Roman" w:hAnsi="Times New Roman" w:eastAsia="宋体" w:cs="Times New Roman"/>
          <w:b/>
          <w:color w:val="auto"/>
          <w:sz w:val="26"/>
          <w:szCs w:val="26"/>
        </w:rPr>
        <w:t>水污染防治措施</w:t>
      </w:r>
    </w:p>
    <w:p w14:paraId="47961DC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项目施工期的污废水主要包括</w:t>
      </w:r>
      <w:r>
        <w:rPr>
          <w:rFonts w:hint="default" w:ascii="Times New Roman" w:hAnsi="Times New Roman" w:eastAsia="宋体" w:cs="Times New Roman"/>
          <w:color w:val="auto"/>
          <w:lang w:val="en-US" w:eastAsia="zh-CN"/>
        </w:rPr>
        <w:t>施工废水、</w:t>
      </w:r>
      <w:r>
        <w:rPr>
          <w:rFonts w:hint="default" w:ascii="Times New Roman" w:hAnsi="Times New Roman" w:eastAsia="宋体" w:cs="Times New Roman"/>
          <w:color w:val="auto"/>
        </w:rPr>
        <w:t>管道试压水和施工人员产生的少量生活污水。拟采取以下污染防治措施：</w:t>
      </w:r>
    </w:p>
    <w:p w14:paraId="7D2658A3">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（1）施工废水</w:t>
      </w:r>
      <w:r>
        <w:rPr>
          <w:rFonts w:hint="default" w:ascii="Times New Roman" w:hAnsi="Times New Roman" w:eastAsia="宋体" w:cs="Times New Roman"/>
          <w:color w:val="auto"/>
          <w:lang w:val="en-US" w:eastAsia="zh-CN"/>
        </w:rPr>
        <w:t>主要污染物为SS</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还有少量石油类，</w:t>
      </w:r>
      <w:r>
        <w:rPr>
          <w:rFonts w:hint="default" w:ascii="Times New Roman" w:hAnsi="Times New Roman" w:eastAsia="宋体" w:cs="Times New Roman"/>
          <w:color w:val="auto"/>
        </w:rPr>
        <w:t>经</w:t>
      </w:r>
      <w:r>
        <w:rPr>
          <w:rFonts w:hint="default" w:ascii="Times New Roman" w:hAnsi="Times New Roman" w:eastAsia="宋体" w:cs="Times New Roman"/>
          <w:color w:val="auto"/>
          <w:lang w:val="en-US" w:eastAsia="zh-CN"/>
        </w:rPr>
        <w:t>隔油沉淀</w:t>
      </w:r>
      <w:r>
        <w:rPr>
          <w:rFonts w:hint="default" w:ascii="Times New Roman" w:hAnsi="Times New Roman" w:eastAsia="宋体" w:cs="Times New Roman"/>
          <w:color w:val="auto"/>
          <w:shd w:val="clear" w:fill="FFFFFF"/>
          <w:lang w:val="en-US" w:eastAsia="zh-CN"/>
        </w:rPr>
        <w:t>处理后</w:t>
      </w:r>
      <w:r>
        <w:rPr>
          <w:rFonts w:hint="default" w:ascii="Times New Roman" w:hAnsi="Times New Roman" w:eastAsia="宋体" w:cs="Times New Roman"/>
          <w:color w:val="auto"/>
        </w:rPr>
        <w:t>可循环使用于施工作业带</w:t>
      </w:r>
      <w:r>
        <w:rPr>
          <w:rFonts w:hint="default" w:ascii="Times New Roman" w:hAnsi="Times New Roman" w:eastAsia="宋体" w:cs="Times New Roman"/>
          <w:color w:val="auto"/>
          <w:lang w:val="en-US" w:eastAsia="zh-CN"/>
        </w:rPr>
        <w:t>洒</w:t>
      </w:r>
      <w:r>
        <w:rPr>
          <w:rFonts w:hint="default" w:ascii="Times New Roman" w:hAnsi="Times New Roman" w:eastAsia="宋体" w:cs="Times New Roman"/>
          <w:color w:val="auto"/>
        </w:rPr>
        <w:t>水降尘</w:t>
      </w:r>
      <w:r>
        <w:rPr>
          <w:rFonts w:hint="default" w:ascii="Times New Roman" w:hAnsi="Times New Roman" w:eastAsia="宋体" w:cs="Times New Roman"/>
          <w:color w:val="auto"/>
          <w:lang w:val="en-US" w:eastAsia="zh-CN"/>
        </w:rPr>
        <w:t>或</w:t>
      </w:r>
      <w:r>
        <w:rPr>
          <w:rFonts w:hint="default" w:ascii="Times New Roman" w:hAnsi="Times New Roman" w:eastAsia="宋体" w:cs="Times New Roman"/>
          <w:color w:val="auto"/>
          <w:sz w:val="26"/>
          <w:szCs w:val="26"/>
          <w:lang w:val="en-US" w:eastAsia="zh-CN"/>
        </w:rPr>
        <w:t>回用作为施工用水</w:t>
      </w:r>
      <w:r>
        <w:rPr>
          <w:rFonts w:hint="default" w:ascii="Times New Roman" w:hAnsi="Times New Roman" w:eastAsia="宋体" w:cs="Times New Roman"/>
          <w:color w:val="auto"/>
        </w:rPr>
        <w:t>，不外排。</w:t>
      </w:r>
    </w:p>
    <w:p w14:paraId="7FA7F32D">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（2）本项目管道试压采用的是无腐蚀性的清洁水进行试压，其污染物主要为少量SS，试压废水沉淀后回用于设备、车辆冲洗和场地洒水降尘。</w:t>
      </w:r>
    </w:p>
    <w:p w14:paraId="3E39518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（3）本工程施工人员的食宿主要通过租用当地</w:t>
      </w:r>
      <w:r>
        <w:rPr>
          <w:rFonts w:hint="default" w:ascii="Times New Roman" w:hAnsi="Times New Roman" w:eastAsia="宋体" w:cs="Times New Roman"/>
          <w:color w:val="auto"/>
          <w:lang w:val="en-US" w:eastAsia="zh-CN"/>
        </w:rPr>
        <w:t>旅馆、居</w:t>
      </w:r>
      <w:r>
        <w:rPr>
          <w:rFonts w:hint="default" w:ascii="Times New Roman" w:hAnsi="Times New Roman" w:eastAsia="宋体" w:cs="Times New Roman"/>
          <w:color w:val="auto"/>
        </w:rPr>
        <w:t>民房等解决，施工队伍产生的生活污水主要依托当地</w:t>
      </w:r>
      <w:r>
        <w:rPr>
          <w:rFonts w:hint="default" w:ascii="Times New Roman" w:hAnsi="Times New Roman" w:eastAsia="宋体" w:cs="Times New Roman"/>
          <w:color w:val="auto"/>
          <w:lang w:val="en-US" w:eastAsia="zh-CN"/>
        </w:rPr>
        <w:t>现有</w:t>
      </w:r>
      <w:r>
        <w:rPr>
          <w:rFonts w:hint="default" w:ascii="Times New Roman" w:hAnsi="Times New Roman" w:eastAsia="宋体" w:cs="Times New Roman"/>
          <w:color w:val="auto"/>
        </w:rPr>
        <w:t>的生活污水处理系统，不外排。</w:t>
      </w:r>
    </w:p>
    <w:p w14:paraId="3D14CA1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（4）管理措施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开展施工场所和施工驻地的</w:t>
      </w:r>
      <w:r>
        <w:rPr>
          <w:rFonts w:hint="default" w:ascii="Times New Roman" w:hAnsi="Times New Roman" w:eastAsia="宋体" w:cs="Times New Roman"/>
          <w:color w:val="auto"/>
          <w:lang w:val="en-US" w:eastAsia="zh-CN"/>
        </w:rPr>
        <w:t>生态</w:t>
      </w:r>
      <w:r>
        <w:rPr>
          <w:rFonts w:hint="default" w:ascii="Times New Roman" w:hAnsi="Times New Roman" w:eastAsia="宋体" w:cs="Times New Roman"/>
          <w:color w:val="auto"/>
        </w:rPr>
        <w:t>环境保护教育，让施工人员理解水资源保护的重要性，制定合理的施工程序，高效组织施工作业，加强施工管理和工程监理工作，严格检查施工机械，施工材料不能堆放在地表水体附近，并应备有临时遮挡的帆布</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严禁将施工废水、生活污水等排入饮用水水源保护区。通过科学合理、高效严格的施工管理，有助于减少施工期对周边地表水环境及饮用水源保护区的影响。</w:t>
      </w:r>
    </w:p>
    <w:p w14:paraId="14974336">
      <w:pPr>
        <w:pStyle w:val="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val="zh-CN"/>
        </w:rPr>
        <w:t>在</w:t>
      </w:r>
      <w:r>
        <w:rPr>
          <w:rFonts w:hint="default" w:ascii="Times New Roman" w:hAnsi="Times New Roman" w:eastAsia="宋体" w:cs="Times New Roman"/>
          <w:color w:val="auto"/>
        </w:rPr>
        <w:t>邻近</w:t>
      </w:r>
      <w:r>
        <w:rPr>
          <w:rFonts w:hint="default" w:ascii="Times New Roman" w:hAnsi="Times New Roman" w:eastAsia="宋体" w:cs="Times New Roman"/>
          <w:color w:val="auto"/>
          <w:sz w:val="26"/>
          <w:szCs w:val="26"/>
          <w:lang w:val="en-US" w:eastAsia="zh-CN"/>
        </w:rPr>
        <w:t>薄刀岭</w:t>
      </w:r>
      <w:r>
        <w:rPr>
          <w:rFonts w:hint="default" w:ascii="Times New Roman" w:hAnsi="Times New Roman" w:eastAsia="宋体" w:cs="Times New Roman"/>
          <w:color w:val="auto"/>
          <w:sz w:val="26"/>
          <w:szCs w:val="26"/>
          <w:shd w:val="clear" w:fill="FFFFFF"/>
          <w:lang w:val="en-US" w:eastAsia="zh-CN"/>
        </w:rPr>
        <w:t>水库</w:t>
      </w:r>
      <w:r>
        <w:rPr>
          <w:rFonts w:hint="default" w:ascii="Times New Roman" w:hAnsi="Times New Roman" w:eastAsia="宋体" w:cs="Times New Roman"/>
          <w:color w:val="auto"/>
          <w:lang w:val="en-US" w:eastAsia="zh-CN"/>
        </w:rPr>
        <w:t>水源保护区段施工时应强化对水源保护区的保护措施：项目在邻近饮用水源保护区段施工时应立牌警示，提醒施工人员文明施工，保护水源。施工区域应明确施工控制界限，防止超线施工、排放废水、堆弃渣土等行为。禁止在保护区内存放油品，在施工过程中注意对施工机具的维护，防止其漏油。机械设备若有漏油现象要及时封堵处理，避免造成大的污染。材料和临时堆土应布置于施工作业带内远离水源保护区的一侧。严禁在饮用水源保护区内排放施工废水和生活污水；严禁在饮用水源保护区内随意丢弃生活垃圾、施工废料等固体废物。水源保护区附近施工时，应采用先进工艺，缩短作业时间，及时对开挖作业面进行清理。邻近水源保护区管段加强工程施工监理工作，环境监理人员每天应对水源地附近施工情况进行巡检，若发现不符合要求的现象，应及时下发整改通知单，切实保护饮用水源。</w:t>
      </w:r>
    </w:p>
    <w:p w14:paraId="5EAF0F2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采取以上措施，工程施工对水环境的影响能得到有效控制，影响较小。</w:t>
      </w:r>
    </w:p>
    <w:p w14:paraId="427A4D27">
      <w:pPr>
        <w:adjustRightInd w:val="0"/>
        <w:snapToGrid w:val="0"/>
        <w:spacing w:line="460" w:lineRule="exact"/>
        <w:ind w:firstLine="522" w:firstLineChars="200"/>
        <w:outlineLvl w:val="2"/>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8.1.</w:t>
      </w:r>
      <w:r>
        <w:rPr>
          <w:rFonts w:hint="default" w:ascii="Times New Roman" w:hAnsi="Times New Roman" w:eastAsia="宋体" w:cs="Times New Roman"/>
          <w:b/>
          <w:bCs/>
          <w:color w:val="auto"/>
          <w:sz w:val="26"/>
          <w:szCs w:val="26"/>
          <w:lang w:val="en-US" w:eastAsia="zh-CN"/>
        </w:rPr>
        <w:t>4</w:t>
      </w:r>
      <w:r>
        <w:rPr>
          <w:rFonts w:hint="default" w:ascii="Times New Roman" w:hAnsi="Times New Roman" w:eastAsia="宋体" w:cs="Times New Roman"/>
          <w:b/>
          <w:bCs/>
          <w:color w:val="auto"/>
          <w:sz w:val="26"/>
          <w:szCs w:val="26"/>
        </w:rPr>
        <w:t>施工期地下水环境保护措施</w:t>
      </w:r>
    </w:p>
    <w:p w14:paraId="592C456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前述预测分析，本工程施工期对管道沿线地下水环境保护目标的影响很小，主要表现在对包气带的扰动，仅少数地区地下水水位高于管沟开挖深度时会扰动浅表地下水。由于管道施工为分段施工，具有施工时序短的特点，施工结束后即可恢复正常，因此整体影响较小。</w:t>
      </w:r>
    </w:p>
    <w:p w14:paraId="2B878FE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根据项目特点﹑管道沿线的地质环境，并结合管道工程建设的经验和教训，为最大限度地减少对地下水环境的影响</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防止地下水污染，</w:t>
      </w:r>
      <w:r>
        <w:rPr>
          <w:rFonts w:hint="default" w:ascii="Times New Roman" w:hAnsi="Times New Roman" w:eastAsia="宋体" w:cs="Times New Roman"/>
          <w:color w:val="auto"/>
          <w:lang w:val="en-US" w:eastAsia="zh-CN"/>
        </w:rPr>
        <w:t>从废水、固废处理要求上采取以下防治措施：</w:t>
      </w:r>
    </w:p>
    <w:p w14:paraId="4538BFA6">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施工期废水主要来自施工人员在施工作业中产生的生活污水及管道试压排放的废水。施工人员生活依托管线沿线的</w:t>
      </w:r>
      <w:r>
        <w:rPr>
          <w:rFonts w:hint="default" w:ascii="Times New Roman" w:hAnsi="Times New Roman" w:eastAsia="宋体" w:cs="Times New Roman"/>
          <w:color w:val="auto"/>
          <w:lang w:val="en-US" w:eastAsia="zh-CN"/>
        </w:rPr>
        <w:t>旅馆、</w:t>
      </w:r>
      <w:r>
        <w:rPr>
          <w:rFonts w:hint="default" w:ascii="Times New Roman" w:hAnsi="Times New Roman" w:eastAsia="宋体" w:cs="Times New Roman"/>
          <w:color w:val="auto"/>
        </w:rPr>
        <w:t>居民房等，生活污水依托现有污水处理设施处理，不外排；管道试压废水沉淀后回用于设备、车辆冲洗和场地洒水降尘，</w:t>
      </w:r>
      <w:r>
        <w:rPr>
          <w:rFonts w:hint="default" w:ascii="Times New Roman" w:hAnsi="Times New Roman" w:eastAsia="宋体" w:cs="Times New Roman"/>
          <w:color w:val="auto"/>
          <w:lang w:val="en-US" w:eastAsia="zh-CN"/>
        </w:rPr>
        <w:t>不随意外排；施工废水</w:t>
      </w:r>
      <w:r>
        <w:rPr>
          <w:rFonts w:hint="default" w:ascii="Times New Roman" w:hAnsi="Times New Roman" w:eastAsia="宋体" w:cs="Times New Roman"/>
          <w:color w:val="auto"/>
        </w:rPr>
        <w:t>主要污染物为SS</w:t>
      </w:r>
      <w:r>
        <w:rPr>
          <w:rFonts w:hint="default" w:ascii="Times New Roman" w:hAnsi="Times New Roman" w:eastAsia="宋体" w:cs="Times New Roman"/>
          <w:color w:val="auto"/>
          <w:lang w:val="en-US" w:eastAsia="zh-CN"/>
        </w:rPr>
        <w:t>及少量石油类</w:t>
      </w:r>
      <w:r>
        <w:rPr>
          <w:rFonts w:hint="default" w:ascii="Times New Roman" w:hAnsi="Times New Roman" w:eastAsia="宋体" w:cs="Times New Roman"/>
          <w:color w:val="auto"/>
        </w:rPr>
        <w:t>，沉淀后用于洒水降尘，杜绝不经处理任意排放</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施工产生的生活垃圾依托当地现有设施收集后交环卫部门处理；可回收施工废料外售废品回收站回收处置，不可回收施工废料送当地环卫部门统一处置</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防止施工污染物的任意弃置，特别是防止设备漏油遗撒在水体中，</w:t>
      </w:r>
      <w:r>
        <w:rPr>
          <w:rFonts w:hint="default" w:ascii="Times New Roman" w:hAnsi="Times New Roman" w:eastAsia="宋体" w:cs="Times New Roman"/>
          <w:color w:val="auto"/>
          <w:lang w:val="en-US" w:eastAsia="zh-CN"/>
        </w:rPr>
        <w:t>并</w:t>
      </w:r>
      <w:r>
        <w:rPr>
          <w:rFonts w:hint="default" w:ascii="Times New Roman" w:hAnsi="Times New Roman" w:eastAsia="宋体" w:cs="Times New Roman"/>
          <w:color w:val="auto"/>
        </w:rPr>
        <w:t>加强设备的维修保养，在易发生泄漏的设备底部</w:t>
      </w:r>
      <w:r>
        <w:rPr>
          <w:rFonts w:hint="default" w:ascii="Times New Roman" w:hAnsi="Times New Roman" w:eastAsia="宋体" w:cs="Times New Roman"/>
          <w:color w:val="auto"/>
          <w:shd w:val="clear" w:fill="FFFFFF"/>
        </w:rPr>
        <w:t>铺</w:t>
      </w:r>
      <w:r>
        <w:rPr>
          <w:rFonts w:hint="default" w:ascii="Times New Roman" w:hAnsi="Times New Roman" w:eastAsia="宋体" w:cs="Times New Roman"/>
          <w:color w:val="auto"/>
        </w:rPr>
        <w:t>防漏油布，并及时清理漏油。</w:t>
      </w:r>
    </w:p>
    <w:p w14:paraId="1EBB2C2D">
      <w:pPr>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8.1.5施工期噪声污染防治措施</w:t>
      </w:r>
    </w:p>
    <w:p w14:paraId="75EC887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（1）合理布局施工机械，合理安排施工强度，做好施工组织设计，尽可能将施工机械远离周围的敏感点。</w:t>
      </w:r>
    </w:p>
    <w:p w14:paraId="28F24FA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（2）选用符合国家标准的低噪声设备，并加强对设备的维修保养，避免由于设备非正常工作而</w:t>
      </w:r>
      <w:r>
        <w:rPr>
          <w:rFonts w:hint="default" w:ascii="Times New Roman" w:hAnsi="Times New Roman" w:eastAsia="宋体" w:cs="Times New Roman"/>
          <w:color w:val="auto"/>
          <w:shd w:val="clear" w:fill="FFFFFF"/>
        </w:rPr>
        <w:t>产生高</w:t>
      </w:r>
      <w:r>
        <w:rPr>
          <w:rFonts w:hint="default" w:ascii="Times New Roman" w:hAnsi="Times New Roman" w:eastAsia="宋体" w:cs="Times New Roman"/>
          <w:color w:val="auto"/>
        </w:rPr>
        <w:t>噪声污染。</w:t>
      </w:r>
    </w:p>
    <w:p w14:paraId="74E1953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（3）合理安排施工时间，禁止夜间（22：00-次日6：00）施工，若因特殊状况需要连续施工的，应向环保部门申请，批准后才能根据规定夜间施工。</w:t>
      </w:r>
    </w:p>
    <w:p w14:paraId="08F5E0F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（4）应注意合理安排施工物料的运输时间。在途经附近居民点路段，应减速慢行、禁止鸣笛。</w:t>
      </w:r>
    </w:p>
    <w:p w14:paraId="6B56D7F4">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（5）施工过</w:t>
      </w:r>
      <w:r>
        <w:rPr>
          <w:rFonts w:hint="default" w:ascii="Times New Roman" w:hAnsi="Times New Roman" w:eastAsia="宋体" w:cs="Times New Roman"/>
          <w:color w:val="auto"/>
          <w:shd w:val="clear" w:fill="FFFFFF"/>
        </w:rPr>
        <w:t>程</w:t>
      </w:r>
      <w:r>
        <w:rPr>
          <w:rFonts w:hint="default" w:ascii="Times New Roman" w:hAnsi="Times New Roman" w:eastAsia="宋体" w:cs="Times New Roman"/>
          <w:color w:val="auto"/>
        </w:rPr>
        <w:t>与周围居民做好沟通工作，减少对敏感地点的影响，防止发生噪声扰民现象。</w:t>
      </w:r>
    </w:p>
    <w:p w14:paraId="1CD19D36">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（6）在施工招投标时，将减低环境噪声污染的措施列为施工组织设计内容，并在合同中予以明确。施工操作人员及现场施工人员，按劳动卫生标准控制工作时间，并做好自身防护工作，如佩戴耳塞等。</w:t>
      </w:r>
    </w:p>
    <w:p w14:paraId="4F57E87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采取上述噪声防治措施后，能最大限度减小施工噪声对区域环境的影响。</w:t>
      </w:r>
    </w:p>
    <w:p w14:paraId="3CF4155C">
      <w:pPr>
        <w:spacing w:line="46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8.1.6施工期固体废物污染防治措施</w:t>
      </w:r>
    </w:p>
    <w:p w14:paraId="75B4853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项目施工期固体废物主要包括施工废料、施工人员的生活垃圾等。针对施工期固体废物，应采取以下积极有效的处置措施：</w:t>
      </w:r>
    </w:p>
    <w:p w14:paraId="4BF715D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（1）项目施工期应合理安排施工工期，开挖的土石方及时进行回填，减少土石方的临时堆存时间；土石方挖填和调运过程中应做好水土保持措施和抑尘工作。</w:t>
      </w:r>
    </w:p>
    <w:p w14:paraId="42ABC5B6">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（2）施工结束后，应对施工场地内产生的施工废料进行集中收集，可回收施工废料外售废品回收站回收处置，不可回收施工废料收集后送当地环卫部门统一处置。禁止乱堆乱放，禁止随意倾倒。</w:t>
      </w:r>
    </w:p>
    <w:p w14:paraId="247881E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（3）及时清扫施工道路积尘和散落的弃渣，维护沿线村落环境卫生。</w:t>
      </w:r>
    </w:p>
    <w:p w14:paraId="76383E3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（4）施工人员生活垃圾依托当地现有设施收集后交环卫部门处理，禁止生活垃圾乱丢乱弃。</w:t>
      </w:r>
    </w:p>
    <w:p w14:paraId="781C5D0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采取以上措施后，施工期产生的固体废物均得到妥善处置，对环境影响小。</w:t>
      </w:r>
    </w:p>
    <w:p w14:paraId="5646EA36">
      <w:pPr>
        <w:spacing w:line="460" w:lineRule="exact"/>
        <w:ind w:firstLine="522" w:firstLineChars="200"/>
        <w:outlineLvl w:val="2"/>
        <w:rPr>
          <w:rFonts w:hint="default" w:ascii="Times New Roman" w:hAnsi="Times New Roman" w:eastAsia="宋体" w:cs="Times New Roman"/>
          <w:b/>
          <w:color w:val="auto"/>
          <w:sz w:val="26"/>
          <w:szCs w:val="26"/>
        </w:rPr>
      </w:pPr>
      <w:bookmarkStart w:id="396" w:name="_Toc45551109"/>
      <w:bookmarkStart w:id="397" w:name="_Toc60144425"/>
      <w:bookmarkStart w:id="398" w:name="_Toc24134"/>
      <w:r>
        <w:rPr>
          <w:rFonts w:hint="default" w:ascii="Times New Roman" w:hAnsi="Times New Roman" w:eastAsia="宋体" w:cs="Times New Roman"/>
          <w:b/>
          <w:color w:val="auto"/>
          <w:sz w:val="26"/>
          <w:szCs w:val="26"/>
        </w:rPr>
        <w:t>8.1.</w:t>
      </w:r>
      <w:r>
        <w:rPr>
          <w:rFonts w:hint="default" w:ascii="Times New Roman" w:hAnsi="Times New Roman" w:eastAsia="宋体" w:cs="Times New Roman"/>
          <w:b/>
          <w:color w:val="auto"/>
          <w:sz w:val="26"/>
          <w:szCs w:val="26"/>
          <w:lang w:val="en-US" w:eastAsia="zh-CN"/>
        </w:rPr>
        <w:t>7</w:t>
      </w:r>
      <w:r>
        <w:rPr>
          <w:rFonts w:hint="default" w:ascii="Times New Roman" w:hAnsi="Times New Roman" w:eastAsia="宋体" w:cs="Times New Roman"/>
          <w:b/>
          <w:color w:val="auto"/>
          <w:sz w:val="26"/>
          <w:szCs w:val="26"/>
        </w:rPr>
        <w:t>施工期生态环境保护措施</w:t>
      </w:r>
    </w:p>
    <w:p w14:paraId="37583AD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（1）耕地保护和恢复措施</w:t>
      </w:r>
    </w:p>
    <w:p w14:paraId="6906F24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1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 xml:space="preserve"> 严格控制土地占用</w:t>
      </w:r>
    </w:p>
    <w:p w14:paraId="2796D477">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A. 对占地合理规划，严格限制占地面积；施工作业带、堆管场等临时占地按照用地范围线施工，不得超出用地范围的要求；</w:t>
      </w:r>
    </w:p>
    <w:p w14:paraId="58DEA407">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B. 按设计标准规定，严格控制施工作业带面积，不得超过作业标准规定，并尽量沿道路纵向平行布设，以减少土壤扰动和地表植被破坏，减少裸地和土方暴露面积；</w:t>
      </w:r>
    </w:p>
    <w:p w14:paraId="7CC45927">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C. 施工作业尽量利用原有公路，杜绝车辆乱碾乱轧，不随意开设便道；管线尽量沿公路侧平行布置，便于施工及运营期检修维护。</w:t>
      </w:r>
    </w:p>
    <w:p w14:paraId="1302C4B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2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 xml:space="preserve"> 土地肥力保护措施</w:t>
      </w:r>
    </w:p>
    <w:p w14:paraId="64CC2CD3">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A. 分层开挖，分层堆放、分层回填。对于农田、耕地土壤，按照耕作层、犁底层、心土层和底土层分层开挖，分层堆放、分层回填；减少因施工生土上翻，表土层养分损失。同时，要避免间断覆土造成的土层不坚实形成的水土流失等问题。</w:t>
      </w:r>
    </w:p>
    <w:p w14:paraId="33351D0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B. 表土剥离及存放。表土在土地复垦工程中起着非常重要的作用，它关系着复垦后土壤的质量和肥力。因此，剥离出来的表土需要妥善存放。为了保持土壤结构、避免土壤板结，应避免雨天剥离、搬运和堆存表土。若表土堆存过程中遇降雨，则需要用防雨布遮挡堆存表土，防止水土流失，带走土壤中的养分，导致土壤肥力下降。</w:t>
      </w:r>
    </w:p>
    <w:p w14:paraId="6EF3261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C. 对管沟回填后多余的土全部摊铺到管段所在的作业带内，并使管沟与周围自然地表形成平滑过渡，不得形成汇水环境，防止水土流失。管线所经地段的原始地表存在局部凹地时，若有积水的可能，需采用管沟多余土或借土填高以防地表水汇集。对敷设在较平坦地段的管道，应在地貌恢复后使管沟与附近地表自然过渡，回填土与周围地表坡向保持一致，严禁在管沟两侧有</w:t>
      </w:r>
      <w:r>
        <w:rPr>
          <w:rFonts w:hint="default" w:ascii="Times New Roman" w:hAnsi="Times New Roman" w:eastAsia="宋体" w:cs="Times New Roman"/>
          <w:color w:val="auto"/>
          <w:shd w:val="clear" w:fill="FFFFFF"/>
        </w:rPr>
        <w:t>集水</w:t>
      </w:r>
      <w:r>
        <w:rPr>
          <w:rFonts w:hint="default" w:ascii="Times New Roman" w:hAnsi="Times New Roman" w:eastAsia="宋体" w:cs="Times New Roman"/>
          <w:color w:val="auto"/>
        </w:rPr>
        <w:t>环境存在。</w:t>
      </w:r>
    </w:p>
    <w:p w14:paraId="5878678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D. 为防止管道焊接产生的废焊渣污染土壤，本次评价建议建设单位在管道焊接时焊缝下铺耐高温的挡板，对产生的废焊渣和废焊条全部收集。施工结束后，施工单位应回收全部的废焊接材料，防止遗留到土壤中污染土壤环境。</w:t>
      </w:r>
    </w:p>
    <w:p w14:paraId="35E2DA77">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3 \* GB3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 xml:space="preserve"> 耕地保护</w:t>
      </w:r>
    </w:p>
    <w:p w14:paraId="53CFF8B3">
      <w:pPr>
        <w:adjustRightInd w:val="0"/>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按照《中华人民共和国土地管理法》第三十一条：国家实行占用耕地补偿制度。非农业建设经批准占用耕地的，按照“占多少，垦多少”的原则，由占用耕地的单位负责开垦与所占用耕地的数量和质量相当的耕地；没有条件开垦或者开垦的耕地不符合要求的，应当按照省、自治区、直辖市的规定缴纳耕地开垦费，专款用于开垦新的耕地。省、自治区、直辖市人民政府应当制定开垦耕地计划，监督占用耕地的单位按照计划开垦耕地或者按照计划组织开垦耕地，并进行验收。第三十二条：县级以上地方人民政府可以要求占用耕地的单位将所占用耕地耕作层的土壤用于新开垦耕地、劣质地或者其他耕地的土壤改良。</w:t>
      </w:r>
    </w:p>
    <w:p w14:paraId="4D0EB960">
      <w:pPr>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B. 合理安排施工次序、季节、时间</w:t>
      </w:r>
    </w:p>
    <w:p w14:paraId="36970B9D">
      <w:pPr>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根据当地农业活动特点，尽量避开植物物种播种生长季、收获期，合理安排施工次序和时间。</w:t>
      </w:r>
    </w:p>
    <w:p w14:paraId="43663E9B">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C 土地复垦</w:t>
      </w:r>
    </w:p>
    <w:p w14:paraId="5135468A">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按照《土地复垦条例》第三条规定：生产建设活动损毁的土地，按照 “谁损毁，谁复垦”的原则，由生产建设单位或者个人（以下称土地复垦义务人）负责复垦；第十六条规定：土地复垦义务人应当建立土地复垦质量控制制度，遵守土地复垦标准和环境保护标准，保护土壤质量与生态环境，避免污染土壤和地下水。土地复垦义务人应当首先对拟损毁的耕地进行表土剥离，剥离的表土用于被损毁土地的复垦。在恢复期，应对土壤进行熟化和培肥，落实耕地质量调查及监测工作，及时掌握耕地质量变化状况，直至恢复到原来的生产力水平。</w:t>
      </w:r>
    </w:p>
    <w:p w14:paraId="31957F5C">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④永久基本农田保护措施</w:t>
      </w:r>
    </w:p>
    <w:p w14:paraId="7EFC95F5">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B永久基本农田保护方案</w:t>
      </w:r>
    </w:p>
    <w:p w14:paraId="552F6623">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基本农田保护条例》规定：经国务院批准占用基本农田兴建国家重点建设项目的，在建设项目环境影响报告书中，应当有基本农田环境保护方案。编制基本农田环境保护方案旨在就项目施工建设对基本农田的破坏影响提出减缓措施。本项目运营期对基本农田基本无影响，因此本方案仅针对建设前期和施工期两个阶段提出基本农田保护措施。</w:t>
      </w:r>
    </w:p>
    <w:p w14:paraId="723A7206">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①施工过程中严格控制施工范围，缩短施工作业带，减少对永久基本农田的破坏。</w:t>
      </w:r>
    </w:p>
    <w:p w14:paraId="67253A68">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②根据“边施工边复垦”的原则，在管线施工结束后对临时占用的基本农田立即恢复，</w:t>
      </w:r>
      <w:r>
        <w:rPr>
          <w:rFonts w:hint="default" w:ascii="Times New Roman" w:hAnsi="Times New Roman" w:eastAsia="宋体" w:cs="Times New Roman"/>
          <w:bCs/>
          <w:color w:val="auto"/>
          <w:sz w:val="26"/>
          <w:szCs w:val="26"/>
          <w:shd w:val="clear" w:fill="FFFFFF"/>
        </w:rPr>
        <w:t>保证其</w:t>
      </w:r>
      <w:r>
        <w:rPr>
          <w:rFonts w:hint="default" w:ascii="Times New Roman" w:hAnsi="Times New Roman" w:eastAsia="宋体" w:cs="Times New Roman"/>
          <w:bCs/>
          <w:color w:val="auto"/>
          <w:sz w:val="26"/>
          <w:szCs w:val="26"/>
        </w:rPr>
        <w:t>耕地质量。</w:t>
      </w:r>
    </w:p>
    <w:p w14:paraId="7CD0D36D">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③建设单位在补偿因临时占地对农田产量的直接损失的同时，还应考虑施工结束后因土壤结构破坏、养分流失对基本农田造成的影响，对农作物产量的间接损失以及土壤恢复进行补偿，以用于耕作层土恢复。在恢复期，应对土壤进行熟化和培肥，落实耕地质量调查及监测工作，及时掌握耕地质量变化状况，直至恢复到原来的生产力水平。</w:t>
      </w:r>
    </w:p>
    <w:p w14:paraId="45A3A924">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④建设单位应按法定程序编制土地复垦方案，经县级自然资源主管部门批准后才可临时占用，并在市级自然资源主管部门备案。同时，建设单位应通过耕地耕作层土壤剥离再利用等工程技术措施，减少对耕作层的破坏，并在临时用地到期后及时复垦恢复原种植条件。</w:t>
      </w:r>
    </w:p>
    <w:p w14:paraId="74DAE9C1">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⑤严格执行《中华人民共和国土地管理法</w:t>
      </w:r>
      <w:r>
        <w:rPr>
          <w:rFonts w:hint="default" w:ascii="Times New Roman" w:hAnsi="Times New Roman" w:eastAsia="宋体" w:cs="Times New Roman"/>
          <w:bCs/>
          <w:color w:val="auto"/>
          <w:sz w:val="26"/>
          <w:szCs w:val="26"/>
          <w:shd w:val="clear" w:fill="FFFFFF"/>
        </w:rPr>
        <w:t>》</w:t>
      </w:r>
      <w:r>
        <w:rPr>
          <w:rFonts w:hint="default" w:ascii="Times New Roman" w:hAnsi="Times New Roman" w:eastAsia="宋体" w:cs="Times New Roman"/>
          <w:bCs/>
          <w:color w:val="auto"/>
          <w:sz w:val="26"/>
          <w:szCs w:val="26"/>
        </w:rPr>
        <w:t>《基本农田保护条例》中相关基本农田保护规定：</w:t>
      </w:r>
    </w:p>
    <w:p w14:paraId="68A2524C">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A.国家能源、交通、水利、军事设施等重点建设项目选址确实无法避开基本农田保护区，需要占用基本农田，涉及农用地转用或者征用土地的，必须经国务院批准。</w:t>
      </w:r>
    </w:p>
    <w:p w14:paraId="23A17969">
      <w:pPr>
        <w:spacing w:line="48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B.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自治区、直辖市的规定缴纳耕地开垦费，专款用于开垦新的耕地。</w:t>
      </w:r>
    </w:p>
    <w:p w14:paraId="690B32B4">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bCs/>
          <w:color w:val="auto"/>
          <w:sz w:val="26"/>
          <w:szCs w:val="26"/>
        </w:rPr>
        <w:t>C.符合法律规定确需占用基本农田的非农建设项目，要先补划后报批。省级国土资源部门和农业部门要对补划的基本农田进行验收，保证补划的基本农田落到地块，确保基本农田数量和质量的平衡，防止占优补劣。占用前要将耕作层进行剥离，用于新开垦耕地或其他耕地的土壤改良</w:t>
      </w:r>
      <w:r>
        <w:rPr>
          <w:rFonts w:hint="default" w:ascii="Times New Roman" w:hAnsi="Times New Roman" w:eastAsia="宋体" w:cs="Times New Roman"/>
          <w:color w:val="auto"/>
        </w:rPr>
        <w:t>。</w:t>
      </w:r>
    </w:p>
    <w:p w14:paraId="4F21805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（2）植被的保护与恢复措施</w:t>
      </w:r>
    </w:p>
    <w:p w14:paraId="40E3DDDF">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项目施工对植被的影响是不可避免的，影响的范围和程度对于不同项目组成、植被类型、地貌各有差异，但其影响的性质基本可以分为可逆和不可逆的两大类。因此，施工过程中，根据施工工艺的不同以及其对植被所带来的影响，因地制宜，制定相应的避免、减缓或补偿植被影响的防护及生态恢复措施，将施工对植被的影响降低到最低程度，保护植物群落和维持陆地生态系统的稳定性。</w:t>
      </w:r>
    </w:p>
    <w:p w14:paraId="02ADD7C7">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fldChar w:fldCharType="begin"/>
      </w:r>
      <w:r>
        <w:rPr>
          <w:rFonts w:hint="default" w:ascii="Times New Roman" w:hAnsi="Times New Roman" w:eastAsia="宋体" w:cs="Times New Roman"/>
          <w:bCs/>
          <w:color w:val="auto"/>
          <w:sz w:val="26"/>
          <w:szCs w:val="26"/>
          <w:highlight w:val="none"/>
        </w:rPr>
        <w:instrText xml:space="preserve"> = 1 \* GB3 </w:instrText>
      </w:r>
      <w:r>
        <w:rPr>
          <w:rFonts w:hint="default" w:ascii="Times New Roman" w:hAnsi="Times New Roman" w:eastAsia="宋体" w:cs="Times New Roman"/>
          <w:bCs/>
          <w:color w:val="auto"/>
          <w:sz w:val="26"/>
          <w:szCs w:val="26"/>
          <w:highlight w:val="none"/>
        </w:rPr>
        <w:fldChar w:fldCharType="separate"/>
      </w:r>
      <w:r>
        <w:rPr>
          <w:rFonts w:hint="default" w:ascii="Times New Roman" w:hAnsi="Times New Roman" w:eastAsia="宋体" w:cs="Times New Roman"/>
          <w:bCs/>
          <w:color w:val="auto"/>
          <w:sz w:val="26"/>
          <w:szCs w:val="26"/>
          <w:highlight w:val="none"/>
        </w:rPr>
        <w:t>①</w:t>
      </w:r>
      <w:r>
        <w:rPr>
          <w:rFonts w:hint="default" w:ascii="Times New Roman" w:hAnsi="Times New Roman" w:eastAsia="宋体" w:cs="Times New Roman"/>
          <w:bCs/>
          <w:color w:val="auto"/>
          <w:sz w:val="26"/>
          <w:szCs w:val="26"/>
          <w:highlight w:val="none"/>
        </w:rPr>
        <w:fldChar w:fldCharType="end"/>
      </w:r>
      <w:r>
        <w:rPr>
          <w:rFonts w:hint="default" w:ascii="Times New Roman" w:hAnsi="Times New Roman" w:eastAsia="宋体" w:cs="Times New Roman"/>
          <w:bCs/>
          <w:color w:val="auto"/>
          <w:sz w:val="26"/>
          <w:szCs w:val="26"/>
          <w:highlight w:val="none"/>
        </w:rPr>
        <w:t>避让措施</w:t>
      </w:r>
    </w:p>
    <w:p w14:paraId="6A2452EE">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项目在前期设计阶段，已经进行了比选，管线走向最大程度上减轻了工程建设对植被的破坏。后续施工过程中，堆管场等施工临时用地选址应避开尽量生产力相对较高、植被资源较好的林地及基本农田区域，施工便道及永久性道路尽量不要从成片的林地穿过，以减少森林植被面积的永久丧失。</w:t>
      </w:r>
    </w:p>
    <w:p w14:paraId="5F2C787E">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fldChar w:fldCharType="begin"/>
      </w:r>
      <w:r>
        <w:rPr>
          <w:rFonts w:hint="default" w:ascii="Times New Roman" w:hAnsi="Times New Roman" w:eastAsia="宋体" w:cs="Times New Roman"/>
          <w:bCs/>
          <w:color w:val="auto"/>
          <w:sz w:val="26"/>
          <w:szCs w:val="26"/>
          <w:highlight w:val="none"/>
        </w:rPr>
        <w:instrText xml:space="preserve"> = 2 \* GB3 </w:instrText>
      </w:r>
      <w:r>
        <w:rPr>
          <w:rFonts w:hint="default" w:ascii="Times New Roman" w:hAnsi="Times New Roman" w:eastAsia="宋体" w:cs="Times New Roman"/>
          <w:bCs/>
          <w:color w:val="auto"/>
          <w:sz w:val="26"/>
          <w:szCs w:val="26"/>
          <w:highlight w:val="none"/>
        </w:rPr>
        <w:fldChar w:fldCharType="separate"/>
      </w:r>
      <w:r>
        <w:rPr>
          <w:rFonts w:hint="default" w:ascii="Times New Roman" w:hAnsi="Times New Roman" w:eastAsia="宋体" w:cs="Times New Roman"/>
          <w:bCs/>
          <w:color w:val="auto"/>
          <w:sz w:val="26"/>
          <w:szCs w:val="26"/>
          <w:highlight w:val="none"/>
        </w:rPr>
        <w:t>②</w:t>
      </w:r>
      <w:r>
        <w:rPr>
          <w:rFonts w:hint="default" w:ascii="Times New Roman" w:hAnsi="Times New Roman" w:eastAsia="宋体" w:cs="Times New Roman"/>
          <w:bCs/>
          <w:color w:val="auto"/>
          <w:sz w:val="26"/>
          <w:szCs w:val="26"/>
          <w:highlight w:val="none"/>
        </w:rPr>
        <w:fldChar w:fldCharType="end"/>
      </w:r>
      <w:r>
        <w:rPr>
          <w:rFonts w:hint="default" w:ascii="Times New Roman" w:hAnsi="Times New Roman" w:eastAsia="宋体" w:cs="Times New Roman"/>
          <w:bCs/>
          <w:color w:val="auto"/>
          <w:sz w:val="26"/>
          <w:szCs w:val="26"/>
          <w:highlight w:val="none"/>
        </w:rPr>
        <w:t>减缓措施</w:t>
      </w:r>
    </w:p>
    <w:p w14:paraId="18201C50">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A</w:t>
      </w:r>
      <w:r>
        <w:rPr>
          <w:rFonts w:hint="default" w:ascii="Times New Roman" w:hAnsi="Times New Roman" w:eastAsia="宋体" w:cs="Times New Roman"/>
          <w:bCs/>
          <w:color w:val="auto"/>
          <w:sz w:val="26"/>
          <w:szCs w:val="26"/>
          <w:highlight w:val="none"/>
          <w:shd w:val="clear" w:fill="FFFFFF"/>
        </w:rPr>
        <w:t>、</w:t>
      </w:r>
      <w:r>
        <w:rPr>
          <w:rFonts w:hint="default" w:ascii="Times New Roman" w:hAnsi="Times New Roman" w:eastAsia="宋体" w:cs="Times New Roman"/>
          <w:bCs/>
          <w:color w:val="auto"/>
          <w:sz w:val="26"/>
          <w:szCs w:val="26"/>
          <w:highlight w:val="none"/>
        </w:rPr>
        <w:t>加强施工人员的环保意识：施工</w:t>
      </w:r>
      <w:r>
        <w:rPr>
          <w:rFonts w:hint="default" w:ascii="Times New Roman" w:hAnsi="Times New Roman" w:eastAsia="宋体" w:cs="Times New Roman"/>
          <w:bCs/>
          <w:color w:val="auto"/>
          <w:sz w:val="26"/>
          <w:szCs w:val="26"/>
          <w:highlight w:val="none"/>
          <w:shd w:val="clear" w:fill="FFFFFF"/>
        </w:rPr>
        <w:t>期</w:t>
      </w:r>
      <w:r>
        <w:rPr>
          <w:rFonts w:hint="default" w:ascii="Times New Roman" w:hAnsi="Times New Roman" w:eastAsia="宋体" w:cs="Times New Roman"/>
          <w:bCs/>
          <w:color w:val="auto"/>
          <w:sz w:val="26"/>
          <w:szCs w:val="26"/>
          <w:highlight w:val="none"/>
        </w:rPr>
        <w:t>对施工人员加强</w:t>
      </w:r>
      <w:r>
        <w:rPr>
          <w:rFonts w:hint="default" w:ascii="Times New Roman" w:hAnsi="Times New Roman" w:eastAsia="宋体" w:cs="Times New Roman"/>
          <w:bCs/>
          <w:color w:val="auto"/>
          <w:sz w:val="26"/>
          <w:szCs w:val="26"/>
          <w:highlight w:val="none"/>
          <w:shd w:val="clear" w:fill="FFFFFF"/>
        </w:rPr>
        <w:t>有关对</w:t>
      </w:r>
      <w:r>
        <w:rPr>
          <w:rFonts w:hint="default" w:ascii="Times New Roman" w:hAnsi="Times New Roman" w:eastAsia="宋体" w:cs="Times New Roman"/>
          <w:bCs/>
          <w:color w:val="auto"/>
          <w:sz w:val="26"/>
          <w:szCs w:val="26"/>
          <w:highlight w:val="none"/>
        </w:rPr>
        <w:t>野生保护植物的宣传力度，大力宣传保护野生植物的重要性。施工过程中张贴植物保护告示或设置警示牌，不得随意砍伐植物，在开挖的工程中，如发现有国家重点保护植物，要报告当地林业部门、环保部门，立即组织挽救，移栽他处。</w:t>
      </w:r>
    </w:p>
    <w:p w14:paraId="3447A183">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B</w:t>
      </w:r>
      <w:r>
        <w:rPr>
          <w:rFonts w:hint="default" w:ascii="Times New Roman" w:hAnsi="Times New Roman" w:eastAsia="宋体" w:cs="Times New Roman"/>
          <w:bCs/>
          <w:color w:val="auto"/>
          <w:sz w:val="26"/>
          <w:szCs w:val="26"/>
          <w:highlight w:val="none"/>
          <w:shd w:val="clear" w:fill="FFFFFF"/>
        </w:rPr>
        <w:t>、</w:t>
      </w:r>
      <w:r>
        <w:rPr>
          <w:rFonts w:hint="default" w:ascii="Times New Roman" w:hAnsi="Times New Roman" w:eastAsia="宋体" w:cs="Times New Roman"/>
          <w:bCs/>
          <w:color w:val="auto"/>
          <w:sz w:val="26"/>
          <w:szCs w:val="26"/>
          <w:highlight w:val="none"/>
        </w:rPr>
        <w:t>尽量减少临时用地的占用：严格控制土地占用，严禁超界施工，减少植被破坏。拟定施工方案应尽量避免减少林地、耕地的占用，并注重优化施工组织和制定严格的施工作业制度。不设施工伴行道路，尽量利用施工作业带（区）施工建设；工程施工依托就近的</w:t>
      </w:r>
      <w:r>
        <w:rPr>
          <w:rFonts w:hint="default" w:ascii="Times New Roman" w:hAnsi="Times New Roman" w:eastAsia="宋体" w:cs="Times New Roman"/>
          <w:bCs/>
          <w:color w:val="auto"/>
          <w:sz w:val="26"/>
          <w:szCs w:val="26"/>
          <w:highlight w:val="none"/>
          <w:lang w:val="en-US" w:eastAsia="zh-CN"/>
        </w:rPr>
        <w:t>居</w:t>
      </w:r>
      <w:r>
        <w:rPr>
          <w:rFonts w:hint="default" w:ascii="Times New Roman" w:hAnsi="Times New Roman" w:eastAsia="宋体" w:cs="Times New Roman"/>
          <w:bCs/>
          <w:color w:val="auto"/>
          <w:sz w:val="26"/>
          <w:szCs w:val="26"/>
          <w:highlight w:val="none"/>
        </w:rPr>
        <w:t>民房、院坝、建筑空地，减少因征用土地而对植被和土地造成影响或破坏。</w:t>
      </w:r>
    </w:p>
    <w:p w14:paraId="5E1DD8ED">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C</w:t>
      </w:r>
      <w:r>
        <w:rPr>
          <w:rFonts w:hint="default" w:ascii="Times New Roman" w:hAnsi="Times New Roman" w:eastAsia="宋体" w:cs="Times New Roman"/>
          <w:bCs/>
          <w:color w:val="auto"/>
          <w:sz w:val="26"/>
          <w:szCs w:val="26"/>
          <w:highlight w:val="none"/>
          <w:shd w:val="clear" w:fill="FFFFFF"/>
        </w:rPr>
        <w:t>、</w:t>
      </w:r>
      <w:r>
        <w:rPr>
          <w:rFonts w:hint="default" w:ascii="Times New Roman" w:hAnsi="Times New Roman" w:eastAsia="宋体" w:cs="Times New Roman"/>
          <w:bCs/>
          <w:color w:val="auto"/>
          <w:sz w:val="26"/>
          <w:szCs w:val="26"/>
          <w:highlight w:val="none"/>
        </w:rPr>
        <w:t>合理安排施工次序、季节、时间：尽量避开植物物种播种生长季、收获期，根据沿线农作物栽种情况，合理安排施工次序和时间。尽量将挖填施工安排在非雨汛期，并缩短挖填土石方的堆置时间</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挖填方等应进行防护，减少水土流失。</w:t>
      </w:r>
    </w:p>
    <w:p w14:paraId="77DB77A7">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D</w:t>
      </w:r>
      <w:r>
        <w:rPr>
          <w:rFonts w:hint="default" w:ascii="Times New Roman" w:hAnsi="Times New Roman" w:eastAsia="宋体" w:cs="Times New Roman"/>
          <w:bCs/>
          <w:color w:val="auto"/>
          <w:sz w:val="26"/>
          <w:szCs w:val="26"/>
          <w:highlight w:val="none"/>
          <w:shd w:val="clear" w:fill="FFFFFF"/>
        </w:rPr>
        <w:t>、</w:t>
      </w:r>
      <w:r>
        <w:rPr>
          <w:rFonts w:hint="default" w:ascii="Times New Roman" w:hAnsi="Times New Roman" w:eastAsia="宋体" w:cs="Times New Roman"/>
          <w:bCs/>
          <w:color w:val="auto"/>
          <w:sz w:val="26"/>
          <w:szCs w:val="26"/>
          <w:highlight w:val="none"/>
        </w:rPr>
        <w:t>优化环保工程</w:t>
      </w:r>
      <w:r>
        <w:rPr>
          <w:rFonts w:hint="default" w:ascii="Times New Roman" w:hAnsi="Times New Roman" w:eastAsia="宋体" w:cs="Times New Roman"/>
          <w:bCs/>
          <w:color w:val="auto"/>
          <w:sz w:val="26"/>
          <w:szCs w:val="26"/>
          <w:highlight w:val="none"/>
          <w:shd w:val="clear" w:fill="FFFFFF"/>
          <w:lang w:eastAsia="zh-CN"/>
        </w:rPr>
        <w:t>设计方案</w:t>
      </w:r>
      <w:r>
        <w:rPr>
          <w:rFonts w:hint="default" w:ascii="Times New Roman" w:hAnsi="Times New Roman" w:eastAsia="宋体" w:cs="Times New Roman"/>
          <w:bCs/>
          <w:color w:val="auto"/>
          <w:sz w:val="26"/>
          <w:szCs w:val="26"/>
          <w:highlight w:val="none"/>
        </w:rPr>
        <w:t>和施工组织方式：优化施工方案及施工组织方式，采取边铺设管道、边分层覆土的施工方式，施工过程中，对开挖地段的植被及表土就近保存、培植。</w:t>
      </w:r>
    </w:p>
    <w:p w14:paraId="43CA1320">
      <w:pPr>
        <w:spacing w:line="480" w:lineRule="exact"/>
        <w:ind w:firstLine="520" w:firstLineChars="200"/>
        <w:rPr>
          <w:rFonts w:hint="default" w:ascii="Times New Roman" w:hAnsi="Times New Roman" w:eastAsia="宋体" w:cs="Times New Roman"/>
          <w:bCs/>
          <w:color w:val="auto"/>
          <w:sz w:val="26"/>
          <w:szCs w:val="26"/>
          <w:highlight w:val="none"/>
          <w:lang w:val="en-US" w:eastAsia="zh-CN"/>
        </w:rPr>
      </w:pPr>
      <w:r>
        <w:rPr>
          <w:rFonts w:hint="default" w:ascii="Times New Roman" w:hAnsi="Times New Roman" w:eastAsia="宋体" w:cs="Times New Roman"/>
          <w:bCs/>
          <w:color w:val="auto"/>
          <w:sz w:val="26"/>
          <w:szCs w:val="26"/>
          <w:highlight w:val="none"/>
          <w:lang w:val="en-US" w:eastAsia="zh-CN"/>
        </w:rPr>
        <w:t>E.在工程建设施工过程中</w:t>
      </w:r>
      <w:r>
        <w:rPr>
          <w:rFonts w:hint="default" w:ascii="Times New Roman" w:hAnsi="Times New Roman" w:eastAsia="宋体" w:cs="Times New Roman"/>
          <w:bCs/>
          <w:color w:val="auto"/>
          <w:sz w:val="26"/>
          <w:szCs w:val="26"/>
          <w:highlight w:val="none"/>
          <w:shd w:val="clear" w:fill="FFFFFF"/>
          <w:lang w:val="en-US" w:eastAsia="zh-CN"/>
        </w:rPr>
        <w:t>，</w:t>
      </w:r>
      <w:r>
        <w:rPr>
          <w:rFonts w:hint="default" w:ascii="Times New Roman" w:hAnsi="Times New Roman" w:eastAsia="宋体" w:cs="Times New Roman"/>
          <w:bCs/>
          <w:color w:val="auto"/>
          <w:sz w:val="26"/>
          <w:szCs w:val="26"/>
          <w:highlight w:val="none"/>
          <w:lang w:val="en-US" w:eastAsia="zh-CN"/>
        </w:rPr>
        <w:t>须加强施工队伍组织和管理，应明确施工范围和行动路线，不得随意扩大施工活动区域，进行文明施工，不强砍林灌草丛和乱毁作物，降低植被损害。</w:t>
      </w:r>
    </w:p>
    <w:p w14:paraId="029F6E2F">
      <w:pPr>
        <w:spacing w:line="480" w:lineRule="exact"/>
        <w:ind w:firstLine="520" w:firstLineChars="200"/>
        <w:rPr>
          <w:rFonts w:hint="default" w:ascii="Times New Roman" w:hAnsi="Times New Roman" w:eastAsia="宋体" w:cs="Times New Roman"/>
          <w:bCs/>
          <w:color w:val="auto"/>
          <w:sz w:val="26"/>
          <w:szCs w:val="26"/>
          <w:highlight w:val="none"/>
          <w:lang w:val="en-US" w:eastAsia="zh-CN"/>
        </w:rPr>
      </w:pPr>
      <w:r>
        <w:rPr>
          <w:rFonts w:hint="default" w:ascii="Times New Roman" w:hAnsi="Times New Roman" w:eastAsia="宋体" w:cs="Times New Roman"/>
          <w:bCs/>
          <w:color w:val="auto"/>
          <w:sz w:val="26"/>
          <w:szCs w:val="26"/>
          <w:highlight w:val="none"/>
          <w:lang w:val="en-US" w:eastAsia="zh-CN"/>
        </w:rPr>
        <w:t>F.施工前应进行表层土剥离，四周设置遮挡</w:t>
      </w:r>
      <w:r>
        <w:rPr>
          <w:rFonts w:hint="default" w:ascii="Times New Roman" w:hAnsi="Times New Roman" w:eastAsia="宋体" w:cs="Times New Roman"/>
          <w:bCs/>
          <w:color w:val="auto"/>
          <w:sz w:val="26"/>
          <w:szCs w:val="26"/>
          <w:highlight w:val="none"/>
          <w:shd w:val="clear" w:fill="FFFFFF"/>
          <w:lang w:val="en-US" w:eastAsia="zh-CN"/>
        </w:rPr>
        <w:t>维护</w:t>
      </w:r>
      <w:r>
        <w:rPr>
          <w:rFonts w:hint="default" w:ascii="Times New Roman" w:hAnsi="Times New Roman" w:eastAsia="宋体" w:cs="Times New Roman"/>
          <w:bCs/>
          <w:color w:val="auto"/>
          <w:sz w:val="26"/>
          <w:szCs w:val="26"/>
          <w:highlight w:val="none"/>
          <w:lang w:val="en-US" w:eastAsia="zh-CN"/>
        </w:rPr>
        <w:t>，设临时挡土墙、排水沟，土地平整、</w:t>
      </w:r>
      <w:r>
        <w:rPr>
          <w:rFonts w:hint="default" w:ascii="Times New Roman" w:hAnsi="Times New Roman" w:eastAsia="宋体" w:cs="Times New Roman"/>
          <w:bCs/>
          <w:color w:val="auto"/>
          <w:sz w:val="26"/>
          <w:szCs w:val="26"/>
          <w:highlight w:val="none"/>
          <w:shd w:val="clear" w:fill="FFFFFF"/>
          <w:lang w:val="en-US" w:eastAsia="zh-CN"/>
        </w:rPr>
        <w:t>使用</w:t>
      </w:r>
      <w:r>
        <w:rPr>
          <w:rFonts w:hint="default" w:ascii="Times New Roman" w:hAnsi="Times New Roman" w:eastAsia="宋体" w:cs="Times New Roman"/>
          <w:bCs/>
          <w:color w:val="auto"/>
          <w:sz w:val="26"/>
          <w:szCs w:val="26"/>
          <w:highlight w:val="none"/>
          <w:lang w:val="en-US" w:eastAsia="zh-CN"/>
        </w:rPr>
        <w:t>结束后覆土恢复植被。项目实施“边铺设、边复垦”，对项目进行分段施工，每段施工结束后，及时使用剥离的表土进行复耕复垦、恢复植被。</w:t>
      </w:r>
    </w:p>
    <w:p w14:paraId="52692C75">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lang w:val="en-US" w:eastAsia="zh-CN"/>
        </w:rPr>
        <w:t>G.临时占地在施工结束后要及时复耕或复植，占用的林地要及时补种草植树。恢复水土保持设施，减少水土保持设施面积的损失。</w:t>
      </w:r>
    </w:p>
    <w:p w14:paraId="7BB706A2">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③恢复补偿措施</w:t>
      </w:r>
    </w:p>
    <w:p w14:paraId="44715878">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施工结束后，立即对全部临时占地及施工迹地开展植被恢复，并遵循</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因地制宜</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原则：原为农田的，复垦后复耕</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lang w:val="en-US" w:eastAsia="zh-CN"/>
        </w:rPr>
        <w:t>如当地种植的应季农作物等</w:t>
      </w:r>
      <w:r>
        <w:rPr>
          <w:rFonts w:hint="default" w:ascii="Times New Roman" w:hAnsi="Times New Roman" w:eastAsia="宋体" w:cs="Times New Roman"/>
          <w:bCs/>
          <w:color w:val="auto"/>
          <w:sz w:val="26"/>
          <w:szCs w:val="26"/>
          <w:highlight w:val="none"/>
        </w:rPr>
        <w:t>；原为林地的，优先恢复林地；无法恢复的，按当地生态建设要求实施等效补偿。依据《中华人民共和国石油天然气管道保护法》，管道中心线两侧各5m范围内禁止种植任何可能破坏防腐层的深根植物。对林地穿越段，实行</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占一补一</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经济和生态补偿，5m范围内以植草绿化为主，必要时可点缀浅根半灌木或灌木，以修复林带景观连续性</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除复耕外对于立地条件较好的临时占地区域植被恢复尽可能利用植被自然更新，对确需进入人工播撒草籽进行植被恢复的区域，选择当地的乡土植物进行植被恢复，严禁引入外来物种。植被恢复具体措施：以乡土物种为主，草本优选耐瘠薄、易繁殖、适应性强的</w:t>
      </w:r>
      <w:r>
        <w:rPr>
          <w:rFonts w:hint="default" w:ascii="Times New Roman" w:hAnsi="Times New Roman" w:eastAsia="宋体" w:cs="Times New Roman"/>
          <w:bCs/>
          <w:color w:val="auto"/>
          <w:sz w:val="26"/>
          <w:szCs w:val="26"/>
          <w:highlight w:val="none"/>
          <w:lang w:val="en-US" w:eastAsia="zh-CN"/>
        </w:rPr>
        <w:t>物种</w:t>
      </w:r>
      <w:r>
        <w:rPr>
          <w:rFonts w:hint="default" w:ascii="Times New Roman" w:hAnsi="Times New Roman" w:eastAsia="宋体" w:cs="Times New Roman"/>
          <w:bCs/>
          <w:color w:val="auto"/>
          <w:sz w:val="26"/>
          <w:szCs w:val="26"/>
          <w:highlight w:val="none"/>
        </w:rPr>
        <w:t>，杜绝引入有害外来物种，确保无病虫害及种间竞争风险。</w:t>
      </w:r>
    </w:p>
    <w:p w14:paraId="2B26CA78">
      <w:pPr>
        <w:pStyle w:val="56"/>
        <w:rPr>
          <w:rFonts w:hint="default" w:ascii="Times New Roman" w:hAnsi="Times New Roman" w:eastAsia="宋体" w:cs="Times New Roman"/>
          <w:color w:val="auto"/>
        </w:rPr>
      </w:pPr>
      <w:r>
        <w:rPr>
          <w:rFonts w:hint="default" w:ascii="Times New Roman" w:hAnsi="Times New Roman" w:eastAsia="宋体" w:cs="Times New Roman"/>
          <w:bCs/>
          <w:color w:val="auto"/>
          <w:sz w:val="26"/>
          <w:szCs w:val="26"/>
          <w:highlight w:val="none"/>
        </w:rPr>
        <w:t>④植被恢复物种选择原则。在生态恢复过程中，因地制宜，适地适草，科学合理还林，尽量选种固土能力强的植被，进而改良土壤的结构和成分，增强土壤的抗侵蚀能力和抗剪切能力</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选择适应性强、耐干旱瘠薄、抗逆性强、根系发达、萌蘖性强、可塑性强的植物，选用一定量的当地先锋树种，突出地方特色，树种选择应与当地林产业发展、经济发展相结合，满足地方经济发展和区域生态建设的需要</w:t>
      </w:r>
      <w:r>
        <w:rPr>
          <w:rFonts w:hint="default" w:ascii="Times New Roman" w:hAnsi="Times New Roman" w:eastAsia="宋体" w:cs="Times New Roman"/>
          <w:color w:val="auto"/>
        </w:rPr>
        <w:t>。</w:t>
      </w:r>
    </w:p>
    <w:p w14:paraId="745F5A3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（3）动物的保护措施</w:t>
      </w:r>
    </w:p>
    <w:p w14:paraId="318E8287">
      <w:pPr>
        <w:widowControl/>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为了有效保护项目影响范围内的野生动物，减少施工活动对陆生动物造成的影响，维护评价区内的生态平衡，</w:t>
      </w:r>
      <w:r>
        <w:rPr>
          <w:rFonts w:hint="default" w:ascii="Times New Roman" w:hAnsi="Times New Roman" w:eastAsia="宋体" w:cs="Times New Roman"/>
          <w:color w:val="auto"/>
          <w:sz w:val="26"/>
          <w:szCs w:val="26"/>
          <w:shd w:val="clear" w:fill="FFFFFF"/>
        </w:rPr>
        <w:t>建议要</w:t>
      </w:r>
      <w:r>
        <w:rPr>
          <w:rFonts w:hint="default" w:ascii="Times New Roman" w:hAnsi="Times New Roman" w:eastAsia="宋体" w:cs="Times New Roman"/>
          <w:color w:val="auto"/>
          <w:sz w:val="26"/>
          <w:szCs w:val="26"/>
        </w:rPr>
        <w:t>采取以下措施对野生动物进行保护：</w:t>
      </w:r>
    </w:p>
    <w:p w14:paraId="43735E9E">
      <w:pPr>
        <w:widowControl/>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①进一步优化选址、选线：施工前期，项目在选线时尽量避开林地，</w:t>
      </w:r>
      <w:r>
        <w:rPr>
          <w:rFonts w:hint="default" w:ascii="Times New Roman" w:hAnsi="Times New Roman" w:eastAsia="宋体" w:cs="Times New Roman"/>
          <w:color w:val="auto"/>
          <w:sz w:val="26"/>
          <w:szCs w:val="26"/>
          <w:shd w:val="clear" w:fill="FFFFFF"/>
        </w:rPr>
        <w:t>尽可能的不</w:t>
      </w:r>
      <w:r>
        <w:rPr>
          <w:rFonts w:hint="default" w:ascii="Times New Roman" w:hAnsi="Times New Roman" w:eastAsia="宋体" w:cs="Times New Roman"/>
          <w:color w:val="auto"/>
          <w:sz w:val="26"/>
          <w:szCs w:val="26"/>
        </w:rPr>
        <w:t>破坏区域森林植被；施工严格控制施工作业带，尽可能地减少施工过程所造成的植被破坏，保护野生动物赖以生存的植被环境。</w:t>
      </w:r>
    </w:p>
    <w:p w14:paraId="0672A5FA">
      <w:pPr>
        <w:widowControl/>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②优化施工作业程序</w:t>
      </w:r>
      <w:r>
        <w:rPr>
          <w:rFonts w:hint="default" w:ascii="Times New Roman" w:hAnsi="Times New Roman" w:eastAsia="宋体" w:cs="Times New Roman"/>
          <w:bCs/>
          <w:color w:val="auto"/>
          <w:sz w:val="26"/>
          <w:szCs w:val="26"/>
        </w:rPr>
        <w:t>合理安排施工作业时段</w:t>
      </w:r>
      <w:r>
        <w:rPr>
          <w:rFonts w:hint="default" w:ascii="Times New Roman" w:hAnsi="Times New Roman" w:eastAsia="宋体" w:cs="Times New Roman"/>
          <w:bCs/>
          <w:color w:val="auto"/>
          <w:sz w:val="26"/>
          <w:szCs w:val="26"/>
          <w:lang w:eastAsia="zh-CN"/>
        </w:rPr>
        <w:t>，</w:t>
      </w:r>
      <w:r>
        <w:rPr>
          <w:rFonts w:hint="default" w:ascii="Times New Roman" w:hAnsi="Times New Roman" w:eastAsia="宋体" w:cs="Times New Roman"/>
          <w:color w:val="auto"/>
          <w:sz w:val="26"/>
          <w:szCs w:val="26"/>
        </w:rPr>
        <w:t>减少夜间作业，避免灯光、噪声对动物夜间休息、活动的惊扰</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林地进行施工时优化施工方案，抓紧施工进度，尽量缩短在林区内的施工作业时间，减少对野生动物的影响；施工期尽量避开动物的繁殖期，尤其是避开兽类、鸟类等的繁殖季节。</w:t>
      </w:r>
    </w:p>
    <w:p w14:paraId="5D6F1C5F">
      <w:pPr>
        <w:widowControl/>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③加强野生动物保护宣传：施工过</w:t>
      </w:r>
      <w:r>
        <w:rPr>
          <w:rFonts w:hint="default" w:ascii="Times New Roman" w:hAnsi="Times New Roman" w:eastAsia="宋体" w:cs="Times New Roman"/>
          <w:color w:val="auto"/>
          <w:sz w:val="26"/>
          <w:szCs w:val="26"/>
          <w:shd w:val="clear" w:fill="FFFFFF"/>
        </w:rPr>
        <w:t>程</w:t>
      </w:r>
      <w:r>
        <w:rPr>
          <w:rFonts w:hint="default" w:ascii="Times New Roman" w:hAnsi="Times New Roman" w:eastAsia="宋体" w:cs="Times New Roman"/>
          <w:color w:val="auto"/>
          <w:sz w:val="26"/>
          <w:szCs w:val="26"/>
        </w:rPr>
        <w:t>加强《中华人民共和国野生动物保护法</w:t>
      </w:r>
      <w:r>
        <w:rPr>
          <w:rFonts w:hint="default" w:ascii="Times New Roman" w:hAnsi="Times New Roman" w:eastAsia="宋体" w:cs="Times New Roman"/>
          <w:color w:val="auto"/>
          <w:sz w:val="26"/>
          <w:szCs w:val="26"/>
          <w:shd w:val="clear" w:fill="FFFFFF"/>
        </w:rPr>
        <w:t>》、《</w:t>
      </w:r>
      <w:r>
        <w:rPr>
          <w:rFonts w:hint="default" w:ascii="Times New Roman" w:hAnsi="Times New Roman" w:eastAsia="宋体" w:cs="Times New Roman"/>
          <w:color w:val="auto"/>
          <w:sz w:val="26"/>
          <w:szCs w:val="26"/>
        </w:rPr>
        <w:t>中华人民共和国森林法》等有关对野生保护动物的宣传力度，加强对施工人员的教育和管理，大力宣传保护野生动物的重要性和损坏、诱捕野生动植物的惩罚条例，禁止施工人员对野生动物进行恐吓、惊扰和猎杀，严禁捕猎各类野生动物及捡拾鸟蛋，若施工过</w:t>
      </w:r>
      <w:r>
        <w:rPr>
          <w:rFonts w:hint="default" w:ascii="Times New Roman" w:hAnsi="Times New Roman" w:eastAsia="宋体" w:cs="Times New Roman"/>
          <w:color w:val="auto"/>
          <w:sz w:val="26"/>
          <w:szCs w:val="26"/>
          <w:shd w:val="clear" w:fill="FFFFFF"/>
        </w:rPr>
        <w:t>程</w:t>
      </w:r>
      <w:r>
        <w:rPr>
          <w:rFonts w:hint="default" w:ascii="Times New Roman" w:hAnsi="Times New Roman" w:eastAsia="宋体" w:cs="Times New Roman"/>
          <w:color w:val="auto"/>
          <w:sz w:val="26"/>
          <w:szCs w:val="26"/>
        </w:rPr>
        <w:t>发现保护鸟类的栖息地（生息繁衍的重要区域如巢、穴、洞）应进行合理避让，不得干扰和破坏野生动物的栖息、活动场所。</w:t>
      </w:r>
    </w:p>
    <w:p w14:paraId="426E063B">
      <w:pPr>
        <w:pStyle w:val="56"/>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⑤</w:t>
      </w:r>
      <w:r>
        <w:rPr>
          <w:rFonts w:hint="default" w:ascii="Times New Roman" w:hAnsi="Times New Roman" w:eastAsia="宋体" w:cs="Times New Roman"/>
          <w:bCs/>
          <w:color w:val="auto"/>
          <w:sz w:val="26"/>
          <w:szCs w:val="26"/>
          <w:highlight w:val="none"/>
          <w:lang w:val="en-US" w:eastAsia="zh-CN"/>
        </w:rPr>
        <w:t>防止动物生境污染：施工期间加强施工人员的各类卫生管理（如个人卫生、粪便和生活污水），避免生活污水的直接排放，污染动物生境；</w:t>
      </w:r>
      <w:r>
        <w:rPr>
          <w:rFonts w:hint="default" w:ascii="Times New Roman" w:hAnsi="Times New Roman" w:eastAsia="宋体" w:cs="Times New Roman"/>
          <w:color w:val="auto"/>
          <w:sz w:val="26"/>
          <w:szCs w:val="26"/>
        </w:rPr>
        <w:t>施工</w:t>
      </w:r>
      <w:r>
        <w:rPr>
          <w:rFonts w:hint="default" w:ascii="Times New Roman" w:hAnsi="Times New Roman" w:eastAsia="宋体" w:cs="Times New Roman"/>
          <w:color w:val="auto"/>
          <w:sz w:val="26"/>
          <w:szCs w:val="26"/>
          <w:shd w:val="clear" w:fill="FFFFFF"/>
        </w:rPr>
        <w:t>期</w:t>
      </w:r>
      <w:r>
        <w:rPr>
          <w:rFonts w:hint="default" w:ascii="Times New Roman" w:hAnsi="Times New Roman" w:eastAsia="宋体" w:cs="Times New Roman"/>
          <w:color w:val="auto"/>
          <w:sz w:val="26"/>
          <w:szCs w:val="26"/>
        </w:rPr>
        <w:t>产生的建筑垃圾及时清运，堆放至固定场所，及时清理、回收生活垃圾，施工结束后及时对施工迹地进行植被恢复，改善野生动物的栖息环境，恢复施工范围内野生动物资源。尤其是临时占地处，以尽量减少生境破坏对动物的不利影响。</w:t>
      </w:r>
    </w:p>
    <w:p w14:paraId="0A9052EE">
      <w:pPr>
        <w:numPr>
          <w:ilvl w:val="0"/>
          <w:numId w:val="0"/>
        </w:numPr>
        <w:spacing w:line="480" w:lineRule="exact"/>
        <w:ind w:left="0" w:leftChars="0"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kern w:val="2"/>
          <w:sz w:val="26"/>
          <w:szCs w:val="26"/>
          <w:lang w:val="en-US" w:eastAsia="zh-CN" w:bidi="ar-SA"/>
        </w:rPr>
        <w:t>（4）天然林保护措施</w:t>
      </w:r>
    </w:p>
    <w:p w14:paraId="0C2E4CB5">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①首先，设置防火措施，在焊接区一定范围内铺设临时的隔阻材料（如钢板），并将材料中的易燃物放置于空旷场地且远离焊接区。</w:t>
      </w:r>
    </w:p>
    <w:p w14:paraId="52B1CE6E">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②其次，</w:t>
      </w:r>
      <w:r>
        <w:rPr>
          <w:rFonts w:hint="default" w:ascii="Times New Roman" w:hAnsi="Times New Roman" w:eastAsia="宋体" w:cs="Times New Roman"/>
          <w:bCs/>
          <w:color w:val="auto"/>
          <w:sz w:val="26"/>
          <w:szCs w:val="26"/>
          <w:highlight w:val="none"/>
          <w:lang w:val="en-US" w:eastAsia="zh-CN"/>
        </w:rPr>
        <w:t>严格按照</w:t>
      </w:r>
      <w:r>
        <w:rPr>
          <w:rFonts w:hint="default" w:ascii="Times New Roman" w:hAnsi="Times New Roman" w:eastAsia="宋体" w:cs="Times New Roman"/>
          <w:bCs/>
          <w:color w:val="auto"/>
          <w:sz w:val="26"/>
          <w:szCs w:val="26"/>
          <w:highlight w:val="none"/>
        </w:rPr>
        <w:t>作业带宽度</w:t>
      </w:r>
      <w:r>
        <w:rPr>
          <w:rFonts w:hint="default" w:ascii="Times New Roman" w:hAnsi="Times New Roman" w:eastAsia="宋体" w:cs="Times New Roman"/>
          <w:bCs/>
          <w:color w:val="auto"/>
          <w:sz w:val="26"/>
          <w:szCs w:val="26"/>
          <w:highlight w:val="none"/>
          <w:lang w:val="en-US" w:eastAsia="zh-CN"/>
        </w:rPr>
        <w:t>进行施工</w:t>
      </w:r>
      <w:r>
        <w:rPr>
          <w:rFonts w:hint="default" w:ascii="Times New Roman" w:hAnsi="Times New Roman" w:eastAsia="宋体" w:cs="Times New Roman"/>
          <w:bCs/>
          <w:color w:val="auto"/>
          <w:sz w:val="26"/>
          <w:szCs w:val="26"/>
          <w:highlight w:val="none"/>
        </w:rPr>
        <w:t>，采用</w:t>
      </w:r>
      <w:r>
        <w:rPr>
          <w:rFonts w:hint="default" w:ascii="Times New Roman" w:hAnsi="Times New Roman" w:eastAsia="宋体" w:cs="Times New Roman"/>
          <w:bCs/>
          <w:color w:val="auto"/>
          <w:sz w:val="26"/>
          <w:szCs w:val="26"/>
          <w:highlight w:val="none"/>
          <w:lang w:val="en-US" w:eastAsia="zh-CN"/>
        </w:rPr>
        <w:t>合理合规的</w:t>
      </w:r>
      <w:r>
        <w:rPr>
          <w:rFonts w:hint="default" w:ascii="Times New Roman" w:hAnsi="Times New Roman" w:eastAsia="宋体" w:cs="Times New Roman"/>
          <w:bCs/>
          <w:color w:val="auto"/>
          <w:sz w:val="26"/>
          <w:szCs w:val="26"/>
          <w:highlight w:val="none"/>
        </w:rPr>
        <w:t>方式确保施工正常开展。</w:t>
      </w:r>
    </w:p>
    <w:p w14:paraId="52E3D892">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rPr>
        <w:t>③同时，对于开挖出的生熟土，要采用临时苫盖、临时拦挡等措施进行围护，施工结束后及时对土壤进行分层回填，并选择适合当地气候和土壤条件的乡土树种和草种进行播种或种植。</w:t>
      </w:r>
    </w:p>
    <w:p w14:paraId="2CD142DE">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lang w:val="en-US" w:eastAsia="zh-CN"/>
        </w:rPr>
        <w:t>④</w:t>
      </w:r>
      <w:r>
        <w:rPr>
          <w:rFonts w:hint="default" w:ascii="Times New Roman" w:hAnsi="Times New Roman" w:eastAsia="宋体" w:cs="Times New Roman"/>
          <w:bCs/>
          <w:color w:val="auto"/>
          <w:sz w:val="26"/>
          <w:szCs w:val="26"/>
          <w:highlight w:val="none"/>
        </w:rPr>
        <w:t>此外，设置必要的水土保持设施，如拦土坝、排水沟、</w:t>
      </w:r>
      <w:r>
        <w:rPr>
          <w:rFonts w:hint="default" w:ascii="Times New Roman" w:hAnsi="Times New Roman" w:eastAsia="宋体" w:cs="Times New Roman"/>
          <w:bCs/>
          <w:color w:val="auto"/>
          <w:sz w:val="26"/>
          <w:szCs w:val="26"/>
          <w:highlight w:val="none"/>
          <w:shd w:val="clear" w:fill="FFFFFF"/>
        </w:rPr>
        <w:t>沉砂池</w:t>
      </w:r>
      <w:r>
        <w:rPr>
          <w:rFonts w:hint="default" w:ascii="Times New Roman" w:hAnsi="Times New Roman" w:eastAsia="宋体" w:cs="Times New Roman"/>
          <w:bCs/>
          <w:color w:val="auto"/>
          <w:sz w:val="26"/>
          <w:szCs w:val="26"/>
          <w:highlight w:val="none"/>
        </w:rPr>
        <w:t>等，采取有效的固土措施，防止雨水冲刷导致水土流失。</w:t>
      </w:r>
    </w:p>
    <w:p w14:paraId="2FD01D73">
      <w:pPr>
        <w:spacing w:line="480" w:lineRule="exact"/>
        <w:ind w:firstLine="520" w:firstLineChars="200"/>
        <w:rPr>
          <w:rFonts w:hint="default" w:ascii="Times New Roman" w:hAnsi="Times New Roman" w:eastAsia="宋体" w:cs="Times New Roman"/>
          <w:bCs/>
          <w:color w:val="auto"/>
          <w:sz w:val="26"/>
          <w:szCs w:val="26"/>
          <w:highlight w:val="none"/>
        </w:rPr>
      </w:pPr>
      <w:r>
        <w:rPr>
          <w:rFonts w:hint="default" w:ascii="Times New Roman" w:hAnsi="Times New Roman" w:eastAsia="宋体" w:cs="Times New Roman"/>
          <w:bCs/>
          <w:color w:val="auto"/>
          <w:sz w:val="26"/>
          <w:szCs w:val="26"/>
          <w:highlight w:val="none"/>
          <w:lang w:val="en-US" w:eastAsia="zh-CN"/>
        </w:rPr>
        <w:t>⑤</w:t>
      </w:r>
      <w:r>
        <w:rPr>
          <w:rFonts w:hint="default" w:ascii="Times New Roman" w:hAnsi="Times New Roman" w:eastAsia="宋体" w:cs="Times New Roman"/>
          <w:bCs/>
          <w:color w:val="auto"/>
          <w:sz w:val="26"/>
          <w:szCs w:val="26"/>
          <w:highlight w:val="none"/>
        </w:rPr>
        <w:t>施工产生的弃土、弃渣要合理处置，严禁随意倾倒。加强对施工机械的管理，防止油料、化学品等泄漏污染土壤和植被。</w:t>
      </w:r>
    </w:p>
    <w:p w14:paraId="674DE79A">
      <w:pPr>
        <w:spacing w:line="480" w:lineRule="exact"/>
        <w:ind w:firstLine="520" w:firstLineChars="200"/>
        <w:rPr>
          <w:rFonts w:hint="default" w:ascii="Times New Roman" w:hAnsi="Times New Roman" w:eastAsia="宋体" w:cs="Times New Roman"/>
          <w:bCs/>
          <w:color w:val="auto"/>
          <w:sz w:val="26"/>
          <w:szCs w:val="26"/>
          <w:highlight w:val="none"/>
          <w:lang w:val="en-US" w:eastAsia="zh-CN"/>
        </w:rPr>
      </w:pPr>
      <w:r>
        <w:rPr>
          <w:rFonts w:hint="default" w:ascii="Times New Roman" w:hAnsi="Times New Roman" w:eastAsia="宋体" w:cs="Times New Roman"/>
          <w:bCs/>
          <w:color w:val="auto"/>
          <w:sz w:val="26"/>
          <w:szCs w:val="26"/>
          <w:highlight w:val="none"/>
          <w:lang w:val="en-US" w:eastAsia="zh-CN"/>
        </w:rPr>
        <w:t>⑥乡土物种补植：</w:t>
      </w:r>
      <w:r>
        <w:rPr>
          <w:rFonts w:hint="default" w:ascii="Times New Roman" w:hAnsi="Times New Roman" w:eastAsia="宋体" w:cs="Times New Roman"/>
          <w:bCs/>
          <w:color w:val="auto"/>
          <w:sz w:val="26"/>
          <w:szCs w:val="26"/>
          <w:highlight w:val="none"/>
        </w:rPr>
        <w:t>选择适合当地气候和土壤条件的乡土树种和草种进行播种或种植</w:t>
      </w:r>
      <w:r>
        <w:rPr>
          <w:rFonts w:hint="default" w:ascii="Times New Roman" w:hAnsi="Times New Roman" w:eastAsia="宋体" w:cs="Times New Roman"/>
          <w:bCs/>
          <w:color w:val="auto"/>
          <w:sz w:val="26"/>
          <w:szCs w:val="26"/>
          <w:highlight w:val="none"/>
          <w:lang w:eastAsia="zh-CN"/>
        </w:rPr>
        <w:t>。管道5米禁种区</w:t>
      </w:r>
      <w:r>
        <w:rPr>
          <w:rFonts w:hint="default" w:ascii="Times New Roman" w:hAnsi="Times New Roman" w:eastAsia="宋体" w:cs="Times New Roman"/>
          <w:bCs/>
          <w:color w:val="auto"/>
          <w:sz w:val="26"/>
          <w:szCs w:val="26"/>
          <w:highlight w:val="none"/>
          <w:lang w:val="en-US" w:eastAsia="zh-CN"/>
        </w:rPr>
        <w:t>选取种植草本植被，根系深度&lt;50cm，防止穿透管道防腐层，禁止乔木、竹类等深根物种与外来入侵物种。</w:t>
      </w:r>
    </w:p>
    <w:p w14:paraId="1C6C5086">
      <w:pPr>
        <w:pStyle w:val="56"/>
        <w:rPr>
          <w:rFonts w:hint="default" w:ascii="Times New Roman" w:hAnsi="Times New Roman" w:eastAsia="宋体" w:cs="Times New Roman"/>
          <w:color w:val="auto"/>
          <w:sz w:val="26"/>
          <w:szCs w:val="26"/>
        </w:rPr>
      </w:pPr>
      <w:r>
        <w:rPr>
          <w:rFonts w:hint="default" w:ascii="Times New Roman" w:hAnsi="Times New Roman" w:eastAsia="宋体" w:cs="Times New Roman"/>
          <w:bCs/>
          <w:color w:val="auto"/>
          <w:sz w:val="26"/>
          <w:szCs w:val="26"/>
          <w:highlight w:val="none"/>
        </w:rPr>
        <w:t>总之，在项目施工期应加强施工管理，科学合理施工，维护植物的生境条件，减少水土流失，杜绝对工程用地范围以外林地的不良影响，积极遵守有关天然林资源保护工程的管理、防范措施；积极配合护林员管护沿线森林资源；主动或配合做好森林</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三防</w:t>
      </w:r>
      <w:r>
        <w:rPr>
          <w:rFonts w:hint="default" w:ascii="Times New Roman" w:hAnsi="Times New Roman" w:eastAsia="宋体" w:cs="Times New Roman"/>
          <w:bCs/>
          <w:color w:val="auto"/>
          <w:sz w:val="26"/>
          <w:szCs w:val="26"/>
          <w:highlight w:val="none"/>
          <w:lang w:eastAsia="zh-CN"/>
        </w:rPr>
        <w:t>”</w:t>
      </w:r>
      <w:r>
        <w:rPr>
          <w:rFonts w:hint="default" w:ascii="Times New Roman" w:hAnsi="Times New Roman" w:eastAsia="宋体" w:cs="Times New Roman"/>
          <w:bCs/>
          <w:color w:val="auto"/>
          <w:sz w:val="26"/>
          <w:szCs w:val="26"/>
          <w:highlight w:val="none"/>
        </w:rPr>
        <w:t>工作（防止森林火灾、防止盗伐滥伐林木、防止森林病虫害），保护野生动植物及其栖息环境，杜绝非法占用林地。</w:t>
      </w:r>
    </w:p>
    <w:p w14:paraId="5DFB3C5C">
      <w:pPr>
        <w:adjustRightInd w:val="0"/>
        <w:snapToGrid w:val="0"/>
        <w:spacing w:line="460" w:lineRule="exact"/>
        <w:ind w:firstLine="522"/>
        <w:outlineLvl w:val="1"/>
        <w:rPr>
          <w:rFonts w:hint="default" w:ascii="Times New Roman" w:hAnsi="Times New Roman" w:eastAsia="宋体" w:cs="Times New Roman"/>
          <w:b/>
          <w:color w:val="auto"/>
          <w:sz w:val="26"/>
          <w:szCs w:val="26"/>
        </w:rPr>
      </w:pPr>
      <w:bookmarkStart w:id="399" w:name="_Toc5791"/>
      <w:r>
        <w:rPr>
          <w:rFonts w:hint="default" w:ascii="Times New Roman" w:hAnsi="Times New Roman" w:eastAsia="宋体" w:cs="Times New Roman"/>
          <w:b/>
          <w:color w:val="auto"/>
          <w:sz w:val="26"/>
          <w:szCs w:val="26"/>
        </w:rPr>
        <w:t>8.2运营期环境保护措施</w:t>
      </w:r>
      <w:bookmarkEnd w:id="396"/>
      <w:bookmarkEnd w:id="397"/>
      <w:bookmarkEnd w:id="398"/>
      <w:bookmarkEnd w:id="399"/>
    </w:p>
    <w:p w14:paraId="547C2469">
      <w:pPr>
        <w:pStyle w:val="56"/>
        <w:rPr>
          <w:rFonts w:hint="default" w:ascii="Times New Roman" w:hAnsi="Times New Roman" w:eastAsia="宋体" w:cs="Times New Roman"/>
          <w:bCs/>
          <w:color w:val="auto"/>
          <w:sz w:val="26"/>
          <w:szCs w:val="26"/>
          <w:highlight w:val="none"/>
        </w:rPr>
      </w:pPr>
      <w:bookmarkStart w:id="400" w:name="_Toc45551110"/>
      <w:bookmarkStart w:id="401" w:name="_Toc60144426"/>
      <w:bookmarkStart w:id="402" w:name="_Toc4107"/>
      <w:r>
        <w:rPr>
          <w:rFonts w:hint="default" w:ascii="Times New Roman" w:hAnsi="Times New Roman" w:eastAsia="宋体" w:cs="Times New Roman"/>
          <w:bCs/>
          <w:color w:val="auto"/>
          <w:sz w:val="26"/>
          <w:szCs w:val="26"/>
          <w:highlight w:val="none"/>
        </w:rPr>
        <w:t>本项目管道</w:t>
      </w:r>
      <w:r>
        <w:rPr>
          <w:rFonts w:hint="default" w:ascii="Times New Roman" w:hAnsi="Times New Roman" w:eastAsia="宋体" w:cs="Times New Roman"/>
          <w:bCs/>
          <w:color w:val="auto"/>
          <w:sz w:val="26"/>
          <w:szCs w:val="26"/>
          <w:highlight w:val="none"/>
          <w:lang w:val="en-US" w:eastAsia="zh-CN"/>
        </w:rPr>
        <w:t>运营期</w:t>
      </w:r>
      <w:r>
        <w:rPr>
          <w:rFonts w:hint="default" w:ascii="Times New Roman" w:hAnsi="Times New Roman" w:eastAsia="宋体" w:cs="Times New Roman"/>
          <w:bCs/>
          <w:color w:val="auto"/>
          <w:sz w:val="26"/>
          <w:szCs w:val="26"/>
          <w:highlight w:val="none"/>
        </w:rPr>
        <w:t>采用密闭输送方式，项目仅是管道的局部</w:t>
      </w:r>
      <w:r>
        <w:rPr>
          <w:rFonts w:hint="default" w:ascii="Times New Roman" w:hAnsi="Times New Roman" w:eastAsia="宋体" w:cs="Times New Roman"/>
          <w:bCs/>
          <w:color w:val="auto"/>
          <w:sz w:val="26"/>
          <w:szCs w:val="26"/>
          <w:highlight w:val="none"/>
          <w:lang w:val="en-US" w:eastAsia="zh-CN"/>
        </w:rPr>
        <w:t>改建</w:t>
      </w:r>
      <w:r>
        <w:rPr>
          <w:rFonts w:hint="default" w:ascii="Times New Roman" w:hAnsi="Times New Roman" w:eastAsia="宋体" w:cs="Times New Roman"/>
          <w:bCs/>
          <w:color w:val="auto"/>
          <w:sz w:val="26"/>
          <w:szCs w:val="26"/>
          <w:highlight w:val="none"/>
        </w:rPr>
        <w:t>工程，</w:t>
      </w:r>
      <w:r>
        <w:rPr>
          <w:rFonts w:hint="default" w:ascii="Times New Roman" w:hAnsi="Times New Roman" w:eastAsia="宋体" w:cs="Times New Roman"/>
          <w:bCs/>
          <w:color w:val="auto"/>
          <w:sz w:val="26"/>
          <w:szCs w:val="26"/>
          <w:highlight w:val="none"/>
          <w:lang w:val="en-US" w:eastAsia="zh-CN"/>
        </w:rPr>
        <w:t>因此，</w:t>
      </w:r>
      <w:r>
        <w:rPr>
          <w:rFonts w:hint="default" w:ascii="Times New Roman" w:hAnsi="Times New Roman" w:eastAsia="宋体" w:cs="Times New Roman"/>
          <w:bCs/>
          <w:color w:val="auto"/>
          <w:sz w:val="26"/>
          <w:szCs w:val="26"/>
          <w:highlight w:val="none"/>
        </w:rPr>
        <w:t>运营过程无废水、废气、噪声、固体废物产生，为保护项目沿线生态环境，建议建设单位落实以下环境保护措施：</w:t>
      </w:r>
    </w:p>
    <w:p w14:paraId="64E517C6">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工程在正常运营期间，除少量的管道维护外，基本上不会对生态环境形成干扰。主要生态保护措施为生态恢复及加强管理。</w:t>
      </w:r>
    </w:p>
    <w:p w14:paraId="76041DB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（1）生态恢复措施</w:t>
      </w:r>
    </w:p>
    <w:p w14:paraId="61BC3B81">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项目运营期，施工结束后种植的植被暂未完全恢复</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建议随着施工结束及时根据施工前植被情况、周边植被情况，选择根系不影响管道的植物恢复</w:t>
      </w:r>
      <w:r>
        <w:rPr>
          <w:rFonts w:hint="default" w:ascii="Times New Roman" w:hAnsi="Times New Roman" w:eastAsia="宋体" w:cs="Times New Roman"/>
          <w:color w:val="auto"/>
          <w:lang w:val="en-US" w:eastAsia="zh-CN"/>
        </w:rPr>
        <w:t>物种</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在输气管线沿线区域加强对临时占地区域的植被恢复工程的保护，发现植被恢复受阻，要进行植被的补植补种。</w:t>
      </w:r>
    </w:p>
    <w:p w14:paraId="6AA6FD7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（2）运营管理措施</w:t>
      </w:r>
    </w:p>
    <w:p w14:paraId="31EE7DE2">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运营期，加强巡护人员管理及生态环境保护知识的宣传，禁止巡护人员对管线沿线植被、陆生动物的破坏，禁止乱扔乱丢垃圾，禁止破坏和随意践踏已恢复或正在恢复中的植被。</w:t>
      </w:r>
    </w:p>
    <w:p w14:paraId="648D3D8A">
      <w:pPr>
        <w:adjustRightInd w:val="0"/>
        <w:snapToGrid w:val="0"/>
        <w:spacing w:line="460" w:lineRule="exact"/>
        <w:ind w:firstLine="522" w:firstLineChars="200"/>
        <w:outlineLvl w:val="1"/>
        <w:rPr>
          <w:rFonts w:hint="default" w:ascii="Times New Roman" w:hAnsi="Times New Roman" w:eastAsia="宋体" w:cs="Times New Roman"/>
          <w:b/>
          <w:color w:val="auto"/>
          <w:sz w:val="26"/>
          <w:szCs w:val="26"/>
        </w:rPr>
      </w:pPr>
      <w:bookmarkStart w:id="403" w:name="_Toc3987"/>
      <w:r>
        <w:rPr>
          <w:rFonts w:hint="default" w:ascii="Times New Roman" w:hAnsi="Times New Roman" w:eastAsia="宋体" w:cs="Times New Roman"/>
          <w:b/>
          <w:color w:val="auto"/>
          <w:sz w:val="26"/>
          <w:szCs w:val="26"/>
        </w:rPr>
        <w:t>8.3其他保护措施</w:t>
      </w:r>
      <w:bookmarkEnd w:id="400"/>
      <w:bookmarkEnd w:id="401"/>
      <w:bookmarkEnd w:id="402"/>
      <w:bookmarkEnd w:id="403"/>
    </w:p>
    <w:p w14:paraId="02E96CE8">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根据《中华人民共和国石油天然气管道保护法》：</w:t>
      </w:r>
    </w:p>
    <w:p w14:paraId="3DA270E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1）在管道线路中心线两侧各五米地域范围内，禁止下列危害管道安全的行为：种植乔木、灌木、藤类、芦苇、竹子或者其他根系深达管道埋设部位可能损坏管道防腐层的深根植物；取土、采石、用火、堆放重物、排放腐蚀性物质、使用机械工具进行挖掘施工；挖塘、修渠、修晒场、修建水产养殖场、建温室、建家畜棚圈、建房以及修建其他建筑物、构筑物。</w:t>
      </w:r>
    </w:p>
    <w:p w14:paraId="3B681EE3">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2）在管道线路中心线两侧和管道附属设施周边修建下列建筑物、构筑物的，建筑物、构筑物与管道线路和管道附属设施的距离应当符合国家技术规范的强制性要求：居民小区、学校、医院、娱乐场所、车站、商场等人口密集的建筑物；变电站、加油站、加气站、储油罐、储气罐等易燃易爆物品的生产、经营、存储场所。</w:t>
      </w:r>
    </w:p>
    <w:p w14:paraId="3A9ACC40">
      <w:pPr>
        <w:spacing w:line="480" w:lineRule="exact"/>
        <w:ind w:firstLine="522" w:firstLineChars="200"/>
        <w:outlineLvl w:val="1"/>
        <w:rPr>
          <w:rFonts w:hint="default" w:ascii="Times New Roman" w:hAnsi="Times New Roman" w:eastAsia="宋体" w:cs="Times New Roman"/>
          <w:b/>
          <w:color w:val="auto"/>
          <w:sz w:val="26"/>
          <w:szCs w:val="26"/>
        </w:rPr>
      </w:pPr>
      <w:bookmarkStart w:id="404" w:name="_Toc45551112"/>
      <w:bookmarkStart w:id="405" w:name="_Toc9026"/>
      <w:bookmarkStart w:id="406" w:name="_Toc60144428"/>
      <w:bookmarkStart w:id="407" w:name="_Toc19367"/>
      <w:r>
        <w:rPr>
          <w:rFonts w:hint="default" w:ascii="Times New Roman" w:hAnsi="Times New Roman" w:eastAsia="宋体" w:cs="Times New Roman"/>
          <w:b/>
          <w:color w:val="auto"/>
          <w:sz w:val="26"/>
          <w:szCs w:val="26"/>
        </w:rPr>
        <w:t>8.4环保</w:t>
      </w:r>
      <w:r>
        <w:rPr>
          <w:rFonts w:hint="default" w:ascii="Times New Roman" w:hAnsi="Times New Roman" w:eastAsia="宋体" w:cs="Times New Roman"/>
          <w:b/>
          <w:color w:val="auto"/>
          <w:sz w:val="26"/>
          <w:szCs w:val="26"/>
          <w:lang w:val="en-US" w:eastAsia="zh-CN"/>
        </w:rPr>
        <w:t>措施及</w:t>
      </w:r>
      <w:r>
        <w:rPr>
          <w:rFonts w:hint="default" w:ascii="Times New Roman" w:hAnsi="Times New Roman" w:eastAsia="宋体" w:cs="Times New Roman"/>
          <w:b/>
          <w:color w:val="auto"/>
          <w:sz w:val="26"/>
          <w:szCs w:val="26"/>
        </w:rPr>
        <w:t>投资估算</w:t>
      </w:r>
      <w:bookmarkEnd w:id="404"/>
      <w:bookmarkEnd w:id="405"/>
      <w:bookmarkEnd w:id="406"/>
      <w:bookmarkEnd w:id="407"/>
    </w:p>
    <w:p w14:paraId="6DEBE8BC">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本工程总投资</w:t>
      </w:r>
      <w:r>
        <w:rPr>
          <w:rFonts w:hint="eastAsia" w:ascii="Times New Roman" w:hAnsi="Times New Roman" w:cs="Times New Roman"/>
          <w:color w:val="auto"/>
          <w:vertAlign w:val="baseline"/>
          <w:lang w:val="en-US" w:eastAsia="zh-CN"/>
        </w:rPr>
        <w:t>***</w:t>
      </w:r>
      <w:r>
        <w:rPr>
          <w:rFonts w:hint="default" w:ascii="Times New Roman" w:hAnsi="Times New Roman" w:eastAsia="宋体" w:cs="Times New Roman"/>
          <w:color w:val="auto"/>
        </w:rPr>
        <w:t>万元，环保投资</w:t>
      </w:r>
      <w:r>
        <w:rPr>
          <w:rFonts w:hint="eastAsia" w:ascii="Times New Roman" w:hAnsi="Times New Roman" w:cs="Times New Roman"/>
          <w:color w:val="auto"/>
          <w:vertAlign w:val="baseline"/>
          <w:lang w:val="en-US" w:eastAsia="zh-CN"/>
        </w:rPr>
        <w:t>***</w:t>
      </w:r>
      <w:r>
        <w:rPr>
          <w:rFonts w:hint="default" w:ascii="Times New Roman" w:hAnsi="Times New Roman" w:eastAsia="宋体" w:cs="Times New Roman"/>
          <w:color w:val="auto"/>
        </w:rPr>
        <w:t>万元，约占总投资的</w:t>
      </w:r>
      <w:r>
        <w:rPr>
          <w:rFonts w:hint="eastAsia" w:ascii="Times New Roman" w:hAnsi="Times New Roman" w:cs="Times New Roman"/>
          <w:color w:val="auto"/>
          <w:vertAlign w:val="baseline"/>
          <w:lang w:val="en-US" w:eastAsia="zh-CN"/>
        </w:rPr>
        <w:t>***</w:t>
      </w:r>
      <w:r>
        <w:rPr>
          <w:rFonts w:hint="default" w:ascii="Times New Roman" w:hAnsi="Times New Roman" w:eastAsia="宋体" w:cs="Times New Roman"/>
          <w:color w:val="auto"/>
        </w:rPr>
        <w:t>%。环保投资估算情况见表8.</w:t>
      </w:r>
      <w:r>
        <w:rPr>
          <w:rFonts w:hint="eastAsia" w:ascii="Times New Roman" w:hAnsi="Times New Roman" w:cs="Times New Roman"/>
          <w:color w:val="auto"/>
          <w:lang w:val="en-US" w:eastAsia="zh-CN"/>
        </w:rPr>
        <w:t>4</w:t>
      </w:r>
      <w:r>
        <w:rPr>
          <w:rFonts w:hint="default" w:ascii="Times New Roman" w:hAnsi="Times New Roman" w:eastAsia="宋体" w:cs="Times New Roman"/>
          <w:color w:val="auto"/>
        </w:rPr>
        <w:t>-1。</w:t>
      </w:r>
    </w:p>
    <w:p w14:paraId="3C508377">
      <w:pPr>
        <w:pStyle w:val="58"/>
        <w:rPr>
          <w:rFonts w:hint="default" w:ascii="Times New Roman" w:hAnsi="Times New Roman" w:eastAsia="宋体" w:cs="Times New Roman"/>
          <w:color w:val="auto"/>
        </w:rPr>
      </w:pPr>
    </w:p>
    <w:p w14:paraId="55D38C65">
      <w:pPr>
        <w:pStyle w:val="5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表8.</w:t>
      </w:r>
      <w:r>
        <w:rPr>
          <w:rFonts w:hint="eastAsia" w:ascii="Times New Roman" w:hAnsi="Times New Roman" w:cs="Times New Roman"/>
          <w:color w:val="auto"/>
          <w:lang w:val="en-US" w:eastAsia="zh-CN"/>
        </w:rPr>
        <w:t>4</w:t>
      </w: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环保</w:t>
      </w:r>
      <w:r>
        <w:rPr>
          <w:rFonts w:hint="default" w:ascii="Times New Roman" w:hAnsi="Times New Roman" w:eastAsia="宋体" w:cs="Times New Roman"/>
          <w:color w:val="auto"/>
          <w:lang w:val="en-US" w:eastAsia="zh-CN"/>
        </w:rPr>
        <w:t>措施及</w:t>
      </w:r>
      <w:r>
        <w:rPr>
          <w:rFonts w:hint="default" w:ascii="Times New Roman" w:hAnsi="Times New Roman" w:eastAsia="宋体" w:cs="Times New Roman"/>
          <w:color w:val="auto"/>
        </w:rPr>
        <w:t>投资估算</w:t>
      </w:r>
      <w:r>
        <w:rPr>
          <w:rFonts w:hint="default" w:ascii="Times New Roman" w:hAnsi="Times New Roman" w:eastAsia="宋体" w:cs="Times New Roman"/>
          <w:color w:val="auto"/>
          <w:lang w:val="en-US" w:eastAsia="zh-CN"/>
        </w:rPr>
        <w:t>汇总表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 w:type="dxa"/>
          <w:left w:w="28" w:type="dxa"/>
          <w:bottom w:w="0" w:type="dxa"/>
          <w:right w:w="28" w:type="dxa"/>
        </w:tblCellMar>
      </w:tblPr>
      <w:tblGrid>
        <w:gridCol w:w="358"/>
        <w:gridCol w:w="517"/>
        <w:gridCol w:w="654"/>
        <w:gridCol w:w="1186"/>
        <w:gridCol w:w="4997"/>
        <w:gridCol w:w="1074"/>
      </w:tblGrid>
      <w:tr w14:paraId="16A0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71CD6E2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294" w:type="pct"/>
            <w:tcBorders>
              <w:top w:val="single" w:color="auto" w:sz="4" w:space="0"/>
              <w:left w:val="nil"/>
              <w:bottom w:val="single" w:color="auto" w:sz="4" w:space="0"/>
              <w:right w:val="single" w:color="auto" w:sz="8" w:space="0"/>
            </w:tcBorders>
            <w:noWrap w:val="0"/>
            <w:vAlign w:val="center"/>
          </w:tcPr>
          <w:p w14:paraId="6CA8ED0D">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时段</w:t>
            </w:r>
          </w:p>
        </w:tc>
        <w:tc>
          <w:tcPr>
            <w:tcW w:w="372" w:type="pct"/>
            <w:tcBorders>
              <w:top w:val="single" w:color="auto" w:sz="4" w:space="0"/>
              <w:left w:val="nil"/>
              <w:bottom w:val="single" w:color="auto" w:sz="4" w:space="0"/>
              <w:right w:val="single" w:color="auto" w:sz="4" w:space="0"/>
            </w:tcBorders>
            <w:noWrap w:val="0"/>
            <w:vAlign w:val="center"/>
          </w:tcPr>
          <w:p w14:paraId="2DA566FF">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环境要素</w:t>
            </w:r>
          </w:p>
        </w:tc>
        <w:tc>
          <w:tcPr>
            <w:tcW w:w="674" w:type="pct"/>
            <w:tcBorders>
              <w:top w:val="single" w:color="auto" w:sz="4" w:space="0"/>
              <w:left w:val="nil"/>
              <w:bottom w:val="single" w:color="auto" w:sz="4" w:space="0"/>
              <w:right w:val="single" w:color="auto" w:sz="4" w:space="0"/>
            </w:tcBorders>
            <w:noWrap w:val="0"/>
            <w:vAlign w:val="center"/>
          </w:tcPr>
          <w:p w14:paraId="19C28FCE">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污染源</w:t>
            </w:r>
          </w:p>
        </w:tc>
        <w:tc>
          <w:tcPr>
            <w:tcW w:w="2843" w:type="pct"/>
            <w:tcBorders>
              <w:top w:val="single" w:color="auto" w:sz="4" w:space="0"/>
              <w:left w:val="nil"/>
              <w:bottom w:val="single" w:color="auto" w:sz="4" w:space="0"/>
              <w:right w:val="single" w:color="auto" w:sz="4" w:space="0"/>
            </w:tcBorders>
            <w:noWrap w:val="0"/>
            <w:vAlign w:val="center"/>
          </w:tcPr>
          <w:p w14:paraId="701D266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环保措施</w:t>
            </w:r>
          </w:p>
        </w:tc>
        <w:tc>
          <w:tcPr>
            <w:tcW w:w="611" w:type="pct"/>
            <w:tcBorders>
              <w:top w:val="single" w:color="auto" w:sz="4" w:space="0"/>
              <w:left w:val="nil"/>
              <w:bottom w:val="single" w:color="auto" w:sz="4" w:space="0"/>
              <w:right w:val="single" w:color="auto" w:sz="4" w:space="0"/>
            </w:tcBorders>
            <w:noWrap w:val="0"/>
            <w:vAlign w:val="center"/>
          </w:tcPr>
          <w:p w14:paraId="59322E64">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环保投资</w:t>
            </w:r>
          </w:p>
          <w:p w14:paraId="050C4B4B">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（万元）</w:t>
            </w:r>
          </w:p>
        </w:tc>
      </w:tr>
      <w:tr w14:paraId="64CC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6B07665A">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1</w:t>
            </w:r>
          </w:p>
        </w:tc>
        <w:tc>
          <w:tcPr>
            <w:tcW w:w="294" w:type="pct"/>
            <w:vMerge w:val="restart"/>
            <w:tcBorders>
              <w:top w:val="nil"/>
              <w:left w:val="nil"/>
              <w:right w:val="single" w:color="auto" w:sz="8" w:space="0"/>
            </w:tcBorders>
            <w:noWrap w:val="0"/>
            <w:vAlign w:val="center"/>
          </w:tcPr>
          <w:p w14:paraId="6B2277DA">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施工期</w:t>
            </w:r>
          </w:p>
        </w:tc>
        <w:tc>
          <w:tcPr>
            <w:tcW w:w="372" w:type="pct"/>
            <w:vMerge w:val="restart"/>
            <w:tcBorders>
              <w:top w:val="nil"/>
              <w:left w:val="nil"/>
              <w:right w:val="single" w:color="auto" w:sz="4" w:space="0"/>
            </w:tcBorders>
            <w:noWrap w:val="0"/>
            <w:vAlign w:val="center"/>
          </w:tcPr>
          <w:p w14:paraId="57B6617C">
            <w:pPr>
              <w:pStyle w:val="60"/>
              <w:rPr>
                <w:rFonts w:hint="default" w:ascii="Times New Roman" w:hAnsi="Times New Roman" w:eastAsia="宋体" w:cs="Times New Roman"/>
                <w:b/>
                <w:bCs/>
                <w:color w:val="auto"/>
              </w:rPr>
            </w:pPr>
            <w:r>
              <w:rPr>
                <w:rFonts w:hint="default" w:ascii="Times New Roman" w:hAnsi="Times New Roman" w:eastAsia="宋体" w:cs="Times New Roman"/>
                <w:color w:val="auto"/>
              </w:rPr>
              <w:t>环境空气</w:t>
            </w:r>
          </w:p>
        </w:tc>
        <w:tc>
          <w:tcPr>
            <w:tcW w:w="674" w:type="pct"/>
            <w:tcBorders>
              <w:top w:val="single" w:color="auto" w:sz="4" w:space="0"/>
              <w:left w:val="nil"/>
              <w:bottom w:val="single" w:color="auto" w:sz="4" w:space="0"/>
              <w:right w:val="single" w:color="auto" w:sz="4" w:space="0"/>
            </w:tcBorders>
            <w:noWrap w:val="0"/>
            <w:vAlign w:val="center"/>
          </w:tcPr>
          <w:p w14:paraId="491FCDBB">
            <w:pPr>
              <w:pStyle w:val="60"/>
              <w:rPr>
                <w:rFonts w:hint="default" w:ascii="Times New Roman" w:hAnsi="Times New Roman" w:eastAsia="宋体" w:cs="Times New Roman"/>
                <w:b/>
                <w:bCs/>
                <w:color w:val="auto"/>
              </w:rPr>
            </w:pPr>
            <w:r>
              <w:rPr>
                <w:rFonts w:hint="default" w:ascii="Times New Roman" w:hAnsi="Times New Roman" w:eastAsia="宋体" w:cs="Times New Roman"/>
                <w:color w:val="auto"/>
              </w:rPr>
              <w:t>施工扬尘</w:t>
            </w:r>
          </w:p>
        </w:tc>
        <w:tc>
          <w:tcPr>
            <w:tcW w:w="2843" w:type="pct"/>
            <w:tcBorders>
              <w:top w:val="single" w:color="auto" w:sz="4" w:space="0"/>
              <w:left w:val="nil"/>
              <w:bottom w:val="single" w:color="auto" w:sz="4" w:space="0"/>
              <w:right w:val="single" w:color="auto" w:sz="4" w:space="0"/>
            </w:tcBorders>
            <w:noWrap w:val="0"/>
            <w:vAlign w:val="center"/>
          </w:tcPr>
          <w:p w14:paraId="79C36E69">
            <w:pPr>
              <w:pStyle w:val="60"/>
              <w:jc w:val="both"/>
              <w:rPr>
                <w:rFonts w:hint="default" w:ascii="Times New Roman" w:hAnsi="Times New Roman" w:eastAsia="宋体" w:cs="Times New Roman"/>
                <w:b/>
                <w:bCs/>
                <w:color w:val="auto"/>
              </w:rPr>
            </w:pPr>
            <w:r>
              <w:rPr>
                <w:rFonts w:hint="default" w:ascii="Times New Roman" w:hAnsi="Times New Roman" w:eastAsia="宋体" w:cs="Times New Roman"/>
                <w:color w:val="auto"/>
              </w:rPr>
              <w:t>加强管理，洒水抑尘等</w:t>
            </w:r>
          </w:p>
        </w:tc>
        <w:tc>
          <w:tcPr>
            <w:tcW w:w="611" w:type="pct"/>
            <w:tcBorders>
              <w:top w:val="single" w:color="auto" w:sz="4" w:space="0"/>
              <w:left w:val="nil"/>
              <w:bottom w:val="single" w:color="auto" w:sz="4" w:space="0"/>
              <w:right w:val="single" w:color="auto" w:sz="4" w:space="0"/>
            </w:tcBorders>
            <w:noWrap w:val="0"/>
            <w:vAlign w:val="center"/>
          </w:tcPr>
          <w:p w14:paraId="3E09479E">
            <w:pPr>
              <w:jc w:val="center"/>
              <w:rPr>
                <w:rFonts w:hint="default" w:ascii="Times New Roman" w:hAnsi="Times New Roman" w:eastAsia="宋体" w:cs="Times New Roman"/>
                <w:b/>
                <w:bCs/>
                <w:color w:val="auto"/>
              </w:rPr>
            </w:pPr>
            <w:r>
              <w:rPr>
                <w:rFonts w:hint="eastAsia" w:ascii="Times New Roman" w:hAnsi="Times New Roman" w:cs="Times New Roman"/>
                <w:color w:val="auto"/>
                <w:vertAlign w:val="baseline"/>
                <w:lang w:val="en-US" w:eastAsia="zh-CN"/>
              </w:rPr>
              <w:t>***</w:t>
            </w:r>
          </w:p>
        </w:tc>
      </w:tr>
      <w:tr w14:paraId="0174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654178D5">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2</w:t>
            </w:r>
          </w:p>
        </w:tc>
        <w:tc>
          <w:tcPr>
            <w:tcW w:w="294" w:type="pct"/>
            <w:vMerge w:val="continue"/>
            <w:tcBorders>
              <w:left w:val="nil"/>
              <w:right w:val="single" w:color="auto" w:sz="8" w:space="0"/>
            </w:tcBorders>
            <w:noWrap w:val="0"/>
            <w:vAlign w:val="center"/>
          </w:tcPr>
          <w:p w14:paraId="1563F948">
            <w:pPr>
              <w:pStyle w:val="60"/>
              <w:rPr>
                <w:rFonts w:hint="default" w:ascii="Times New Roman" w:hAnsi="Times New Roman" w:eastAsia="宋体" w:cs="Times New Roman"/>
                <w:b/>
                <w:bCs/>
                <w:color w:val="auto"/>
              </w:rPr>
            </w:pPr>
          </w:p>
        </w:tc>
        <w:tc>
          <w:tcPr>
            <w:tcW w:w="372" w:type="pct"/>
            <w:vMerge w:val="continue"/>
            <w:tcBorders>
              <w:left w:val="nil"/>
              <w:right w:val="single" w:color="auto" w:sz="4" w:space="0"/>
            </w:tcBorders>
            <w:noWrap w:val="0"/>
            <w:vAlign w:val="center"/>
          </w:tcPr>
          <w:p w14:paraId="1A59582E">
            <w:pPr>
              <w:pStyle w:val="60"/>
              <w:rPr>
                <w:rFonts w:hint="default" w:ascii="Times New Roman" w:hAnsi="Times New Roman" w:eastAsia="宋体" w:cs="Times New Roman"/>
                <w:b/>
                <w:bCs/>
                <w:color w:val="auto"/>
              </w:rPr>
            </w:pPr>
          </w:p>
        </w:tc>
        <w:tc>
          <w:tcPr>
            <w:tcW w:w="674" w:type="pct"/>
            <w:tcBorders>
              <w:top w:val="single" w:color="auto" w:sz="4" w:space="0"/>
              <w:left w:val="nil"/>
              <w:bottom w:val="single" w:color="auto" w:sz="4" w:space="0"/>
              <w:right w:val="single" w:color="auto" w:sz="4" w:space="0"/>
            </w:tcBorders>
            <w:noWrap w:val="0"/>
            <w:vAlign w:val="center"/>
          </w:tcPr>
          <w:p w14:paraId="4B1256CC">
            <w:pPr>
              <w:pStyle w:val="60"/>
              <w:rPr>
                <w:rFonts w:hint="default" w:ascii="Times New Roman" w:hAnsi="Times New Roman" w:eastAsia="宋体" w:cs="Times New Roman"/>
                <w:b/>
                <w:bCs/>
                <w:color w:val="auto"/>
              </w:rPr>
            </w:pPr>
            <w:r>
              <w:rPr>
                <w:rFonts w:hint="default" w:ascii="Times New Roman" w:hAnsi="Times New Roman" w:eastAsia="宋体" w:cs="Times New Roman"/>
                <w:color w:val="auto"/>
              </w:rPr>
              <w:t>机具尾气</w:t>
            </w:r>
          </w:p>
        </w:tc>
        <w:tc>
          <w:tcPr>
            <w:tcW w:w="2843" w:type="pct"/>
            <w:tcBorders>
              <w:top w:val="single" w:color="auto" w:sz="4" w:space="0"/>
              <w:left w:val="nil"/>
              <w:bottom w:val="single" w:color="auto" w:sz="4" w:space="0"/>
              <w:right w:val="single" w:color="auto" w:sz="4" w:space="0"/>
            </w:tcBorders>
            <w:noWrap w:val="0"/>
            <w:vAlign w:val="center"/>
          </w:tcPr>
          <w:p w14:paraId="432B3EEC">
            <w:pPr>
              <w:pStyle w:val="60"/>
              <w:jc w:val="both"/>
              <w:rPr>
                <w:rFonts w:hint="default" w:ascii="Times New Roman" w:hAnsi="Times New Roman" w:eastAsia="宋体" w:cs="Times New Roman"/>
                <w:b/>
                <w:bCs/>
                <w:color w:val="auto"/>
              </w:rPr>
            </w:pPr>
            <w:r>
              <w:rPr>
                <w:rFonts w:hint="default" w:ascii="Times New Roman" w:hAnsi="Times New Roman" w:eastAsia="宋体" w:cs="Times New Roman"/>
                <w:color w:val="auto"/>
              </w:rPr>
              <w:t>选用先进设备，加强设备保养维护</w:t>
            </w:r>
          </w:p>
        </w:tc>
        <w:tc>
          <w:tcPr>
            <w:tcW w:w="611" w:type="pct"/>
            <w:tcBorders>
              <w:top w:val="single" w:color="auto" w:sz="4" w:space="0"/>
              <w:left w:val="nil"/>
              <w:bottom w:val="single" w:color="auto" w:sz="4" w:space="0"/>
              <w:right w:val="single" w:color="auto" w:sz="4" w:space="0"/>
            </w:tcBorders>
            <w:noWrap w:val="0"/>
            <w:vAlign w:val="center"/>
          </w:tcPr>
          <w:p w14:paraId="1D6768D6">
            <w:pPr>
              <w:jc w:val="center"/>
              <w:rPr>
                <w:rFonts w:hint="default" w:ascii="Times New Roman" w:hAnsi="Times New Roman" w:eastAsia="宋体" w:cs="Times New Roman"/>
                <w:b/>
                <w:bCs/>
                <w:color w:val="auto"/>
                <w:lang w:val="en-US" w:eastAsia="zh-CN"/>
              </w:rPr>
            </w:pPr>
            <w:r>
              <w:rPr>
                <w:rFonts w:hint="eastAsia" w:ascii="Times New Roman" w:hAnsi="Times New Roman" w:cs="Times New Roman"/>
                <w:color w:val="auto"/>
                <w:vertAlign w:val="baseline"/>
                <w:lang w:val="en-US" w:eastAsia="zh-CN"/>
              </w:rPr>
              <w:t>***</w:t>
            </w:r>
          </w:p>
        </w:tc>
      </w:tr>
      <w:tr w14:paraId="03C3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44C0F42E">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294" w:type="pct"/>
            <w:vMerge w:val="continue"/>
            <w:tcBorders>
              <w:left w:val="nil"/>
              <w:right w:val="single" w:color="auto" w:sz="8" w:space="0"/>
            </w:tcBorders>
            <w:noWrap w:val="0"/>
            <w:vAlign w:val="center"/>
          </w:tcPr>
          <w:p w14:paraId="37743205">
            <w:pPr>
              <w:pStyle w:val="60"/>
              <w:rPr>
                <w:rFonts w:hint="default" w:ascii="Times New Roman" w:hAnsi="Times New Roman" w:eastAsia="宋体" w:cs="Times New Roman"/>
                <w:b/>
                <w:bCs/>
                <w:color w:val="auto"/>
              </w:rPr>
            </w:pPr>
          </w:p>
        </w:tc>
        <w:tc>
          <w:tcPr>
            <w:tcW w:w="372" w:type="pct"/>
            <w:vMerge w:val="continue"/>
            <w:tcBorders>
              <w:left w:val="nil"/>
              <w:right w:val="single" w:color="auto" w:sz="4" w:space="0"/>
            </w:tcBorders>
            <w:noWrap w:val="0"/>
            <w:vAlign w:val="center"/>
          </w:tcPr>
          <w:p w14:paraId="2A1F57D5">
            <w:pPr>
              <w:pStyle w:val="60"/>
              <w:rPr>
                <w:rFonts w:hint="default" w:ascii="Times New Roman" w:hAnsi="Times New Roman" w:eastAsia="宋体" w:cs="Times New Roman"/>
                <w:b/>
                <w:bCs/>
                <w:color w:val="auto"/>
              </w:rPr>
            </w:pPr>
          </w:p>
        </w:tc>
        <w:tc>
          <w:tcPr>
            <w:tcW w:w="674" w:type="pct"/>
            <w:tcBorders>
              <w:top w:val="single" w:color="auto" w:sz="4" w:space="0"/>
              <w:left w:val="nil"/>
              <w:bottom w:val="single" w:color="auto" w:sz="4" w:space="0"/>
              <w:right w:val="single" w:color="auto" w:sz="4" w:space="0"/>
            </w:tcBorders>
            <w:noWrap w:val="0"/>
            <w:vAlign w:val="center"/>
          </w:tcPr>
          <w:p w14:paraId="5A00DAFA">
            <w:pPr>
              <w:pStyle w:val="60"/>
              <w:rPr>
                <w:rFonts w:hint="default" w:ascii="Times New Roman" w:hAnsi="Times New Roman" w:eastAsia="宋体" w:cs="Times New Roman"/>
                <w:b/>
                <w:bCs/>
                <w:color w:val="auto"/>
              </w:rPr>
            </w:pPr>
            <w:r>
              <w:rPr>
                <w:rFonts w:hint="default" w:ascii="Times New Roman" w:hAnsi="Times New Roman" w:eastAsia="宋体" w:cs="Times New Roman"/>
                <w:color w:val="auto"/>
              </w:rPr>
              <w:t>焊接烟尘</w:t>
            </w:r>
          </w:p>
        </w:tc>
        <w:tc>
          <w:tcPr>
            <w:tcW w:w="2843" w:type="pct"/>
            <w:tcBorders>
              <w:top w:val="single" w:color="auto" w:sz="4" w:space="0"/>
              <w:left w:val="nil"/>
              <w:bottom w:val="single" w:color="auto" w:sz="4" w:space="0"/>
              <w:right w:val="single" w:color="auto" w:sz="4" w:space="0"/>
            </w:tcBorders>
            <w:noWrap w:val="0"/>
            <w:vAlign w:val="center"/>
          </w:tcPr>
          <w:p w14:paraId="72649484">
            <w:pPr>
              <w:pStyle w:val="60"/>
              <w:jc w:val="both"/>
              <w:rPr>
                <w:rFonts w:hint="default" w:ascii="Times New Roman" w:hAnsi="Times New Roman" w:eastAsia="宋体" w:cs="Times New Roman"/>
                <w:b/>
                <w:bCs/>
                <w:color w:val="auto"/>
              </w:rPr>
            </w:pPr>
            <w:r>
              <w:rPr>
                <w:rFonts w:hint="default" w:ascii="Times New Roman" w:hAnsi="Times New Roman" w:eastAsia="宋体" w:cs="Times New Roman"/>
                <w:color w:val="auto"/>
              </w:rPr>
              <w:t>使用优质环保焊条</w:t>
            </w:r>
          </w:p>
        </w:tc>
        <w:tc>
          <w:tcPr>
            <w:tcW w:w="611" w:type="pct"/>
            <w:tcBorders>
              <w:top w:val="single" w:color="auto" w:sz="4" w:space="0"/>
              <w:left w:val="nil"/>
              <w:bottom w:val="single" w:color="auto" w:sz="4" w:space="0"/>
              <w:right w:val="single" w:color="auto" w:sz="4" w:space="0"/>
            </w:tcBorders>
            <w:noWrap w:val="0"/>
            <w:vAlign w:val="center"/>
          </w:tcPr>
          <w:p w14:paraId="04CEAC29">
            <w:pPr>
              <w:jc w:val="center"/>
              <w:rPr>
                <w:rFonts w:hint="default" w:ascii="Times New Roman" w:hAnsi="Times New Roman" w:eastAsia="宋体" w:cs="Times New Roman"/>
                <w:b/>
                <w:bCs/>
                <w:color w:val="auto"/>
              </w:rPr>
            </w:pPr>
            <w:r>
              <w:rPr>
                <w:rFonts w:hint="eastAsia" w:ascii="Times New Roman" w:hAnsi="Times New Roman" w:cs="Times New Roman"/>
                <w:color w:val="auto"/>
                <w:vertAlign w:val="baseline"/>
                <w:lang w:val="en-US" w:eastAsia="zh-CN"/>
              </w:rPr>
              <w:t>***</w:t>
            </w:r>
          </w:p>
        </w:tc>
      </w:tr>
      <w:tr w14:paraId="7B0E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536970A0">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294" w:type="pct"/>
            <w:vMerge w:val="continue"/>
            <w:tcBorders>
              <w:left w:val="nil"/>
              <w:right w:val="single" w:color="auto" w:sz="8" w:space="0"/>
            </w:tcBorders>
            <w:noWrap w:val="0"/>
            <w:vAlign w:val="center"/>
          </w:tcPr>
          <w:p w14:paraId="5D48393E">
            <w:pPr>
              <w:pStyle w:val="60"/>
              <w:rPr>
                <w:rFonts w:hint="default" w:ascii="Times New Roman" w:hAnsi="Times New Roman" w:eastAsia="宋体" w:cs="Times New Roman"/>
                <w:b/>
                <w:bCs/>
                <w:color w:val="auto"/>
              </w:rPr>
            </w:pPr>
          </w:p>
        </w:tc>
        <w:tc>
          <w:tcPr>
            <w:tcW w:w="372" w:type="pct"/>
            <w:vMerge w:val="continue"/>
            <w:tcBorders>
              <w:left w:val="nil"/>
              <w:bottom w:val="single" w:color="auto" w:sz="4" w:space="0"/>
              <w:right w:val="single" w:color="auto" w:sz="4" w:space="0"/>
            </w:tcBorders>
            <w:noWrap w:val="0"/>
            <w:vAlign w:val="center"/>
          </w:tcPr>
          <w:p w14:paraId="63B79ADF">
            <w:pPr>
              <w:pStyle w:val="60"/>
              <w:rPr>
                <w:rFonts w:hint="default" w:ascii="Times New Roman" w:hAnsi="Times New Roman" w:eastAsia="宋体" w:cs="Times New Roman"/>
                <w:b/>
                <w:bCs/>
                <w:color w:val="auto"/>
              </w:rPr>
            </w:pPr>
          </w:p>
        </w:tc>
        <w:tc>
          <w:tcPr>
            <w:tcW w:w="674" w:type="pct"/>
            <w:tcBorders>
              <w:top w:val="single" w:color="auto" w:sz="4" w:space="0"/>
              <w:left w:val="nil"/>
              <w:bottom w:val="single" w:color="auto" w:sz="4" w:space="0"/>
              <w:right w:val="single" w:color="auto" w:sz="4" w:space="0"/>
            </w:tcBorders>
            <w:noWrap w:val="0"/>
            <w:vAlign w:val="center"/>
          </w:tcPr>
          <w:p w14:paraId="2C8C101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停气置换放空废气</w:t>
            </w:r>
          </w:p>
        </w:tc>
        <w:tc>
          <w:tcPr>
            <w:tcW w:w="2843" w:type="pct"/>
            <w:tcBorders>
              <w:top w:val="single" w:color="auto" w:sz="4" w:space="0"/>
              <w:left w:val="nil"/>
              <w:bottom w:val="single" w:color="auto" w:sz="4" w:space="0"/>
              <w:right w:val="single" w:color="auto" w:sz="4" w:space="0"/>
            </w:tcBorders>
            <w:noWrap w:val="0"/>
            <w:vAlign w:val="center"/>
          </w:tcPr>
          <w:p w14:paraId="3C230E55">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氮气置换过程中管道内天然气依托</w:t>
            </w:r>
            <w:r>
              <w:rPr>
                <w:rFonts w:hint="default" w:ascii="Times New Roman" w:hAnsi="Times New Roman" w:eastAsia="宋体" w:cs="Times New Roman"/>
                <w:color w:val="auto"/>
                <w:lang w:val="en-US" w:eastAsia="zh-CN"/>
              </w:rPr>
              <w:t>新盛</w:t>
            </w:r>
            <w:r>
              <w:rPr>
                <w:rFonts w:hint="default" w:ascii="Times New Roman" w:hAnsi="Times New Roman" w:eastAsia="宋体" w:cs="Times New Roman"/>
                <w:color w:val="auto"/>
              </w:rPr>
              <w:t>站场进行</w:t>
            </w:r>
          </w:p>
        </w:tc>
        <w:tc>
          <w:tcPr>
            <w:tcW w:w="611" w:type="pct"/>
            <w:tcBorders>
              <w:top w:val="single" w:color="auto" w:sz="4" w:space="0"/>
              <w:left w:val="nil"/>
              <w:bottom w:val="single" w:color="auto" w:sz="4" w:space="0"/>
              <w:right w:val="single" w:color="auto" w:sz="4" w:space="0"/>
            </w:tcBorders>
            <w:noWrap w:val="0"/>
            <w:vAlign w:val="center"/>
          </w:tcPr>
          <w:p w14:paraId="2EEB29D7">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vertAlign w:val="baseline"/>
                <w:lang w:val="en-US" w:eastAsia="zh-CN"/>
              </w:rPr>
              <w:t>***</w:t>
            </w:r>
          </w:p>
        </w:tc>
      </w:tr>
      <w:tr w14:paraId="3DAE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66430096">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294" w:type="pct"/>
            <w:vMerge w:val="continue"/>
            <w:tcBorders>
              <w:left w:val="nil"/>
              <w:right w:val="single" w:color="auto" w:sz="8" w:space="0"/>
            </w:tcBorders>
            <w:noWrap w:val="0"/>
            <w:vAlign w:val="center"/>
          </w:tcPr>
          <w:p w14:paraId="5EE48CE2">
            <w:pPr>
              <w:pStyle w:val="60"/>
              <w:rPr>
                <w:rFonts w:hint="default" w:ascii="Times New Roman" w:hAnsi="Times New Roman" w:eastAsia="宋体" w:cs="Times New Roman"/>
                <w:color w:val="auto"/>
              </w:rPr>
            </w:pPr>
          </w:p>
        </w:tc>
        <w:tc>
          <w:tcPr>
            <w:tcW w:w="372" w:type="pct"/>
            <w:vMerge w:val="restart"/>
            <w:tcBorders>
              <w:top w:val="nil"/>
              <w:left w:val="nil"/>
              <w:right w:val="single" w:color="auto" w:sz="4" w:space="0"/>
            </w:tcBorders>
            <w:noWrap w:val="0"/>
            <w:vAlign w:val="center"/>
          </w:tcPr>
          <w:p w14:paraId="7BCEB82A">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地表水</w:t>
            </w:r>
          </w:p>
        </w:tc>
        <w:tc>
          <w:tcPr>
            <w:tcW w:w="674" w:type="pct"/>
            <w:tcBorders>
              <w:top w:val="single" w:color="auto" w:sz="4" w:space="0"/>
              <w:left w:val="nil"/>
              <w:bottom w:val="single" w:color="auto" w:sz="4" w:space="0"/>
              <w:right w:val="single" w:color="auto" w:sz="4" w:space="0"/>
            </w:tcBorders>
            <w:noWrap w:val="0"/>
            <w:vAlign w:val="center"/>
          </w:tcPr>
          <w:p w14:paraId="357A28A9">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施工废水</w:t>
            </w:r>
          </w:p>
        </w:tc>
        <w:tc>
          <w:tcPr>
            <w:tcW w:w="2843" w:type="pct"/>
            <w:tcBorders>
              <w:top w:val="single" w:color="auto" w:sz="4" w:space="0"/>
              <w:left w:val="nil"/>
              <w:bottom w:val="single" w:color="auto" w:sz="4" w:space="0"/>
              <w:right w:val="single" w:color="auto" w:sz="4" w:space="0"/>
            </w:tcBorders>
            <w:noWrap w:val="0"/>
            <w:vAlign w:val="center"/>
          </w:tcPr>
          <w:p w14:paraId="658B5AE2">
            <w:pPr>
              <w:pStyle w:val="6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隔油沉淀处理后回用于施工用水或洒水扬尘</w:t>
            </w:r>
          </w:p>
        </w:tc>
        <w:tc>
          <w:tcPr>
            <w:tcW w:w="611" w:type="pct"/>
            <w:tcBorders>
              <w:top w:val="single" w:color="auto" w:sz="4" w:space="0"/>
              <w:left w:val="nil"/>
              <w:bottom w:val="single" w:color="auto" w:sz="4" w:space="0"/>
              <w:right w:val="single" w:color="auto" w:sz="4" w:space="0"/>
            </w:tcBorders>
            <w:noWrap w:val="0"/>
            <w:vAlign w:val="center"/>
          </w:tcPr>
          <w:p w14:paraId="1D5EFBE3">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vertAlign w:val="baseline"/>
                <w:lang w:val="en-US" w:eastAsia="zh-CN"/>
              </w:rPr>
              <w:t>***</w:t>
            </w:r>
          </w:p>
        </w:tc>
      </w:tr>
      <w:tr w14:paraId="3D05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244F8736">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294" w:type="pct"/>
            <w:vMerge w:val="continue"/>
            <w:tcBorders>
              <w:left w:val="nil"/>
              <w:right w:val="single" w:color="auto" w:sz="8" w:space="0"/>
            </w:tcBorders>
            <w:noWrap w:val="0"/>
            <w:vAlign w:val="center"/>
          </w:tcPr>
          <w:p w14:paraId="42AC76A4">
            <w:pPr>
              <w:pStyle w:val="60"/>
              <w:rPr>
                <w:rFonts w:hint="default" w:ascii="Times New Roman" w:hAnsi="Times New Roman" w:eastAsia="宋体" w:cs="Times New Roman"/>
                <w:color w:val="auto"/>
              </w:rPr>
            </w:pPr>
          </w:p>
        </w:tc>
        <w:tc>
          <w:tcPr>
            <w:tcW w:w="372" w:type="pct"/>
            <w:vMerge w:val="continue"/>
            <w:tcBorders>
              <w:left w:val="nil"/>
              <w:right w:val="single" w:color="auto" w:sz="4" w:space="0"/>
            </w:tcBorders>
            <w:noWrap w:val="0"/>
            <w:vAlign w:val="center"/>
          </w:tcPr>
          <w:p w14:paraId="12BBF13B">
            <w:pPr>
              <w:pStyle w:val="60"/>
              <w:rPr>
                <w:rFonts w:hint="default" w:ascii="Times New Roman" w:hAnsi="Times New Roman" w:eastAsia="宋体" w:cs="Times New Roman"/>
                <w:color w:val="auto"/>
              </w:rPr>
            </w:pPr>
          </w:p>
        </w:tc>
        <w:tc>
          <w:tcPr>
            <w:tcW w:w="674" w:type="pct"/>
            <w:tcBorders>
              <w:top w:val="single" w:color="auto" w:sz="4" w:space="0"/>
              <w:left w:val="nil"/>
              <w:bottom w:val="single" w:color="auto" w:sz="4" w:space="0"/>
              <w:right w:val="single" w:color="auto" w:sz="4" w:space="0"/>
            </w:tcBorders>
            <w:noWrap w:val="0"/>
            <w:vAlign w:val="center"/>
          </w:tcPr>
          <w:p w14:paraId="3D6542B3">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生活污水</w:t>
            </w:r>
          </w:p>
        </w:tc>
        <w:tc>
          <w:tcPr>
            <w:tcW w:w="2843" w:type="pct"/>
            <w:tcBorders>
              <w:top w:val="single" w:color="auto" w:sz="4" w:space="0"/>
              <w:left w:val="nil"/>
              <w:bottom w:val="single" w:color="auto" w:sz="4" w:space="0"/>
              <w:right w:val="single" w:color="auto" w:sz="4" w:space="0"/>
            </w:tcBorders>
            <w:noWrap w:val="0"/>
            <w:vAlign w:val="center"/>
          </w:tcPr>
          <w:p w14:paraId="4F6B78CA">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依托当地的生活污水处理设施处理</w:t>
            </w:r>
          </w:p>
        </w:tc>
        <w:tc>
          <w:tcPr>
            <w:tcW w:w="611" w:type="pct"/>
            <w:tcBorders>
              <w:top w:val="single" w:color="auto" w:sz="4" w:space="0"/>
              <w:left w:val="nil"/>
              <w:bottom w:val="single" w:color="auto" w:sz="4" w:space="0"/>
              <w:right w:val="single" w:color="auto" w:sz="4" w:space="0"/>
            </w:tcBorders>
            <w:noWrap w:val="0"/>
            <w:vAlign w:val="center"/>
          </w:tcPr>
          <w:p w14:paraId="1AF58E5E">
            <w:pPr>
              <w:jc w:val="center"/>
              <w:rPr>
                <w:rFonts w:hint="default" w:ascii="Times New Roman" w:hAnsi="Times New Roman" w:eastAsia="宋体" w:cs="Times New Roman"/>
                <w:color w:val="auto"/>
              </w:rPr>
            </w:pPr>
            <w:r>
              <w:rPr>
                <w:rFonts w:hint="eastAsia" w:ascii="Times New Roman" w:hAnsi="Times New Roman" w:cs="Times New Roman"/>
                <w:color w:val="auto"/>
                <w:vertAlign w:val="baseline"/>
                <w:lang w:val="en-US" w:eastAsia="zh-CN"/>
              </w:rPr>
              <w:t>***</w:t>
            </w:r>
          </w:p>
        </w:tc>
      </w:tr>
      <w:tr w14:paraId="483B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3F94E297">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7</w:t>
            </w:r>
          </w:p>
        </w:tc>
        <w:tc>
          <w:tcPr>
            <w:tcW w:w="294" w:type="pct"/>
            <w:vMerge w:val="continue"/>
            <w:tcBorders>
              <w:left w:val="nil"/>
              <w:right w:val="single" w:color="auto" w:sz="8" w:space="0"/>
            </w:tcBorders>
            <w:noWrap w:val="0"/>
            <w:vAlign w:val="center"/>
          </w:tcPr>
          <w:p w14:paraId="55BCD383">
            <w:pPr>
              <w:pStyle w:val="60"/>
              <w:rPr>
                <w:rFonts w:hint="default" w:ascii="Times New Roman" w:hAnsi="Times New Roman" w:eastAsia="宋体" w:cs="Times New Roman"/>
                <w:color w:val="auto"/>
              </w:rPr>
            </w:pPr>
          </w:p>
        </w:tc>
        <w:tc>
          <w:tcPr>
            <w:tcW w:w="372" w:type="pct"/>
            <w:vMerge w:val="continue"/>
            <w:tcBorders>
              <w:left w:val="nil"/>
              <w:bottom w:val="single" w:color="auto" w:sz="4" w:space="0"/>
              <w:right w:val="single" w:color="auto" w:sz="4" w:space="0"/>
            </w:tcBorders>
            <w:noWrap w:val="0"/>
            <w:vAlign w:val="center"/>
          </w:tcPr>
          <w:p w14:paraId="717383F8">
            <w:pPr>
              <w:pStyle w:val="60"/>
              <w:rPr>
                <w:rFonts w:hint="default" w:ascii="Times New Roman" w:hAnsi="Times New Roman" w:eastAsia="宋体" w:cs="Times New Roman"/>
                <w:color w:val="auto"/>
              </w:rPr>
            </w:pPr>
          </w:p>
        </w:tc>
        <w:tc>
          <w:tcPr>
            <w:tcW w:w="674" w:type="pct"/>
            <w:tcBorders>
              <w:top w:val="single" w:color="auto" w:sz="4" w:space="0"/>
              <w:left w:val="nil"/>
              <w:bottom w:val="single" w:color="auto" w:sz="4" w:space="0"/>
              <w:right w:val="single" w:color="auto" w:sz="4" w:space="0"/>
            </w:tcBorders>
            <w:noWrap w:val="0"/>
            <w:vAlign w:val="center"/>
          </w:tcPr>
          <w:p w14:paraId="3D07F91F">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试压废水</w:t>
            </w:r>
          </w:p>
        </w:tc>
        <w:tc>
          <w:tcPr>
            <w:tcW w:w="2843" w:type="pct"/>
            <w:tcBorders>
              <w:top w:val="single" w:color="auto" w:sz="4" w:space="0"/>
              <w:left w:val="nil"/>
              <w:bottom w:val="single" w:color="auto" w:sz="4" w:space="0"/>
              <w:right w:val="single" w:color="auto" w:sz="4" w:space="0"/>
            </w:tcBorders>
            <w:noWrap w:val="0"/>
            <w:vAlign w:val="center"/>
          </w:tcPr>
          <w:p w14:paraId="6ABFE597">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试压废水沉淀后回用于设备、车辆冲洗和场地洒水降尘</w:t>
            </w:r>
          </w:p>
        </w:tc>
        <w:tc>
          <w:tcPr>
            <w:tcW w:w="611" w:type="pct"/>
            <w:tcBorders>
              <w:top w:val="single" w:color="auto" w:sz="4" w:space="0"/>
              <w:left w:val="nil"/>
              <w:bottom w:val="single" w:color="auto" w:sz="4" w:space="0"/>
              <w:right w:val="single" w:color="auto" w:sz="4" w:space="0"/>
            </w:tcBorders>
            <w:noWrap w:val="0"/>
            <w:vAlign w:val="center"/>
          </w:tcPr>
          <w:p w14:paraId="7B85A03B">
            <w:pPr>
              <w:jc w:val="center"/>
              <w:rPr>
                <w:rFonts w:hint="default" w:ascii="Times New Roman" w:hAnsi="Times New Roman" w:eastAsia="宋体" w:cs="Times New Roman"/>
                <w:color w:val="auto"/>
                <w:lang w:eastAsia="zh-CN"/>
              </w:rPr>
            </w:pPr>
            <w:r>
              <w:rPr>
                <w:rFonts w:hint="eastAsia" w:ascii="Times New Roman" w:hAnsi="Times New Roman" w:cs="Times New Roman"/>
                <w:color w:val="auto"/>
                <w:vertAlign w:val="baseline"/>
                <w:lang w:val="en-US" w:eastAsia="zh-CN"/>
              </w:rPr>
              <w:t>***</w:t>
            </w:r>
          </w:p>
        </w:tc>
      </w:tr>
      <w:tr w14:paraId="664D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684E9578">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8</w:t>
            </w:r>
          </w:p>
        </w:tc>
        <w:tc>
          <w:tcPr>
            <w:tcW w:w="294" w:type="pct"/>
            <w:vMerge w:val="continue"/>
            <w:tcBorders>
              <w:left w:val="nil"/>
              <w:right w:val="single" w:color="auto" w:sz="8" w:space="0"/>
            </w:tcBorders>
            <w:noWrap w:val="0"/>
            <w:vAlign w:val="center"/>
          </w:tcPr>
          <w:p w14:paraId="78128363">
            <w:pPr>
              <w:pStyle w:val="60"/>
              <w:rPr>
                <w:rFonts w:hint="default" w:ascii="Times New Roman" w:hAnsi="Times New Roman" w:eastAsia="宋体" w:cs="Times New Roman"/>
                <w:color w:val="auto"/>
              </w:rPr>
            </w:pPr>
          </w:p>
        </w:tc>
        <w:tc>
          <w:tcPr>
            <w:tcW w:w="372" w:type="pct"/>
            <w:tcBorders>
              <w:top w:val="single" w:color="auto" w:sz="4" w:space="0"/>
              <w:left w:val="nil"/>
              <w:bottom w:val="single" w:color="auto" w:sz="4" w:space="0"/>
              <w:right w:val="single" w:color="auto" w:sz="4" w:space="0"/>
            </w:tcBorders>
            <w:noWrap w:val="0"/>
            <w:vAlign w:val="center"/>
          </w:tcPr>
          <w:p w14:paraId="411BB042">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声环境</w:t>
            </w:r>
          </w:p>
        </w:tc>
        <w:tc>
          <w:tcPr>
            <w:tcW w:w="674" w:type="pct"/>
            <w:tcBorders>
              <w:top w:val="single" w:color="auto" w:sz="4" w:space="0"/>
              <w:left w:val="nil"/>
              <w:bottom w:val="single" w:color="auto" w:sz="4" w:space="0"/>
              <w:right w:val="single" w:color="auto" w:sz="4" w:space="0"/>
            </w:tcBorders>
            <w:noWrap w:val="0"/>
            <w:vAlign w:val="center"/>
          </w:tcPr>
          <w:p w14:paraId="3FED7732">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施工机械噪声</w:t>
            </w:r>
          </w:p>
        </w:tc>
        <w:tc>
          <w:tcPr>
            <w:tcW w:w="2843" w:type="pct"/>
            <w:tcBorders>
              <w:top w:val="single" w:color="auto" w:sz="4" w:space="0"/>
              <w:left w:val="nil"/>
              <w:bottom w:val="single" w:color="auto" w:sz="4" w:space="0"/>
              <w:right w:val="single" w:color="auto" w:sz="4" w:space="0"/>
            </w:tcBorders>
            <w:noWrap w:val="0"/>
            <w:vAlign w:val="center"/>
          </w:tcPr>
          <w:p w14:paraId="1DA0B1C9">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选择低噪声设备；合理安排施工时间、避免夜间施工；内部场地合理布置施工机械和设备</w:t>
            </w:r>
          </w:p>
        </w:tc>
        <w:tc>
          <w:tcPr>
            <w:tcW w:w="611" w:type="pct"/>
            <w:tcBorders>
              <w:top w:val="single" w:color="auto" w:sz="4" w:space="0"/>
              <w:left w:val="nil"/>
              <w:bottom w:val="single" w:color="auto" w:sz="4" w:space="0"/>
              <w:right w:val="single" w:color="auto" w:sz="4" w:space="0"/>
            </w:tcBorders>
            <w:noWrap w:val="0"/>
            <w:vAlign w:val="center"/>
          </w:tcPr>
          <w:p w14:paraId="04AD90A3">
            <w:pPr>
              <w:jc w:val="center"/>
              <w:rPr>
                <w:rFonts w:hint="default" w:ascii="Times New Roman" w:hAnsi="Times New Roman" w:eastAsia="宋体" w:cs="Times New Roman"/>
                <w:color w:val="auto"/>
              </w:rPr>
            </w:pPr>
            <w:r>
              <w:rPr>
                <w:rFonts w:hint="eastAsia" w:ascii="Times New Roman" w:hAnsi="Times New Roman" w:cs="Times New Roman"/>
                <w:color w:val="auto"/>
                <w:vertAlign w:val="baseline"/>
                <w:lang w:val="en-US" w:eastAsia="zh-CN"/>
              </w:rPr>
              <w:t>***</w:t>
            </w:r>
          </w:p>
        </w:tc>
      </w:tr>
      <w:tr w14:paraId="1CDF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8" w:space="0"/>
              <w:right w:val="single" w:color="auto" w:sz="4" w:space="0"/>
            </w:tcBorders>
            <w:noWrap w:val="0"/>
            <w:vAlign w:val="center"/>
          </w:tcPr>
          <w:p w14:paraId="2567516B">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9</w:t>
            </w:r>
          </w:p>
        </w:tc>
        <w:tc>
          <w:tcPr>
            <w:tcW w:w="294" w:type="pct"/>
            <w:vMerge w:val="continue"/>
            <w:tcBorders>
              <w:left w:val="nil"/>
              <w:right w:val="single" w:color="auto" w:sz="8" w:space="0"/>
            </w:tcBorders>
            <w:noWrap w:val="0"/>
            <w:vAlign w:val="center"/>
          </w:tcPr>
          <w:p w14:paraId="1E0C7CBD">
            <w:pPr>
              <w:pStyle w:val="60"/>
              <w:rPr>
                <w:rFonts w:hint="default" w:ascii="Times New Roman" w:hAnsi="Times New Roman" w:eastAsia="宋体" w:cs="Times New Roman"/>
                <w:color w:val="auto"/>
              </w:rPr>
            </w:pPr>
          </w:p>
        </w:tc>
        <w:tc>
          <w:tcPr>
            <w:tcW w:w="372" w:type="pct"/>
            <w:vMerge w:val="restart"/>
            <w:tcBorders>
              <w:top w:val="single" w:color="auto" w:sz="8" w:space="0"/>
              <w:left w:val="nil"/>
              <w:bottom w:val="single" w:color="auto" w:sz="4" w:space="0"/>
              <w:right w:val="single" w:color="auto" w:sz="4" w:space="0"/>
            </w:tcBorders>
            <w:noWrap w:val="0"/>
            <w:vAlign w:val="center"/>
          </w:tcPr>
          <w:p w14:paraId="601A36A0">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固体废物</w:t>
            </w:r>
          </w:p>
        </w:tc>
        <w:tc>
          <w:tcPr>
            <w:tcW w:w="674" w:type="pct"/>
            <w:tcBorders>
              <w:top w:val="single" w:color="auto" w:sz="8" w:space="0"/>
              <w:left w:val="nil"/>
              <w:bottom w:val="single" w:color="auto" w:sz="4" w:space="0"/>
              <w:right w:val="single" w:color="auto" w:sz="4" w:space="0"/>
            </w:tcBorders>
            <w:noWrap w:val="0"/>
            <w:vAlign w:val="center"/>
          </w:tcPr>
          <w:p w14:paraId="28B4BFC4">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2843" w:type="pct"/>
            <w:tcBorders>
              <w:top w:val="single" w:color="auto" w:sz="4" w:space="0"/>
              <w:left w:val="nil"/>
              <w:bottom w:val="single" w:color="auto" w:sz="4" w:space="0"/>
              <w:right w:val="single" w:color="auto" w:sz="4" w:space="0"/>
            </w:tcBorders>
            <w:noWrap w:val="0"/>
            <w:vAlign w:val="center"/>
          </w:tcPr>
          <w:p w14:paraId="32993C70">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依托当地现有设施收集后交环卫部门处理</w:t>
            </w:r>
          </w:p>
        </w:tc>
        <w:tc>
          <w:tcPr>
            <w:tcW w:w="611" w:type="pct"/>
            <w:tcBorders>
              <w:top w:val="single" w:color="auto" w:sz="4" w:space="0"/>
              <w:left w:val="nil"/>
              <w:bottom w:val="single" w:color="auto" w:sz="4" w:space="0"/>
              <w:right w:val="single" w:color="auto" w:sz="4" w:space="0"/>
            </w:tcBorders>
            <w:noWrap w:val="0"/>
            <w:vAlign w:val="center"/>
          </w:tcPr>
          <w:p w14:paraId="20D419EA">
            <w:pPr>
              <w:jc w:val="center"/>
              <w:rPr>
                <w:rFonts w:hint="default" w:ascii="Times New Roman" w:hAnsi="Times New Roman" w:eastAsia="宋体" w:cs="Times New Roman"/>
                <w:color w:val="auto"/>
              </w:rPr>
            </w:pPr>
            <w:r>
              <w:rPr>
                <w:rFonts w:hint="eastAsia" w:ascii="Times New Roman" w:hAnsi="Times New Roman" w:cs="Times New Roman"/>
                <w:color w:val="auto"/>
                <w:vertAlign w:val="baseline"/>
                <w:lang w:val="en-US" w:eastAsia="zh-CN"/>
              </w:rPr>
              <w:t>***</w:t>
            </w:r>
          </w:p>
        </w:tc>
      </w:tr>
      <w:tr w14:paraId="3382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8" w:space="0"/>
              <w:left w:val="single" w:color="auto" w:sz="4" w:space="0"/>
              <w:bottom w:val="single" w:color="auto" w:sz="8" w:space="0"/>
              <w:right w:val="single" w:color="auto" w:sz="4" w:space="0"/>
            </w:tcBorders>
            <w:noWrap w:val="0"/>
            <w:vAlign w:val="center"/>
          </w:tcPr>
          <w:p w14:paraId="637C237E">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10</w:t>
            </w:r>
          </w:p>
        </w:tc>
        <w:tc>
          <w:tcPr>
            <w:tcW w:w="294" w:type="pct"/>
            <w:vMerge w:val="continue"/>
            <w:tcBorders>
              <w:left w:val="nil"/>
              <w:right w:val="single" w:color="auto" w:sz="8" w:space="0"/>
            </w:tcBorders>
            <w:noWrap w:val="0"/>
            <w:vAlign w:val="center"/>
          </w:tcPr>
          <w:p w14:paraId="2B98292A">
            <w:pPr>
              <w:pStyle w:val="60"/>
              <w:rPr>
                <w:rFonts w:hint="default" w:ascii="Times New Roman" w:hAnsi="Times New Roman" w:eastAsia="宋体" w:cs="Times New Roman"/>
                <w:color w:val="auto"/>
              </w:rPr>
            </w:pPr>
          </w:p>
        </w:tc>
        <w:tc>
          <w:tcPr>
            <w:tcW w:w="372" w:type="pct"/>
            <w:vMerge w:val="continue"/>
            <w:tcBorders>
              <w:top w:val="single" w:color="auto" w:sz="8" w:space="0"/>
              <w:left w:val="nil"/>
              <w:bottom w:val="single" w:color="auto" w:sz="4" w:space="0"/>
              <w:right w:val="single" w:color="auto" w:sz="4" w:space="0"/>
            </w:tcBorders>
            <w:noWrap w:val="0"/>
            <w:vAlign w:val="center"/>
          </w:tcPr>
          <w:p w14:paraId="0FC142A5">
            <w:pPr>
              <w:pStyle w:val="60"/>
              <w:rPr>
                <w:rFonts w:hint="default" w:ascii="Times New Roman" w:hAnsi="Times New Roman" w:eastAsia="宋体" w:cs="Times New Roman"/>
                <w:color w:val="auto"/>
              </w:rPr>
            </w:pPr>
          </w:p>
        </w:tc>
        <w:tc>
          <w:tcPr>
            <w:tcW w:w="674" w:type="pct"/>
            <w:tcBorders>
              <w:top w:val="single" w:color="auto" w:sz="8" w:space="0"/>
              <w:left w:val="nil"/>
              <w:bottom w:val="single" w:color="auto" w:sz="4" w:space="0"/>
              <w:right w:val="single" w:color="auto" w:sz="4" w:space="0"/>
            </w:tcBorders>
            <w:noWrap w:val="0"/>
            <w:vAlign w:val="center"/>
          </w:tcPr>
          <w:p w14:paraId="0316C164">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施工废料</w:t>
            </w:r>
          </w:p>
        </w:tc>
        <w:tc>
          <w:tcPr>
            <w:tcW w:w="2843" w:type="pct"/>
            <w:tcBorders>
              <w:top w:val="single" w:color="auto" w:sz="4" w:space="0"/>
              <w:left w:val="nil"/>
              <w:bottom w:val="single" w:color="auto" w:sz="4" w:space="0"/>
              <w:right w:val="single" w:color="auto" w:sz="4" w:space="0"/>
            </w:tcBorders>
            <w:noWrap w:val="0"/>
            <w:vAlign w:val="center"/>
          </w:tcPr>
          <w:p w14:paraId="6398EB66">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可回收施工废料外售废品回收站回收处置，不可回收施工废料收集后送当地环卫部门统一处置</w:t>
            </w:r>
          </w:p>
        </w:tc>
        <w:tc>
          <w:tcPr>
            <w:tcW w:w="611" w:type="pct"/>
            <w:tcBorders>
              <w:top w:val="single" w:color="auto" w:sz="4" w:space="0"/>
              <w:left w:val="nil"/>
              <w:bottom w:val="single" w:color="auto" w:sz="4" w:space="0"/>
              <w:right w:val="single" w:color="auto" w:sz="4" w:space="0"/>
            </w:tcBorders>
            <w:noWrap w:val="0"/>
            <w:vAlign w:val="center"/>
          </w:tcPr>
          <w:p w14:paraId="19C32ACE">
            <w:pPr>
              <w:jc w:val="center"/>
              <w:rPr>
                <w:rFonts w:hint="default" w:ascii="Times New Roman" w:hAnsi="Times New Roman" w:eastAsia="宋体" w:cs="Times New Roman"/>
                <w:color w:val="auto"/>
              </w:rPr>
            </w:pPr>
            <w:r>
              <w:rPr>
                <w:rFonts w:hint="eastAsia" w:ascii="Times New Roman" w:hAnsi="Times New Roman" w:cs="Times New Roman"/>
                <w:color w:val="auto"/>
                <w:vertAlign w:val="baseline"/>
                <w:lang w:val="en-US" w:eastAsia="zh-CN"/>
              </w:rPr>
              <w:t>***</w:t>
            </w:r>
          </w:p>
        </w:tc>
      </w:tr>
      <w:tr w14:paraId="5EF1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0311FDE4">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11</w:t>
            </w:r>
          </w:p>
        </w:tc>
        <w:tc>
          <w:tcPr>
            <w:tcW w:w="294" w:type="pct"/>
            <w:vMerge w:val="continue"/>
            <w:tcBorders>
              <w:left w:val="nil"/>
              <w:right w:val="single" w:color="auto" w:sz="8" w:space="0"/>
            </w:tcBorders>
            <w:noWrap w:val="0"/>
            <w:vAlign w:val="center"/>
          </w:tcPr>
          <w:p w14:paraId="3CA1C125">
            <w:pPr>
              <w:pStyle w:val="60"/>
              <w:rPr>
                <w:rFonts w:hint="default" w:ascii="Times New Roman" w:hAnsi="Times New Roman" w:eastAsia="宋体" w:cs="Times New Roman"/>
                <w:color w:val="auto"/>
              </w:rPr>
            </w:pPr>
          </w:p>
        </w:tc>
        <w:tc>
          <w:tcPr>
            <w:tcW w:w="372" w:type="pct"/>
            <w:vMerge w:val="restart"/>
            <w:tcBorders>
              <w:top w:val="single" w:color="auto" w:sz="8" w:space="0"/>
              <w:left w:val="nil"/>
              <w:right w:val="single" w:color="auto" w:sz="4" w:space="0"/>
            </w:tcBorders>
            <w:noWrap w:val="0"/>
            <w:vAlign w:val="center"/>
          </w:tcPr>
          <w:p w14:paraId="7935DD59">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生态环境</w:t>
            </w:r>
          </w:p>
        </w:tc>
        <w:tc>
          <w:tcPr>
            <w:tcW w:w="674" w:type="pct"/>
            <w:tcBorders>
              <w:top w:val="single" w:color="auto" w:sz="4" w:space="0"/>
              <w:left w:val="nil"/>
              <w:bottom w:val="single" w:color="auto" w:sz="4" w:space="0"/>
              <w:right w:val="single" w:color="auto" w:sz="4" w:space="0"/>
            </w:tcBorders>
            <w:noWrap w:val="0"/>
            <w:vAlign w:val="center"/>
          </w:tcPr>
          <w:p w14:paraId="085856FF">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防护及</w:t>
            </w:r>
            <w:r>
              <w:rPr>
                <w:rFonts w:hint="default" w:ascii="Times New Roman" w:hAnsi="Times New Roman" w:eastAsia="宋体" w:cs="Times New Roman"/>
                <w:color w:val="auto"/>
              </w:rPr>
              <w:t>水土流失</w:t>
            </w:r>
            <w:r>
              <w:rPr>
                <w:rFonts w:hint="default" w:ascii="Times New Roman" w:hAnsi="Times New Roman" w:eastAsia="宋体" w:cs="Times New Roman"/>
                <w:color w:val="auto"/>
                <w:lang w:val="en-US" w:eastAsia="zh-CN"/>
              </w:rPr>
              <w:t>措施</w:t>
            </w:r>
          </w:p>
        </w:tc>
        <w:tc>
          <w:tcPr>
            <w:tcW w:w="2843" w:type="pct"/>
            <w:tcBorders>
              <w:top w:val="single" w:color="auto" w:sz="4" w:space="0"/>
              <w:left w:val="nil"/>
              <w:bottom w:val="single" w:color="auto" w:sz="4" w:space="0"/>
              <w:right w:val="single" w:color="auto" w:sz="4" w:space="0"/>
            </w:tcBorders>
            <w:noWrap w:val="0"/>
            <w:vAlign w:val="center"/>
          </w:tcPr>
          <w:p w14:paraId="49D9A0E6">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采取合理安排施工工序，严格划定管道施工作业带范围，不得随意扩大施工作业带，对管道沿线进行土地复耕及恢复植被等措施；加强施工人员的野生动</w:t>
            </w:r>
            <w:r>
              <w:rPr>
                <w:rFonts w:hint="default" w:ascii="Times New Roman" w:hAnsi="Times New Roman" w:eastAsia="宋体" w:cs="Times New Roman"/>
                <w:color w:val="auto"/>
                <w:lang w:val="en-US" w:eastAsia="zh-CN"/>
              </w:rPr>
              <w:t>植</w:t>
            </w:r>
            <w:r>
              <w:rPr>
                <w:rFonts w:hint="default" w:ascii="Times New Roman" w:hAnsi="Times New Roman" w:eastAsia="宋体" w:cs="Times New Roman"/>
                <w:color w:val="auto"/>
              </w:rPr>
              <w:t>物保护和生态环境的保护意识教育</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施工作业带表土剥离、</w:t>
            </w:r>
            <w:r>
              <w:rPr>
                <w:rFonts w:hint="default" w:ascii="Times New Roman" w:hAnsi="Times New Roman" w:eastAsia="宋体" w:cs="Times New Roman"/>
                <w:color w:val="auto"/>
                <w:lang w:val="en-US" w:eastAsia="zh-CN"/>
              </w:rPr>
              <w:t>堆放、</w:t>
            </w:r>
            <w:r>
              <w:rPr>
                <w:rFonts w:hint="default" w:ascii="Times New Roman" w:hAnsi="Times New Roman" w:eastAsia="宋体" w:cs="Times New Roman"/>
                <w:color w:val="auto"/>
              </w:rPr>
              <w:t>回填等作业区采用彩条布进行临时覆盖</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临时占地的生态恢复等</w:t>
            </w:r>
          </w:p>
        </w:tc>
        <w:tc>
          <w:tcPr>
            <w:tcW w:w="611" w:type="pct"/>
            <w:tcBorders>
              <w:top w:val="single" w:color="auto" w:sz="4" w:space="0"/>
              <w:left w:val="nil"/>
              <w:bottom w:val="single" w:color="auto" w:sz="4" w:space="0"/>
              <w:right w:val="single" w:color="auto" w:sz="4" w:space="0"/>
            </w:tcBorders>
            <w:noWrap w:val="0"/>
            <w:vAlign w:val="center"/>
          </w:tcPr>
          <w:p w14:paraId="1CB6B931">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vertAlign w:val="baseline"/>
                <w:lang w:val="en-US" w:eastAsia="zh-CN"/>
              </w:rPr>
              <w:t>***</w:t>
            </w:r>
          </w:p>
        </w:tc>
      </w:tr>
      <w:tr w14:paraId="1829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3CB0E75B">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294" w:type="pct"/>
            <w:vMerge w:val="continue"/>
            <w:tcBorders>
              <w:left w:val="nil"/>
              <w:right w:val="single" w:color="auto" w:sz="8" w:space="0"/>
            </w:tcBorders>
            <w:noWrap w:val="0"/>
            <w:vAlign w:val="center"/>
          </w:tcPr>
          <w:p w14:paraId="7E499513">
            <w:pPr>
              <w:pStyle w:val="60"/>
              <w:rPr>
                <w:rFonts w:hint="default" w:ascii="Times New Roman" w:hAnsi="Times New Roman" w:eastAsia="宋体" w:cs="Times New Roman"/>
                <w:color w:val="auto"/>
              </w:rPr>
            </w:pPr>
          </w:p>
        </w:tc>
        <w:tc>
          <w:tcPr>
            <w:tcW w:w="372" w:type="pct"/>
            <w:vMerge w:val="continue"/>
            <w:tcBorders>
              <w:left w:val="nil"/>
              <w:right w:val="single" w:color="auto" w:sz="4" w:space="0"/>
            </w:tcBorders>
            <w:noWrap w:val="0"/>
            <w:vAlign w:val="center"/>
          </w:tcPr>
          <w:p w14:paraId="601ED594">
            <w:pPr>
              <w:pStyle w:val="60"/>
              <w:rPr>
                <w:rFonts w:hint="default" w:ascii="Times New Roman" w:hAnsi="Times New Roman" w:eastAsia="宋体" w:cs="Times New Roman"/>
                <w:color w:val="auto"/>
              </w:rPr>
            </w:pPr>
          </w:p>
        </w:tc>
        <w:tc>
          <w:tcPr>
            <w:tcW w:w="674" w:type="pct"/>
            <w:tcBorders>
              <w:top w:val="single" w:color="auto" w:sz="4" w:space="0"/>
              <w:left w:val="nil"/>
              <w:bottom w:val="single" w:color="auto" w:sz="4" w:space="0"/>
              <w:right w:val="single" w:color="auto" w:sz="4" w:space="0"/>
            </w:tcBorders>
            <w:noWrap w:val="0"/>
            <w:vAlign w:val="center"/>
          </w:tcPr>
          <w:p w14:paraId="580FC241">
            <w:pPr>
              <w:pStyle w:val="6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损失补偿</w:t>
            </w:r>
          </w:p>
        </w:tc>
        <w:tc>
          <w:tcPr>
            <w:tcW w:w="2843" w:type="pct"/>
            <w:tcBorders>
              <w:top w:val="single" w:color="auto" w:sz="4" w:space="0"/>
              <w:left w:val="single" w:color="auto" w:sz="4" w:space="0"/>
              <w:bottom w:val="single" w:color="auto" w:sz="4" w:space="0"/>
              <w:right w:val="single" w:color="auto" w:sz="4" w:space="0"/>
            </w:tcBorders>
            <w:noWrap w:val="0"/>
            <w:vAlign w:val="center"/>
          </w:tcPr>
          <w:p w14:paraId="058E3DE8">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农业损失补偿</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林地补偿费</w:t>
            </w:r>
          </w:p>
        </w:tc>
        <w:tc>
          <w:tcPr>
            <w:tcW w:w="611" w:type="pct"/>
            <w:tcBorders>
              <w:top w:val="single" w:color="auto" w:sz="4" w:space="0"/>
              <w:left w:val="nil"/>
              <w:bottom w:val="single" w:color="auto" w:sz="4" w:space="0"/>
              <w:right w:val="single" w:color="auto" w:sz="4" w:space="0"/>
            </w:tcBorders>
            <w:noWrap w:val="0"/>
            <w:vAlign w:val="center"/>
          </w:tcPr>
          <w:p w14:paraId="4FB2697E">
            <w:pPr>
              <w:jc w:val="center"/>
              <w:rPr>
                <w:rFonts w:hint="default" w:ascii="Times New Roman" w:hAnsi="Times New Roman" w:eastAsia="宋体" w:cs="Times New Roman"/>
                <w:color w:val="auto"/>
              </w:rPr>
            </w:pPr>
            <w:r>
              <w:rPr>
                <w:rFonts w:hint="eastAsia" w:ascii="Times New Roman" w:hAnsi="Times New Roman" w:cs="Times New Roman"/>
                <w:color w:val="auto"/>
                <w:vertAlign w:val="baseline"/>
                <w:lang w:val="en-US" w:eastAsia="zh-CN"/>
              </w:rPr>
              <w:t>***</w:t>
            </w:r>
          </w:p>
        </w:tc>
      </w:tr>
      <w:tr w14:paraId="6FB0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3D6F794F">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w:t>
            </w:r>
          </w:p>
        </w:tc>
        <w:tc>
          <w:tcPr>
            <w:tcW w:w="294" w:type="pct"/>
            <w:vMerge w:val="restart"/>
            <w:tcBorders>
              <w:left w:val="nil"/>
              <w:right w:val="single" w:color="auto" w:sz="8" w:space="0"/>
            </w:tcBorders>
            <w:noWrap w:val="0"/>
            <w:vAlign w:val="center"/>
          </w:tcPr>
          <w:p w14:paraId="574DE719">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运营期</w:t>
            </w:r>
          </w:p>
        </w:tc>
        <w:tc>
          <w:tcPr>
            <w:tcW w:w="372" w:type="pct"/>
            <w:tcBorders>
              <w:left w:val="nil"/>
              <w:right w:val="single" w:color="auto" w:sz="4" w:space="0"/>
            </w:tcBorders>
            <w:noWrap w:val="0"/>
            <w:vAlign w:val="center"/>
          </w:tcPr>
          <w:p w14:paraId="3F3C885B">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生态环境</w:t>
            </w:r>
          </w:p>
        </w:tc>
        <w:tc>
          <w:tcPr>
            <w:tcW w:w="674" w:type="pct"/>
            <w:tcBorders>
              <w:top w:val="single" w:color="auto" w:sz="4" w:space="0"/>
              <w:left w:val="nil"/>
              <w:bottom w:val="single" w:color="auto" w:sz="4" w:space="0"/>
              <w:right w:val="single" w:color="auto" w:sz="4" w:space="0"/>
            </w:tcBorders>
            <w:noWrap w:val="0"/>
            <w:vAlign w:val="center"/>
          </w:tcPr>
          <w:p w14:paraId="22E5A913">
            <w:pPr>
              <w:pStyle w:val="60"/>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lang w:val="en-US" w:eastAsia="zh-CN"/>
              </w:rPr>
              <w:t>植被恢复等</w:t>
            </w:r>
          </w:p>
        </w:tc>
        <w:tc>
          <w:tcPr>
            <w:tcW w:w="2843" w:type="pct"/>
            <w:tcBorders>
              <w:top w:val="single" w:color="auto" w:sz="4" w:space="0"/>
              <w:left w:val="single" w:color="auto" w:sz="4" w:space="0"/>
              <w:bottom w:val="single" w:color="auto" w:sz="4" w:space="0"/>
              <w:right w:val="single" w:color="auto" w:sz="4" w:space="0"/>
            </w:tcBorders>
            <w:noWrap w:val="0"/>
            <w:vAlign w:val="center"/>
          </w:tcPr>
          <w:p w14:paraId="15EE3132">
            <w:pPr>
              <w:pStyle w:val="60"/>
              <w:jc w:val="both"/>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rPr>
              <w:t>加强对临时占地区域的植被恢复工程的保护，发现植被恢复受阻，要进行植被的补植补种</w:t>
            </w:r>
            <w:r>
              <w:rPr>
                <w:rFonts w:hint="default" w:ascii="Times New Roman" w:hAnsi="Times New Roman" w:eastAsia="宋体" w:cs="Times New Roman"/>
                <w:color w:val="auto"/>
                <w:lang w:val="en-US" w:eastAsia="zh-CN"/>
              </w:rPr>
              <w:t>等</w:t>
            </w:r>
          </w:p>
        </w:tc>
        <w:tc>
          <w:tcPr>
            <w:tcW w:w="611" w:type="pct"/>
            <w:tcBorders>
              <w:top w:val="single" w:color="auto" w:sz="4" w:space="0"/>
              <w:left w:val="nil"/>
              <w:bottom w:val="single" w:color="auto" w:sz="4" w:space="0"/>
              <w:right w:val="single" w:color="auto" w:sz="4" w:space="0"/>
            </w:tcBorders>
            <w:noWrap w:val="0"/>
            <w:vAlign w:val="center"/>
          </w:tcPr>
          <w:p w14:paraId="10AC84BD">
            <w:pPr>
              <w:jc w:val="center"/>
              <w:rPr>
                <w:rFonts w:hint="default" w:ascii="Times New Roman" w:hAnsi="Times New Roman" w:eastAsia="宋体" w:cs="Times New Roman"/>
                <w:color w:val="auto"/>
                <w:sz w:val="22"/>
                <w:szCs w:val="22"/>
                <w:lang w:val="en-US" w:eastAsia="zh-CN" w:bidi="ar-SA"/>
              </w:rPr>
            </w:pPr>
            <w:r>
              <w:rPr>
                <w:rFonts w:hint="eastAsia" w:ascii="Times New Roman" w:hAnsi="Times New Roman" w:cs="Times New Roman"/>
                <w:color w:val="auto"/>
                <w:vertAlign w:val="baseline"/>
                <w:lang w:val="en-US" w:eastAsia="zh-CN"/>
              </w:rPr>
              <w:t>***</w:t>
            </w:r>
          </w:p>
        </w:tc>
      </w:tr>
      <w:tr w14:paraId="7CE9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vMerge w:val="restart"/>
            <w:tcBorders>
              <w:top w:val="single" w:color="auto" w:sz="4" w:space="0"/>
              <w:left w:val="single" w:color="auto" w:sz="4" w:space="0"/>
              <w:right w:val="single" w:color="auto" w:sz="4" w:space="0"/>
            </w:tcBorders>
            <w:noWrap w:val="0"/>
            <w:vAlign w:val="center"/>
          </w:tcPr>
          <w:p w14:paraId="326CC48B">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w:t>
            </w:r>
          </w:p>
        </w:tc>
        <w:tc>
          <w:tcPr>
            <w:tcW w:w="294" w:type="pct"/>
            <w:vMerge w:val="continue"/>
            <w:tcBorders>
              <w:left w:val="nil"/>
              <w:right w:val="single" w:color="auto" w:sz="8" w:space="0"/>
            </w:tcBorders>
            <w:noWrap w:val="0"/>
            <w:vAlign w:val="center"/>
          </w:tcPr>
          <w:p w14:paraId="650BD371">
            <w:pPr>
              <w:pStyle w:val="60"/>
              <w:rPr>
                <w:rFonts w:hint="default" w:ascii="Times New Roman" w:hAnsi="Times New Roman" w:eastAsia="宋体" w:cs="Times New Roman"/>
                <w:color w:val="auto"/>
              </w:rPr>
            </w:pPr>
          </w:p>
        </w:tc>
        <w:tc>
          <w:tcPr>
            <w:tcW w:w="372" w:type="pct"/>
            <w:vMerge w:val="restart"/>
            <w:tcBorders>
              <w:left w:val="nil"/>
              <w:right w:val="single" w:color="auto" w:sz="4" w:space="0"/>
            </w:tcBorders>
            <w:noWrap w:val="0"/>
            <w:vAlign w:val="center"/>
          </w:tcPr>
          <w:p w14:paraId="43FCE987">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环境风险</w:t>
            </w:r>
          </w:p>
        </w:tc>
        <w:tc>
          <w:tcPr>
            <w:tcW w:w="674" w:type="pct"/>
            <w:tcBorders>
              <w:top w:val="single" w:color="auto" w:sz="4" w:space="0"/>
              <w:left w:val="nil"/>
              <w:bottom w:val="single" w:color="auto" w:sz="4" w:space="0"/>
              <w:right w:val="single" w:color="auto" w:sz="4" w:space="0"/>
            </w:tcBorders>
            <w:noWrap w:val="0"/>
            <w:vAlign w:val="center"/>
          </w:tcPr>
          <w:p w14:paraId="52DEA14A">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风险防范措施</w:t>
            </w:r>
          </w:p>
        </w:tc>
        <w:tc>
          <w:tcPr>
            <w:tcW w:w="2843" w:type="pct"/>
            <w:tcBorders>
              <w:top w:val="single" w:color="auto" w:sz="4" w:space="0"/>
              <w:left w:val="single" w:color="auto" w:sz="4" w:space="0"/>
              <w:bottom w:val="single" w:color="auto" w:sz="4" w:space="0"/>
              <w:right w:val="single" w:color="auto" w:sz="4" w:space="0"/>
            </w:tcBorders>
            <w:noWrap w:val="0"/>
            <w:vAlign w:val="center"/>
          </w:tcPr>
          <w:p w14:paraId="02DB6830">
            <w:pPr>
              <w:pStyle w:val="60"/>
              <w:jc w:val="both"/>
              <w:rPr>
                <w:rFonts w:hint="default" w:ascii="Times New Roman" w:hAnsi="Times New Roman" w:eastAsia="宋体" w:cs="Times New Roman"/>
                <w:color w:val="auto"/>
              </w:rPr>
            </w:pPr>
            <w:r>
              <w:rPr>
                <w:rFonts w:hint="default" w:ascii="Times New Roman" w:hAnsi="Times New Roman" w:eastAsia="宋体" w:cs="Times New Roman"/>
                <w:color w:val="auto"/>
              </w:rPr>
              <w:t>管道沿线设置三桩、警示牌及警示带</w:t>
            </w:r>
          </w:p>
        </w:tc>
        <w:tc>
          <w:tcPr>
            <w:tcW w:w="611" w:type="pct"/>
            <w:tcBorders>
              <w:top w:val="single" w:color="auto" w:sz="4" w:space="0"/>
              <w:left w:val="nil"/>
              <w:bottom w:val="single" w:color="auto" w:sz="4" w:space="0"/>
              <w:right w:val="single" w:color="auto" w:sz="4" w:space="0"/>
            </w:tcBorders>
            <w:noWrap w:val="0"/>
            <w:vAlign w:val="center"/>
          </w:tcPr>
          <w:p w14:paraId="1B1E6AFA">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vertAlign w:val="baseline"/>
                <w:lang w:val="en-US" w:eastAsia="zh-CN"/>
              </w:rPr>
              <w:t>***</w:t>
            </w:r>
          </w:p>
        </w:tc>
      </w:tr>
      <w:tr w14:paraId="399A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vMerge w:val="continue"/>
            <w:tcBorders>
              <w:left w:val="single" w:color="auto" w:sz="4" w:space="0"/>
              <w:bottom w:val="single" w:color="auto" w:sz="4" w:space="0"/>
              <w:right w:val="single" w:color="auto" w:sz="4" w:space="0"/>
            </w:tcBorders>
            <w:noWrap w:val="0"/>
            <w:vAlign w:val="center"/>
          </w:tcPr>
          <w:p w14:paraId="53F0055A">
            <w:pPr>
              <w:pStyle w:val="60"/>
              <w:rPr>
                <w:rFonts w:hint="default" w:ascii="Times New Roman" w:hAnsi="Times New Roman" w:eastAsia="宋体" w:cs="Times New Roman"/>
                <w:color w:val="auto"/>
                <w:lang w:val="en-US" w:eastAsia="zh-CN"/>
              </w:rPr>
            </w:pPr>
          </w:p>
        </w:tc>
        <w:tc>
          <w:tcPr>
            <w:tcW w:w="294" w:type="pct"/>
            <w:vMerge w:val="continue"/>
            <w:tcBorders>
              <w:left w:val="nil"/>
              <w:right w:val="single" w:color="auto" w:sz="8" w:space="0"/>
            </w:tcBorders>
            <w:noWrap w:val="0"/>
            <w:vAlign w:val="center"/>
          </w:tcPr>
          <w:p w14:paraId="30B84987">
            <w:pPr>
              <w:pStyle w:val="60"/>
              <w:rPr>
                <w:rFonts w:hint="default" w:ascii="Times New Roman" w:hAnsi="Times New Roman" w:eastAsia="宋体" w:cs="Times New Roman"/>
                <w:color w:val="auto"/>
              </w:rPr>
            </w:pPr>
          </w:p>
        </w:tc>
        <w:tc>
          <w:tcPr>
            <w:tcW w:w="372" w:type="pct"/>
            <w:vMerge w:val="continue"/>
            <w:tcBorders>
              <w:left w:val="nil"/>
              <w:right w:val="single" w:color="auto" w:sz="4" w:space="0"/>
            </w:tcBorders>
            <w:noWrap w:val="0"/>
            <w:vAlign w:val="center"/>
          </w:tcPr>
          <w:p w14:paraId="7ABDA642">
            <w:pPr>
              <w:pStyle w:val="60"/>
              <w:rPr>
                <w:rFonts w:hint="default" w:ascii="Times New Roman" w:hAnsi="Times New Roman" w:eastAsia="宋体" w:cs="Times New Roman"/>
                <w:color w:val="auto"/>
                <w:lang w:val="en-US" w:eastAsia="zh-CN"/>
              </w:rPr>
            </w:pPr>
          </w:p>
        </w:tc>
        <w:tc>
          <w:tcPr>
            <w:tcW w:w="674" w:type="pct"/>
            <w:tcBorders>
              <w:top w:val="single" w:color="auto" w:sz="4" w:space="0"/>
              <w:left w:val="nil"/>
              <w:bottom w:val="single" w:color="auto" w:sz="4" w:space="0"/>
              <w:right w:val="single" w:color="auto" w:sz="4" w:space="0"/>
            </w:tcBorders>
            <w:noWrap w:val="0"/>
            <w:vAlign w:val="center"/>
          </w:tcPr>
          <w:p w14:paraId="5EB47B9F">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应急预案</w:t>
            </w:r>
          </w:p>
        </w:tc>
        <w:tc>
          <w:tcPr>
            <w:tcW w:w="2843" w:type="pct"/>
            <w:tcBorders>
              <w:top w:val="single" w:color="auto" w:sz="4" w:space="0"/>
              <w:left w:val="single" w:color="auto" w:sz="4" w:space="0"/>
              <w:bottom w:val="single" w:color="auto" w:sz="4" w:space="0"/>
              <w:right w:val="single" w:color="auto" w:sz="4" w:space="0"/>
            </w:tcBorders>
            <w:noWrap w:val="0"/>
            <w:vAlign w:val="center"/>
          </w:tcPr>
          <w:p w14:paraId="6899A3B1">
            <w:pPr>
              <w:pStyle w:val="6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完善</w:t>
            </w:r>
            <w:r>
              <w:rPr>
                <w:rFonts w:hint="default" w:ascii="Times New Roman" w:hAnsi="Times New Roman" w:eastAsia="宋体" w:cs="Times New Roman"/>
                <w:color w:val="auto"/>
              </w:rPr>
              <w:t>环境风险应急预案</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定期安排人员巡线检查，对管道沿线的居民做好突发环境污染事故应急宣传</w:t>
            </w:r>
          </w:p>
        </w:tc>
        <w:tc>
          <w:tcPr>
            <w:tcW w:w="611" w:type="pct"/>
            <w:tcBorders>
              <w:top w:val="single" w:color="auto" w:sz="4" w:space="0"/>
              <w:left w:val="nil"/>
              <w:bottom w:val="single" w:color="auto" w:sz="4" w:space="0"/>
              <w:right w:val="single" w:color="auto" w:sz="4" w:space="0"/>
            </w:tcBorders>
            <w:noWrap w:val="0"/>
            <w:vAlign w:val="center"/>
          </w:tcPr>
          <w:p w14:paraId="082BBC59">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vertAlign w:val="baseline"/>
                <w:lang w:val="en-US" w:eastAsia="zh-CN"/>
              </w:rPr>
              <w:t>***</w:t>
            </w:r>
          </w:p>
        </w:tc>
      </w:tr>
      <w:tr w14:paraId="2B71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204" w:type="pct"/>
            <w:tcBorders>
              <w:top w:val="single" w:color="auto" w:sz="4" w:space="0"/>
              <w:left w:val="single" w:color="auto" w:sz="4" w:space="0"/>
              <w:bottom w:val="single" w:color="auto" w:sz="4" w:space="0"/>
              <w:right w:val="single" w:color="auto" w:sz="4" w:space="0"/>
            </w:tcBorders>
            <w:noWrap w:val="0"/>
            <w:vAlign w:val="center"/>
          </w:tcPr>
          <w:p w14:paraId="6CBFF868">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c>
          <w:tcPr>
            <w:tcW w:w="1341" w:type="pct"/>
            <w:gridSpan w:val="3"/>
            <w:tcBorders>
              <w:left w:val="nil"/>
              <w:right w:val="single" w:color="auto" w:sz="4" w:space="0"/>
            </w:tcBorders>
            <w:noWrap w:val="0"/>
            <w:vAlign w:val="center"/>
          </w:tcPr>
          <w:p w14:paraId="45DA72CE">
            <w:pPr>
              <w:pStyle w:val="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其他</w:t>
            </w:r>
          </w:p>
        </w:tc>
        <w:tc>
          <w:tcPr>
            <w:tcW w:w="2843" w:type="pct"/>
            <w:tcBorders>
              <w:top w:val="single" w:color="auto" w:sz="4" w:space="0"/>
              <w:left w:val="single" w:color="auto" w:sz="4" w:space="0"/>
              <w:bottom w:val="single" w:color="auto" w:sz="4" w:space="0"/>
              <w:right w:val="single" w:color="auto" w:sz="4" w:space="0"/>
            </w:tcBorders>
            <w:noWrap w:val="0"/>
            <w:vAlign w:val="center"/>
          </w:tcPr>
          <w:p w14:paraId="4D617C8E">
            <w:pPr>
              <w:pStyle w:val="6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环境保护设计、咨询、验收费用及环境监测管理等</w:t>
            </w:r>
          </w:p>
        </w:tc>
        <w:tc>
          <w:tcPr>
            <w:tcW w:w="611" w:type="pct"/>
            <w:tcBorders>
              <w:top w:val="single" w:color="auto" w:sz="4" w:space="0"/>
              <w:left w:val="nil"/>
              <w:bottom w:val="single" w:color="auto" w:sz="4" w:space="0"/>
              <w:right w:val="single" w:color="auto" w:sz="4" w:space="0"/>
            </w:tcBorders>
            <w:noWrap w:val="0"/>
            <w:vAlign w:val="center"/>
          </w:tcPr>
          <w:p w14:paraId="3126DD08">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vertAlign w:val="baseline"/>
                <w:lang w:val="en-US" w:eastAsia="zh-CN"/>
              </w:rPr>
              <w:t>***</w:t>
            </w:r>
          </w:p>
        </w:tc>
      </w:tr>
      <w:tr w14:paraId="5993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0" w:type="dxa"/>
            <w:right w:w="28" w:type="dxa"/>
          </w:tblCellMar>
        </w:tblPrEx>
        <w:trPr>
          <w:trHeight w:val="340" w:hRule="atLeast"/>
          <w:jc w:val="center"/>
        </w:trPr>
        <w:tc>
          <w:tcPr>
            <w:tcW w:w="4388" w:type="pct"/>
            <w:gridSpan w:val="5"/>
            <w:tcBorders>
              <w:top w:val="single" w:color="auto" w:sz="4" w:space="0"/>
              <w:left w:val="single" w:color="auto" w:sz="4" w:space="0"/>
              <w:bottom w:val="single" w:color="auto" w:sz="4" w:space="0"/>
              <w:right w:val="single" w:color="auto" w:sz="4" w:space="0"/>
            </w:tcBorders>
            <w:noWrap w:val="0"/>
            <w:vAlign w:val="center"/>
          </w:tcPr>
          <w:p w14:paraId="76B07AF8">
            <w:pPr>
              <w:pStyle w:val="60"/>
              <w:rPr>
                <w:rFonts w:hint="default" w:ascii="Times New Roman" w:hAnsi="Times New Roman" w:eastAsia="宋体" w:cs="Times New Roman"/>
                <w:color w:val="auto"/>
              </w:rPr>
            </w:pPr>
            <w:r>
              <w:rPr>
                <w:rFonts w:hint="default" w:ascii="Times New Roman" w:hAnsi="Times New Roman" w:eastAsia="宋体" w:cs="Times New Roman"/>
                <w:color w:val="auto"/>
              </w:rPr>
              <w:t>小计</w:t>
            </w:r>
          </w:p>
        </w:tc>
        <w:tc>
          <w:tcPr>
            <w:tcW w:w="611" w:type="pct"/>
            <w:tcBorders>
              <w:top w:val="single" w:color="auto" w:sz="4" w:space="0"/>
              <w:left w:val="nil"/>
              <w:bottom w:val="single" w:color="auto" w:sz="4" w:space="0"/>
              <w:right w:val="single" w:color="auto" w:sz="4" w:space="0"/>
            </w:tcBorders>
            <w:noWrap w:val="0"/>
            <w:vAlign w:val="center"/>
          </w:tcPr>
          <w:p w14:paraId="7968522C">
            <w:pPr>
              <w:pStyle w:val="6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vertAlign w:val="baseline"/>
                <w:lang w:val="en-US" w:eastAsia="zh-CN"/>
              </w:rPr>
              <w:t>***</w:t>
            </w:r>
          </w:p>
        </w:tc>
      </w:tr>
    </w:tbl>
    <w:p w14:paraId="53B30526">
      <w:pPr>
        <w:pStyle w:val="56"/>
        <w:rPr>
          <w:rFonts w:hint="default" w:ascii="Times New Roman" w:hAnsi="Times New Roman" w:eastAsia="宋体" w:cs="Times New Roman"/>
          <w:color w:val="auto"/>
        </w:rPr>
      </w:pPr>
      <w:bookmarkStart w:id="408" w:name="_Toc25532"/>
      <w:bookmarkStart w:id="409" w:name="_Toc60144429"/>
      <w:bookmarkStart w:id="410" w:name="_Toc45551113"/>
    </w:p>
    <w:p w14:paraId="4CCD6BB5">
      <w:pPr>
        <w:pStyle w:val="56"/>
        <w:rPr>
          <w:rFonts w:hint="default" w:ascii="Times New Roman" w:hAnsi="Times New Roman" w:eastAsia="宋体" w:cs="Times New Roman"/>
          <w:color w:val="auto"/>
        </w:rPr>
      </w:pPr>
    </w:p>
    <w:p w14:paraId="19EFA276">
      <w:pPr>
        <w:adjustRightInd w:val="0"/>
        <w:snapToGrid w:val="0"/>
        <w:spacing w:after="120" w:afterLines="50"/>
        <w:jc w:val="center"/>
        <w:outlineLvl w:val="0"/>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br w:type="page"/>
      </w:r>
      <w:bookmarkEnd w:id="408"/>
      <w:bookmarkEnd w:id="409"/>
      <w:bookmarkEnd w:id="410"/>
      <w:bookmarkStart w:id="411" w:name="_Toc45551116"/>
      <w:bookmarkStart w:id="412" w:name="_Toc60144432"/>
      <w:bookmarkStart w:id="413" w:name="_Toc21625"/>
      <w:bookmarkStart w:id="414" w:name="_Toc8642"/>
      <w:r>
        <w:rPr>
          <w:rFonts w:hint="default" w:ascii="Times New Roman" w:hAnsi="Times New Roman" w:eastAsia="宋体" w:cs="Times New Roman"/>
          <w:b/>
          <w:color w:val="auto"/>
          <w:sz w:val="32"/>
          <w:szCs w:val="32"/>
        </w:rPr>
        <w:t>9环境管理</w:t>
      </w:r>
      <w:bookmarkEnd w:id="411"/>
      <w:bookmarkEnd w:id="412"/>
      <w:bookmarkEnd w:id="413"/>
      <w:r>
        <w:rPr>
          <w:rFonts w:hint="default" w:ascii="Times New Roman" w:hAnsi="Times New Roman" w:eastAsia="宋体" w:cs="Times New Roman"/>
          <w:b/>
          <w:color w:val="auto"/>
          <w:sz w:val="32"/>
          <w:szCs w:val="32"/>
        </w:rPr>
        <w:t>与监测计划</w:t>
      </w:r>
      <w:bookmarkEnd w:id="414"/>
    </w:p>
    <w:p w14:paraId="4AE0F780">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本章将根据工程在施工期和运营期的环境污染特征，提出施工期和运营期的环境管理的具体内容。</w:t>
      </w:r>
    </w:p>
    <w:p w14:paraId="259B804A">
      <w:pPr>
        <w:spacing w:line="460" w:lineRule="exact"/>
        <w:ind w:firstLine="522" w:firstLineChars="200"/>
        <w:outlineLvl w:val="1"/>
        <w:rPr>
          <w:rFonts w:hint="default" w:ascii="Times New Roman" w:hAnsi="Times New Roman" w:eastAsia="宋体" w:cs="Times New Roman"/>
          <w:b/>
          <w:bCs/>
          <w:color w:val="auto"/>
          <w:sz w:val="26"/>
          <w:szCs w:val="26"/>
        </w:rPr>
      </w:pPr>
      <w:bookmarkStart w:id="415" w:name="_Toc60144433"/>
      <w:bookmarkStart w:id="416" w:name="_Toc22395"/>
      <w:bookmarkStart w:id="417" w:name="_Toc6665"/>
      <w:bookmarkStart w:id="418" w:name="_Toc45551117"/>
      <w:r>
        <w:rPr>
          <w:rFonts w:hint="default" w:ascii="Times New Roman" w:hAnsi="Times New Roman" w:eastAsia="宋体" w:cs="Times New Roman"/>
          <w:b/>
          <w:bCs/>
          <w:color w:val="auto"/>
          <w:sz w:val="26"/>
          <w:szCs w:val="26"/>
        </w:rPr>
        <w:t>9.1 环境保护机构</w:t>
      </w:r>
      <w:bookmarkEnd w:id="415"/>
      <w:bookmarkEnd w:id="416"/>
      <w:bookmarkEnd w:id="417"/>
      <w:bookmarkEnd w:id="418"/>
    </w:p>
    <w:p w14:paraId="3D2CB9B7">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本项目建成后由重庆气矿江北采输气作业区管理，</w:t>
      </w:r>
      <w:r>
        <w:rPr>
          <w:rFonts w:hint="default" w:ascii="Times New Roman" w:hAnsi="Times New Roman" w:eastAsia="宋体" w:cs="Times New Roman"/>
          <w:color w:val="auto"/>
          <w:sz w:val="26"/>
          <w:szCs w:val="26"/>
          <w:lang w:val="en-US" w:eastAsia="zh-CN"/>
        </w:rPr>
        <w:t>该管理单位</w:t>
      </w:r>
      <w:r>
        <w:rPr>
          <w:rFonts w:hint="default" w:ascii="Times New Roman" w:hAnsi="Times New Roman" w:eastAsia="宋体" w:cs="Times New Roman"/>
          <w:color w:val="auto"/>
          <w:sz w:val="26"/>
          <w:szCs w:val="26"/>
          <w:shd w:val="clear" w:fill="FFFFFF"/>
        </w:rPr>
        <w:t>建立有</w:t>
      </w:r>
      <w:r>
        <w:rPr>
          <w:rFonts w:hint="default" w:ascii="Times New Roman" w:hAnsi="Times New Roman" w:eastAsia="宋体" w:cs="Times New Roman"/>
          <w:color w:val="auto"/>
          <w:sz w:val="26"/>
          <w:szCs w:val="26"/>
        </w:rPr>
        <w:t>完善的HSE管理体系，有专人负责监督和管理工程施工期与运营期的环境保护措施的制定、落实及环境工程的施工监督、检查与验收，负责事故防范和环境保护管理。</w:t>
      </w:r>
    </w:p>
    <w:p w14:paraId="351E9B85">
      <w:pPr>
        <w:spacing w:line="460" w:lineRule="exact"/>
        <w:ind w:firstLine="522" w:firstLineChars="200"/>
        <w:outlineLvl w:val="1"/>
        <w:rPr>
          <w:rFonts w:hint="default" w:ascii="Times New Roman" w:hAnsi="Times New Roman" w:eastAsia="宋体" w:cs="Times New Roman"/>
          <w:b/>
          <w:color w:val="auto"/>
          <w:sz w:val="26"/>
          <w:szCs w:val="26"/>
        </w:rPr>
      </w:pPr>
      <w:bookmarkStart w:id="419" w:name="_Toc13454"/>
      <w:bookmarkStart w:id="420" w:name="_Toc15335"/>
      <w:bookmarkStart w:id="421" w:name="_Toc60144434"/>
      <w:bookmarkStart w:id="422" w:name="_Toc45551118"/>
      <w:r>
        <w:rPr>
          <w:rFonts w:hint="default" w:ascii="Times New Roman" w:hAnsi="Times New Roman" w:eastAsia="宋体" w:cs="Times New Roman"/>
          <w:b/>
          <w:bCs/>
          <w:color w:val="auto"/>
          <w:sz w:val="26"/>
          <w:szCs w:val="26"/>
        </w:rPr>
        <w:t>9.2 HSE</w:t>
      </w:r>
      <w:r>
        <w:rPr>
          <w:rFonts w:hint="default" w:ascii="Times New Roman" w:hAnsi="Times New Roman" w:eastAsia="宋体" w:cs="Times New Roman"/>
          <w:b/>
          <w:color w:val="auto"/>
          <w:sz w:val="26"/>
          <w:szCs w:val="26"/>
        </w:rPr>
        <w:t>管理体系</w:t>
      </w:r>
      <w:bookmarkEnd w:id="419"/>
      <w:bookmarkEnd w:id="420"/>
      <w:bookmarkEnd w:id="421"/>
      <w:bookmarkEnd w:id="422"/>
    </w:p>
    <w:p w14:paraId="20CA1D5C">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HSE管理体系是国际石油石化企业通用的一种管理模式，具有系统化、科学化、规模化的特点，被国外大石油公司广泛采用。本工程应建立施工期和运营期的HSE 管理程序框架和运行方案，对生产管理人员和施工人员、操作人员进行HSE 培训</w:t>
      </w:r>
      <w:r>
        <w:rPr>
          <w:rFonts w:hint="default" w:ascii="Times New Roman" w:hAnsi="Times New Roman" w:eastAsia="宋体" w:cs="Times New Roman"/>
          <w:color w:val="auto"/>
          <w:sz w:val="26"/>
          <w:szCs w:val="26"/>
          <w:shd w:val="clear" w:fill="FFFFFF"/>
        </w:rPr>
        <w:t>，将</w:t>
      </w:r>
      <w:r>
        <w:rPr>
          <w:rFonts w:hint="default" w:ascii="Times New Roman" w:hAnsi="Times New Roman" w:eastAsia="宋体" w:cs="Times New Roman"/>
          <w:color w:val="auto"/>
          <w:sz w:val="26"/>
          <w:szCs w:val="26"/>
        </w:rPr>
        <w:t>使各种施工作业活动中施工人员的健康、安全得到保证，对环境的破坏和影响降低</w:t>
      </w:r>
      <w:r>
        <w:rPr>
          <w:rFonts w:hint="default" w:ascii="Times New Roman" w:hAnsi="Times New Roman" w:eastAsia="宋体" w:cs="Times New Roman"/>
          <w:color w:val="auto"/>
          <w:sz w:val="26"/>
          <w:szCs w:val="26"/>
          <w:shd w:val="clear" w:fill="FFFFFF"/>
        </w:rPr>
        <w:t>到最小程度</w:t>
      </w:r>
      <w:r>
        <w:rPr>
          <w:rFonts w:hint="default" w:ascii="Times New Roman" w:hAnsi="Times New Roman" w:eastAsia="宋体" w:cs="Times New Roman"/>
          <w:color w:val="auto"/>
          <w:sz w:val="26"/>
          <w:szCs w:val="26"/>
        </w:rPr>
        <w:t>。</w:t>
      </w:r>
    </w:p>
    <w:p w14:paraId="2680A6AB">
      <w:pPr>
        <w:spacing w:line="460" w:lineRule="exact"/>
        <w:ind w:firstLine="522" w:firstLineChars="200"/>
        <w:outlineLvl w:val="1"/>
        <w:rPr>
          <w:rFonts w:hint="default" w:ascii="Times New Roman" w:hAnsi="Times New Roman" w:eastAsia="宋体" w:cs="Times New Roman"/>
          <w:b/>
          <w:bCs/>
          <w:color w:val="auto"/>
          <w:sz w:val="26"/>
          <w:szCs w:val="26"/>
        </w:rPr>
      </w:pPr>
      <w:bookmarkStart w:id="423" w:name="_Toc45551119"/>
      <w:bookmarkStart w:id="424" w:name="_Toc10363"/>
      <w:bookmarkStart w:id="425" w:name="_Toc32484"/>
      <w:bookmarkStart w:id="426" w:name="_Toc60144435"/>
      <w:r>
        <w:rPr>
          <w:rFonts w:hint="default" w:ascii="Times New Roman" w:hAnsi="Times New Roman" w:eastAsia="宋体" w:cs="Times New Roman"/>
          <w:b/>
          <w:bCs/>
          <w:color w:val="auto"/>
          <w:sz w:val="26"/>
          <w:szCs w:val="26"/>
        </w:rPr>
        <w:t>9.3本项目HSE管理体系</w:t>
      </w:r>
      <w:bookmarkEnd w:id="423"/>
      <w:bookmarkEnd w:id="424"/>
      <w:bookmarkEnd w:id="425"/>
      <w:bookmarkEnd w:id="426"/>
    </w:p>
    <w:p w14:paraId="49F86917">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结合本项目实际，建设单位应建立HSE管理体系，包括员工健康管理、交通安全管理、IIF（无事故无伤害）培训、应急管理、承包商安全管理、事故调查与分析、环境监督与控制等。</w:t>
      </w:r>
    </w:p>
    <w:p w14:paraId="34570723">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在项目的建设和运营期间，所有雇用的承包商都应该采用HSE 管理体系，对项目执行过程中员工健康、安全及环境进行有效管理，并接受本项目HSE 管理体系，参与无事故无伤害（IIF）和优良作业（OE）的定期培训，达到相应的审计要求。</w:t>
      </w:r>
    </w:p>
    <w:p w14:paraId="2699B754">
      <w:pPr>
        <w:spacing w:line="460" w:lineRule="exact"/>
        <w:ind w:firstLine="522" w:firstLineChars="200"/>
        <w:outlineLvl w:val="1"/>
        <w:rPr>
          <w:rFonts w:hint="default" w:ascii="Times New Roman" w:hAnsi="Times New Roman" w:eastAsia="宋体" w:cs="Times New Roman"/>
          <w:b/>
          <w:bCs/>
          <w:color w:val="auto"/>
          <w:sz w:val="26"/>
          <w:szCs w:val="26"/>
        </w:rPr>
      </w:pPr>
      <w:bookmarkStart w:id="427" w:name="_Toc9821"/>
      <w:bookmarkStart w:id="428" w:name="_Toc45551120"/>
      <w:bookmarkStart w:id="429" w:name="_Toc60144436"/>
      <w:bookmarkStart w:id="430" w:name="_Toc11945"/>
      <w:r>
        <w:rPr>
          <w:rFonts w:hint="default" w:ascii="Times New Roman" w:hAnsi="Times New Roman" w:eastAsia="宋体" w:cs="Times New Roman"/>
          <w:b/>
          <w:bCs/>
          <w:color w:val="auto"/>
          <w:sz w:val="26"/>
          <w:szCs w:val="26"/>
        </w:rPr>
        <w:t>9.4 HSE 管理要求</w:t>
      </w:r>
      <w:bookmarkEnd w:id="427"/>
      <w:bookmarkEnd w:id="428"/>
      <w:bookmarkEnd w:id="429"/>
      <w:bookmarkEnd w:id="430"/>
    </w:p>
    <w:p w14:paraId="57DEEA12">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建设单位必须在现有的HSE 管理体系及环境监控制度下，对建设项目进行HSE 全面管理，保证工程在建设和运营过程中的各项工作都受到有效的环境管理和环境监控。</w:t>
      </w:r>
    </w:p>
    <w:p w14:paraId="0B708C30">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本项目施工活动大多在野外，为最大限度地减少野外施工对自然生态环境和农业生态环境的破坏，建设单位必须制定严格的HSE 管理体制，并加强HSE 宣传，严格执行各项管理措施，实施各作业环节的HSE 审计。</w:t>
      </w:r>
    </w:p>
    <w:p w14:paraId="75471D67">
      <w:pPr>
        <w:spacing w:line="460" w:lineRule="exact"/>
        <w:ind w:firstLine="522" w:firstLineChars="200"/>
        <w:outlineLvl w:val="2"/>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9.4.1承包商管理</w:t>
      </w:r>
    </w:p>
    <w:p w14:paraId="27481E4C">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在施工承包合同中，应该包括有关环境保护条款，如生态保护措施，水土保持措施，施工设备排放的废气、噪声控制措施和环境保护目标，环境监测和监控措施，环保专项资金的落实等。建设单位在与承包商签订经济合同的同时，应与承包商签订《HSE 管理合同》，明确建设单位与承包商的HSE 管理权利、责任和义务。</w:t>
      </w:r>
    </w:p>
    <w:p w14:paraId="6158DBE6">
      <w:pPr>
        <w:spacing w:line="460" w:lineRule="exact"/>
        <w:ind w:firstLine="522" w:firstLineChars="200"/>
        <w:outlineLvl w:val="2"/>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9.4.2建立有效的HSE 管理和应急管理机构</w:t>
      </w:r>
    </w:p>
    <w:p w14:paraId="33E054C4">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建设方应设专人负责施工作业HSE 的贯彻执行，主要职责在于监督承包商履行承包合同，监督施工作业进程，制定施工作业的环境保护规定。在实施HSE 管理中，建设单位应注意以下几个方面的措施：</w:t>
      </w:r>
    </w:p>
    <w:p w14:paraId="63C67F66">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（1）根据施工作业合同中有关环保要求和</w:t>
      </w:r>
      <w:r>
        <w:rPr>
          <w:rFonts w:hint="default" w:ascii="Times New Roman" w:hAnsi="Times New Roman" w:eastAsia="宋体" w:cs="Times New Roman"/>
          <w:color w:val="auto"/>
          <w:sz w:val="26"/>
          <w:szCs w:val="26"/>
          <w:shd w:val="clear" w:fill="FFFFFF"/>
        </w:rPr>
        <w:t>各</w:t>
      </w:r>
      <w:r>
        <w:rPr>
          <w:rFonts w:hint="default" w:ascii="Times New Roman" w:hAnsi="Times New Roman" w:eastAsia="宋体" w:cs="Times New Roman"/>
          <w:color w:val="auto"/>
          <w:sz w:val="26"/>
          <w:szCs w:val="26"/>
        </w:rPr>
        <w:t>作业特点，分别制定各项环保措施。如在施工线路的踏勘与清理中，要求在保证安全和顺利施工的情况下，尽量限制作业带的宽度，减少对土地的征用及植被的人为破坏，禁止猎杀野生动物；挖掘出的土石方堆放要选择合适场所，不能堵塞自然排水沟，并修筑必要的</w:t>
      </w:r>
      <w:r>
        <w:rPr>
          <w:rFonts w:hint="default" w:ascii="Times New Roman" w:hAnsi="Times New Roman" w:eastAsia="宋体" w:cs="Times New Roman"/>
          <w:color w:val="auto"/>
          <w:sz w:val="26"/>
          <w:szCs w:val="26"/>
          <w:shd w:val="clear" w:fill="FFFFFF"/>
        </w:rPr>
        <w:t>挡拦</w:t>
      </w:r>
      <w:r>
        <w:rPr>
          <w:rFonts w:hint="default" w:ascii="Times New Roman" w:hAnsi="Times New Roman" w:eastAsia="宋体" w:cs="Times New Roman"/>
          <w:color w:val="auto"/>
          <w:sz w:val="26"/>
          <w:szCs w:val="26"/>
        </w:rPr>
        <w:t>设施以防止水土流失；在车辆运输中，要事先确定路线，防止车辆油料及物料装运的泄漏等。</w:t>
      </w:r>
    </w:p>
    <w:p w14:paraId="1427C427">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（2）运营</w:t>
      </w:r>
      <w:r>
        <w:rPr>
          <w:rFonts w:hint="default" w:ascii="Times New Roman" w:hAnsi="Times New Roman" w:eastAsia="宋体" w:cs="Times New Roman"/>
          <w:color w:val="auto"/>
          <w:sz w:val="26"/>
          <w:szCs w:val="26"/>
          <w:shd w:val="clear" w:fill="FFFFFF"/>
        </w:rPr>
        <w:t>期</w:t>
      </w:r>
      <w:r>
        <w:rPr>
          <w:rFonts w:hint="default" w:ascii="Times New Roman" w:hAnsi="Times New Roman" w:eastAsia="宋体" w:cs="Times New Roman"/>
          <w:color w:val="auto"/>
          <w:sz w:val="26"/>
          <w:szCs w:val="26"/>
        </w:rPr>
        <w:t>的环保设施运转管理和节水措施。</w:t>
      </w:r>
    </w:p>
    <w:p w14:paraId="71469225">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（3）管线巡查和植被恢复情况监控。</w:t>
      </w:r>
    </w:p>
    <w:p w14:paraId="76BE31F2">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（4）监督实施相应作业生产活动的环境监测。</w:t>
      </w:r>
    </w:p>
    <w:p w14:paraId="77DC9A52">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（5）实施施工作业人员、企业员工的环保培训，加强环保意识。</w:t>
      </w:r>
    </w:p>
    <w:p w14:paraId="70BA2499">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（6）制定事故应急处理预案，实施应急方案演练。</w:t>
      </w:r>
    </w:p>
    <w:p w14:paraId="65D21E0C">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（7）实行清洁生产管理，不断完善清洁生产措施。</w:t>
      </w:r>
    </w:p>
    <w:p w14:paraId="77C2483B">
      <w:pPr>
        <w:spacing w:line="460" w:lineRule="exact"/>
        <w:ind w:firstLine="522" w:firstLineChars="200"/>
        <w:outlineLvl w:val="2"/>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9.4.3环保管理要求</w:t>
      </w:r>
    </w:p>
    <w:p w14:paraId="106A191E">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（1）施工期</w:t>
      </w:r>
    </w:p>
    <w:p w14:paraId="6DF0271E">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施工前必须制定恢复计划，主要包括：植被恢复、补偿，耕地复耕，野生动植物的保护，水土保持等，并对施工作业区生态恢复情况进行调查等。</w:t>
      </w:r>
    </w:p>
    <w:p w14:paraId="5087A5D0">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施工过程中的环境管理方案应包括以下措施：减少施工扬尘、粉尘、施工机械及车辆废气排放等大气污染防治措施；</w:t>
      </w:r>
      <w:r>
        <w:rPr>
          <w:rFonts w:hint="default" w:ascii="Times New Roman" w:hAnsi="Times New Roman" w:eastAsia="宋体" w:cs="Times New Roman"/>
          <w:color w:val="auto"/>
          <w:sz w:val="26"/>
          <w:szCs w:val="26"/>
          <w:lang w:val="en-US" w:eastAsia="zh-CN"/>
        </w:rPr>
        <w:t>合理规划施工时间、</w:t>
      </w:r>
      <w:r>
        <w:rPr>
          <w:rFonts w:hint="default" w:ascii="Times New Roman" w:hAnsi="Times New Roman" w:eastAsia="宋体" w:cs="Times New Roman"/>
          <w:color w:val="auto"/>
          <w:sz w:val="26"/>
          <w:szCs w:val="26"/>
        </w:rPr>
        <w:t>降低施工机械及车辆噪声、施工噪声等防治噪声污染的措施；妥善处理试压废水、生活污水，防止污染地表水环境的措施；施工废渣、生活垃圾等处理处置措施；限定施工活动范围、减少施工作业对土壤和植被的扰动和破坏、保护动植物等生态保护措施等。施工过程中应经常对施工单位及施工状况进行监督核查，保证制定环保规划的实施和对潜在问题的预防，评估环境保护计划实施的效果。</w:t>
      </w:r>
    </w:p>
    <w:p w14:paraId="7207C90E">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（2）运营期</w:t>
      </w:r>
    </w:p>
    <w:p w14:paraId="0E3F88BC">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运营期环境管理的主要内容是：①定期进行环保安全检查和召开有关会议；②对领导和职工特别是兼职环保人员进行环保安全方面的培训； ③制订完备的岗位责任制，明确规定各类人员的职责，有关环保职责及安全、事故预防措施应纳入岗位责任制中；④制定各种可能发生事故的应急计划，定期进行演练；配备各种必要的维护、抢修器材和设备，保证在发生事故时能及时到位；⑤主管环保的人员应参加生产调度和管理工作会议，针对生产运行中存在的环境污染问题，向主管领导和生产部门提出建议和技术处理措施。运营期应对环保设施运转管理、节水措施、环境监测、环保措施的实施效果等进行全过程监督。</w:t>
      </w:r>
    </w:p>
    <w:p w14:paraId="6C5686D0">
      <w:pPr>
        <w:spacing w:line="460" w:lineRule="exact"/>
        <w:ind w:firstLine="522" w:firstLineChars="200"/>
        <w:outlineLvl w:val="1"/>
        <w:rPr>
          <w:rFonts w:hint="default" w:ascii="Times New Roman" w:hAnsi="Times New Roman" w:eastAsia="宋体" w:cs="Times New Roman"/>
          <w:b/>
          <w:bCs/>
          <w:color w:val="auto"/>
          <w:sz w:val="26"/>
          <w:szCs w:val="26"/>
        </w:rPr>
      </w:pPr>
      <w:bookmarkStart w:id="431" w:name="_Toc24564"/>
      <w:bookmarkStart w:id="432" w:name="_Toc45551122"/>
      <w:r>
        <w:rPr>
          <w:rFonts w:hint="default" w:ascii="Times New Roman" w:hAnsi="Times New Roman" w:eastAsia="宋体" w:cs="Times New Roman"/>
          <w:b/>
          <w:bCs/>
          <w:color w:val="auto"/>
          <w:sz w:val="26"/>
          <w:szCs w:val="26"/>
        </w:rPr>
        <w:t>9.5 监测计划</w:t>
      </w:r>
      <w:bookmarkEnd w:id="431"/>
    </w:p>
    <w:p w14:paraId="22C31B5F">
      <w:pPr>
        <w:spacing w:line="46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本项目为天然气管道</w:t>
      </w:r>
      <w:r>
        <w:rPr>
          <w:rFonts w:hint="default" w:ascii="Times New Roman" w:hAnsi="Times New Roman" w:eastAsia="宋体" w:cs="Times New Roman"/>
          <w:color w:val="auto"/>
          <w:sz w:val="26"/>
          <w:szCs w:val="26"/>
          <w:lang w:val="en-US" w:eastAsia="zh-CN"/>
        </w:rPr>
        <w:t>改建</w:t>
      </w:r>
      <w:r>
        <w:rPr>
          <w:rFonts w:hint="default" w:ascii="Times New Roman" w:hAnsi="Times New Roman" w:eastAsia="宋体" w:cs="Times New Roman"/>
          <w:color w:val="auto"/>
          <w:sz w:val="26"/>
          <w:szCs w:val="26"/>
        </w:rPr>
        <w:t>工程，当项目管线发生泄漏时应立刻开展相关监测工作，主要监测因子为甲烷。具体监测计划，详见表9.5-1。</w:t>
      </w:r>
    </w:p>
    <w:p w14:paraId="65CF3628">
      <w:pPr>
        <w:pStyle w:val="85"/>
        <w:rPr>
          <w:rFonts w:hint="default" w:ascii="Times New Roman" w:hAnsi="Times New Roman" w:eastAsia="宋体" w:cs="Times New Roman"/>
          <w:color w:val="auto"/>
        </w:rPr>
      </w:pPr>
      <w:r>
        <w:rPr>
          <w:rFonts w:hint="default" w:ascii="Times New Roman" w:hAnsi="Times New Roman" w:eastAsia="宋体" w:cs="Times New Roman"/>
          <w:color w:val="auto"/>
        </w:rPr>
        <w:t>表9.5-1 环境监测计划</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1789"/>
        <w:gridCol w:w="1789"/>
        <w:gridCol w:w="1789"/>
        <w:gridCol w:w="1791"/>
      </w:tblGrid>
      <w:tr w14:paraId="7B03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noWrap w:val="0"/>
            <w:vAlign w:val="center"/>
          </w:tcPr>
          <w:p w14:paraId="0F91CBD9">
            <w:pPr>
              <w:pStyle w:val="87"/>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监测项目</w:t>
            </w:r>
          </w:p>
        </w:tc>
        <w:tc>
          <w:tcPr>
            <w:tcW w:w="999" w:type="pct"/>
            <w:noWrap w:val="0"/>
            <w:vAlign w:val="center"/>
          </w:tcPr>
          <w:p w14:paraId="6898D23D">
            <w:pPr>
              <w:pStyle w:val="87"/>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监测指标</w:t>
            </w:r>
          </w:p>
        </w:tc>
        <w:tc>
          <w:tcPr>
            <w:tcW w:w="999" w:type="pct"/>
            <w:noWrap w:val="0"/>
            <w:vAlign w:val="center"/>
          </w:tcPr>
          <w:p w14:paraId="182F5FBB">
            <w:pPr>
              <w:pStyle w:val="87"/>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监测位置</w:t>
            </w:r>
          </w:p>
        </w:tc>
        <w:tc>
          <w:tcPr>
            <w:tcW w:w="999" w:type="pct"/>
            <w:noWrap w:val="0"/>
            <w:vAlign w:val="center"/>
          </w:tcPr>
          <w:p w14:paraId="1F19824A">
            <w:pPr>
              <w:pStyle w:val="87"/>
              <w:jc w:val="center"/>
              <w:rPr>
                <w:rFonts w:hint="default" w:ascii="Times New Roman" w:hAnsi="Times New Roman" w:eastAsia="宋体" w:cs="Times New Roman"/>
                <w:color w:val="auto"/>
              </w:rPr>
            </w:pPr>
            <w:r>
              <w:rPr>
                <w:rFonts w:hint="default" w:ascii="Times New Roman" w:hAnsi="Times New Roman" w:eastAsia="宋体" w:cs="Times New Roman"/>
                <w:color w:val="auto"/>
              </w:rPr>
              <w:t>工作方式</w:t>
            </w:r>
          </w:p>
        </w:tc>
        <w:tc>
          <w:tcPr>
            <w:tcW w:w="1000" w:type="pct"/>
            <w:noWrap w:val="0"/>
            <w:vAlign w:val="center"/>
          </w:tcPr>
          <w:p w14:paraId="688848DB">
            <w:pPr>
              <w:pStyle w:val="87"/>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监测频率</w:t>
            </w:r>
          </w:p>
        </w:tc>
      </w:tr>
      <w:tr w14:paraId="33EC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noWrap w:val="0"/>
            <w:vAlign w:val="center"/>
          </w:tcPr>
          <w:p w14:paraId="0A1F0144">
            <w:pPr>
              <w:pStyle w:val="87"/>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事故性监测</w:t>
            </w:r>
          </w:p>
        </w:tc>
        <w:tc>
          <w:tcPr>
            <w:tcW w:w="999" w:type="pct"/>
            <w:noWrap w:val="0"/>
            <w:vAlign w:val="center"/>
          </w:tcPr>
          <w:p w14:paraId="53026E84">
            <w:pPr>
              <w:pStyle w:val="87"/>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甲烷</w:t>
            </w:r>
          </w:p>
        </w:tc>
        <w:tc>
          <w:tcPr>
            <w:tcW w:w="999" w:type="pct"/>
            <w:noWrap w:val="0"/>
            <w:vAlign w:val="center"/>
          </w:tcPr>
          <w:p w14:paraId="3D490D55">
            <w:pPr>
              <w:pStyle w:val="87"/>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事故发生地点</w:t>
            </w:r>
          </w:p>
        </w:tc>
        <w:tc>
          <w:tcPr>
            <w:tcW w:w="999" w:type="pct"/>
            <w:noWrap w:val="0"/>
            <w:vAlign w:val="center"/>
          </w:tcPr>
          <w:p w14:paraId="0CF4EF5E">
            <w:pPr>
              <w:pStyle w:val="87"/>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现场监测</w:t>
            </w:r>
          </w:p>
        </w:tc>
        <w:tc>
          <w:tcPr>
            <w:tcW w:w="1000" w:type="pct"/>
            <w:noWrap w:val="0"/>
            <w:vAlign w:val="center"/>
          </w:tcPr>
          <w:p w14:paraId="2379C825">
            <w:pPr>
              <w:pStyle w:val="87"/>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事故时</w:t>
            </w:r>
          </w:p>
        </w:tc>
      </w:tr>
    </w:tbl>
    <w:p w14:paraId="776D1771">
      <w:pPr>
        <w:pStyle w:val="87"/>
        <w:rPr>
          <w:rFonts w:hint="default" w:ascii="Times New Roman" w:hAnsi="Times New Roman" w:eastAsia="宋体" w:cs="Times New Roman"/>
          <w:color w:val="auto"/>
        </w:rPr>
      </w:pPr>
      <w:bookmarkStart w:id="433" w:name="_Toc66820300"/>
      <w:bookmarkStart w:id="434" w:name="_Toc130567041"/>
    </w:p>
    <w:p w14:paraId="07618EC5">
      <w:pPr>
        <w:spacing w:line="460" w:lineRule="exact"/>
        <w:ind w:firstLine="522" w:firstLineChars="200"/>
        <w:outlineLvl w:val="1"/>
        <w:rPr>
          <w:rFonts w:hint="default" w:ascii="Times New Roman" w:hAnsi="Times New Roman" w:eastAsia="宋体" w:cs="Times New Roman"/>
          <w:b/>
          <w:bCs/>
          <w:color w:val="auto"/>
          <w:sz w:val="26"/>
          <w:szCs w:val="26"/>
        </w:rPr>
      </w:pPr>
      <w:bookmarkStart w:id="435" w:name="_Toc6362"/>
      <w:bookmarkStart w:id="436" w:name="_Toc135236239"/>
      <w:r>
        <w:rPr>
          <w:rFonts w:hint="default" w:ascii="Times New Roman" w:hAnsi="Times New Roman" w:eastAsia="宋体" w:cs="Times New Roman"/>
          <w:b/>
          <w:bCs/>
          <w:color w:val="auto"/>
          <w:sz w:val="26"/>
          <w:szCs w:val="26"/>
        </w:rPr>
        <w:t>9.6 竣工环保验收</w:t>
      </w:r>
      <w:bookmarkEnd w:id="433"/>
      <w:bookmarkEnd w:id="434"/>
      <w:bookmarkEnd w:id="435"/>
      <w:bookmarkEnd w:id="436"/>
    </w:p>
    <w:p w14:paraId="43610ED0">
      <w:pPr>
        <w:spacing w:line="460" w:lineRule="exact"/>
        <w:ind w:firstLine="520" w:firstLineChars="200"/>
        <w:rPr>
          <w:rFonts w:hint="default" w:ascii="Times New Roman" w:hAnsi="Times New Roman" w:eastAsia="宋体" w:cs="Times New Roman"/>
          <w:color w:val="auto"/>
          <w:sz w:val="26"/>
          <w:szCs w:val="26"/>
          <w:lang w:eastAsia="zh-CN"/>
        </w:rPr>
      </w:pPr>
      <w:r>
        <w:rPr>
          <w:rFonts w:hint="default" w:ascii="Times New Roman" w:hAnsi="Times New Roman" w:eastAsia="宋体" w:cs="Times New Roman"/>
          <w:color w:val="auto"/>
          <w:sz w:val="26"/>
          <w:szCs w:val="26"/>
        </w:rPr>
        <w:t>项目竣工环保验收见下表</w:t>
      </w:r>
      <w:r>
        <w:rPr>
          <w:rFonts w:hint="default" w:ascii="Times New Roman" w:hAnsi="Times New Roman" w:eastAsia="宋体" w:cs="Times New Roman"/>
          <w:color w:val="auto"/>
          <w:sz w:val="26"/>
          <w:szCs w:val="26"/>
          <w:lang w:eastAsia="zh-CN"/>
        </w:rPr>
        <w:t>。</w:t>
      </w:r>
    </w:p>
    <w:p w14:paraId="267C2D04">
      <w:pPr>
        <w:pStyle w:val="85"/>
        <w:rPr>
          <w:rFonts w:hint="default" w:ascii="Times New Roman" w:hAnsi="Times New Roman" w:eastAsia="宋体" w:cs="Times New Roman"/>
          <w:color w:val="auto"/>
        </w:rPr>
      </w:pPr>
      <w:r>
        <w:rPr>
          <w:rFonts w:hint="default" w:ascii="Times New Roman" w:hAnsi="Times New Roman" w:eastAsia="宋体" w:cs="Times New Roman"/>
          <w:color w:val="auto"/>
        </w:rPr>
        <w:t>表9.6-1  项目竣工环保验收要求一览表</w:t>
      </w:r>
    </w:p>
    <w:tbl>
      <w:tblPr>
        <w:tblStyle w:val="29"/>
        <w:tblW w:w="50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0"/>
        <w:gridCol w:w="5073"/>
        <w:gridCol w:w="2978"/>
      </w:tblGrid>
      <w:tr w14:paraId="4A7F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21" w:type="pct"/>
            <w:tcBorders>
              <w:top w:val="single" w:color="auto" w:sz="4" w:space="0"/>
              <w:left w:val="single" w:color="auto" w:sz="4" w:space="0"/>
              <w:bottom w:val="single" w:color="auto" w:sz="4" w:space="0"/>
              <w:right w:val="single" w:color="auto" w:sz="4" w:space="0"/>
            </w:tcBorders>
            <w:noWrap w:val="0"/>
            <w:vAlign w:val="center"/>
          </w:tcPr>
          <w:p w14:paraId="2C0B45CC">
            <w:pPr>
              <w:pStyle w:val="8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884" w:type="pct"/>
            <w:tcBorders>
              <w:top w:val="single" w:color="auto" w:sz="4" w:space="0"/>
              <w:left w:val="single" w:color="auto" w:sz="4" w:space="0"/>
              <w:bottom w:val="single" w:color="auto" w:sz="4" w:space="0"/>
              <w:right w:val="single" w:color="auto" w:sz="4" w:space="0"/>
            </w:tcBorders>
            <w:noWrap w:val="0"/>
            <w:vAlign w:val="center"/>
          </w:tcPr>
          <w:p w14:paraId="607F540F">
            <w:pPr>
              <w:pStyle w:val="8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验收内容及指标</w:t>
            </w:r>
          </w:p>
        </w:tc>
        <w:tc>
          <w:tcPr>
            <w:tcW w:w="1693" w:type="pct"/>
            <w:tcBorders>
              <w:top w:val="single" w:color="auto" w:sz="4" w:space="0"/>
              <w:left w:val="single" w:color="auto" w:sz="4" w:space="0"/>
              <w:bottom w:val="single" w:color="auto" w:sz="4" w:space="0"/>
              <w:right w:val="single" w:color="auto" w:sz="4" w:space="0"/>
            </w:tcBorders>
            <w:noWrap w:val="0"/>
            <w:vAlign w:val="center"/>
          </w:tcPr>
          <w:p w14:paraId="55D32357">
            <w:pPr>
              <w:pStyle w:val="8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验收要求</w:t>
            </w:r>
          </w:p>
        </w:tc>
      </w:tr>
      <w:tr w14:paraId="1A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pct"/>
            <w:tcBorders>
              <w:top w:val="single" w:color="auto" w:sz="4" w:space="0"/>
              <w:left w:val="single" w:color="auto" w:sz="4" w:space="0"/>
              <w:right w:val="single" w:color="auto" w:sz="4" w:space="0"/>
            </w:tcBorders>
            <w:noWrap w:val="0"/>
            <w:vAlign w:val="center"/>
          </w:tcPr>
          <w:p w14:paraId="0D6C99D9">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p w14:paraId="4902547E">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空气</w:t>
            </w:r>
          </w:p>
        </w:tc>
        <w:tc>
          <w:tcPr>
            <w:tcW w:w="2884" w:type="pct"/>
            <w:tcBorders>
              <w:top w:val="single" w:color="auto" w:sz="4" w:space="0"/>
              <w:left w:val="single" w:color="auto" w:sz="4" w:space="0"/>
              <w:bottom w:val="single" w:color="auto" w:sz="4" w:space="0"/>
              <w:right w:val="single" w:color="auto" w:sz="4" w:space="0"/>
            </w:tcBorders>
            <w:noWrap w:val="0"/>
            <w:vAlign w:val="center"/>
          </w:tcPr>
          <w:p w14:paraId="656446D2">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洒水作业扬尘，定期清理运输车辆，运输遮盖篷布等</w:t>
            </w:r>
          </w:p>
          <w:p w14:paraId="4DE36756">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施工机具尾气、焊接烟尘：使用优质环保的设备和焊材，加强施工机具和车辆的保养</w:t>
            </w:r>
            <w:r>
              <w:rPr>
                <w:rFonts w:hint="default" w:ascii="Times New Roman" w:hAnsi="Times New Roman" w:eastAsia="宋体" w:cs="Times New Roman"/>
                <w:color w:val="auto"/>
                <w:sz w:val="21"/>
                <w:szCs w:val="21"/>
                <w:shd w:val="clear" w:fill="FFFFFF"/>
                <w:lang w:val="en-US" w:eastAsia="zh-CN"/>
              </w:rPr>
              <w:t>于</w:t>
            </w:r>
            <w:r>
              <w:rPr>
                <w:rFonts w:hint="default" w:ascii="Times New Roman" w:hAnsi="Times New Roman" w:eastAsia="宋体" w:cs="Times New Roman"/>
                <w:color w:val="auto"/>
                <w:sz w:val="21"/>
                <w:szCs w:val="21"/>
                <w:lang w:val="en-US" w:eastAsia="zh-CN"/>
              </w:rPr>
              <w:t>维护，控制车辆运行速度、文明施工等</w:t>
            </w:r>
          </w:p>
          <w:p w14:paraId="5E6CA180">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清管废气、放空废气：依托新盛站放空设备进行排放</w:t>
            </w:r>
          </w:p>
        </w:tc>
        <w:tc>
          <w:tcPr>
            <w:tcW w:w="1693" w:type="pct"/>
            <w:tcBorders>
              <w:top w:val="single" w:color="auto" w:sz="4" w:space="0"/>
              <w:left w:val="single" w:color="auto" w:sz="4" w:space="0"/>
              <w:bottom w:val="single" w:color="auto" w:sz="4" w:space="0"/>
              <w:right w:val="single" w:color="auto" w:sz="4" w:space="0"/>
            </w:tcBorders>
            <w:noWrap w:val="0"/>
            <w:vAlign w:val="center"/>
          </w:tcPr>
          <w:p w14:paraId="00C81640">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妥善处置，减小对环境空气的影响</w:t>
            </w:r>
          </w:p>
        </w:tc>
      </w:tr>
      <w:tr w14:paraId="5EFA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pct"/>
            <w:tcBorders>
              <w:top w:val="single" w:color="auto" w:sz="4" w:space="0"/>
              <w:left w:val="single" w:color="auto" w:sz="4" w:space="0"/>
              <w:right w:val="single" w:color="auto" w:sz="4" w:space="0"/>
            </w:tcBorders>
            <w:noWrap w:val="0"/>
            <w:vAlign w:val="center"/>
          </w:tcPr>
          <w:p w14:paraId="1B977A63">
            <w:pPr>
              <w:pStyle w:val="87"/>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水环境</w:t>
            </w:r>
          </w:p>
        </w:tc>
        <w:tc>
          <w:tcPr>
            <w:tcW w:w="2884" w:type="pct"/>
            <w:tcBorders>
              <w:top w:val="single" w:color="auto" w:sz="4" w:space="0"/>
              <w:left w:val="single" w:color="auto" w:sz="4" w:space="0"/>
              <w:bottom w:val="single" w:color="auto" w:sz="4" w:space="0"/>
              <w:right w:val="single" w:color="auto" w:sz="4" w:space="0"/>
            </w:tcBorders>
            <w:noWrap w:val="0"/>
            <w:vAlign w:val="center"/>
          </w:tcPr>
          <w:p w14:paraId="02A00753">
            <w:pPr>
              <w:pStyle w:val="87"/>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经隔油沉淀处理后回用作为施工用水或施工作业带洒水扬尘</w:t>
            </w:r>
            <w:r>
              <w:rPr>
                <w:rFonts w:hint="default" w:ascii="Times New Roman" w:hAnsi="Times New Roman" w:eastAsia="宋体" w:cs="Times New Roman"/>
                <w:color w:val="auto"/>
                <w:sz w:val="21"/>
                <w:szCs w:val="21"/>
                <w:lang w:eastAsia="zh-CN"/>
              </w:rPr>
              <w:t>；</w:t>
            </w:r>
          </w:p>
          <w:p w14:paraId="461009CD">
            <w:pPr>
              <w:pStyle w:val="87"/>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试压废水沉淀后回用于设备、车辆冲洗和场地洒水降尘，不外排</w:t>
            </w:r>
            <w:r>
              <w:rPr>
                <w:rFonts w:hint="default" w:ascii="Times New Roman" w:hAnsi="Times New Roman" w:eastAsia="宋体" w:cs="Times New Roman"/>
                <w:color w:val="auto"/>
                <w:sz w:val="21"/>
                <w:szCs w:val="21"/>
                <w:lang w:eastAsia="zh-CN"/>
              </w:rPr>
              <w:t>；</w:t>
            </w:r>
          </w:p>
          <w:p w14:paraId="4BF126F3">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生活污水依托现有污水处理设施处理，不外排；</w:t>
            </w:r>
          </w:p>
          <w:p w14:paraId="6DEC2FD0">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清管废水依托新盛站内</w:t>
            </w:r>
            <w:r>
              <w:rPr>
                <w:rFonts w:hint="default" w:ascii="Times New Roman" w:hAnsi="Times New Roman" w:eastAsia="宋体" w:cs="Times New Roman"/>
                <w:color w:val="auto"/>
                <w:sz w:val="22"/>
                <w:szCs w:val="22"/>
                <w:lang w:val="en-US" w:eastAsia="zh-CN"/>
              </w:rPr>
              <w:t>收集处理后用于绿化</w:t>
            </w:r>
            <w:r>
              <w:rPr>
                <w:rFonts w:hint="default" w:ascii="Times New Roman" w:hAnsi="Times New Roman" w:eastAsia="宋体" w:cs="Times New Roman"/>
                <w:color w:val="auto"/>
                <w:sz w:val="21"/>
                <w:szCs w:val="21"/>
                <w:lang w:val="en-US" w:eastAsia="zh-CN"/>
              </w:rPr>
              <w:t>，不外排</w:t>
            </w:r>
          </w:p>
        </w:tc>
        <w:tc>
          <w:tcPr>
            <w:tcW w:w="1693" w:type="pct"/>
            <w:tcBorders>
              <w:top w:val="single" w:color="auto" w:sz="4" w:space="0"/>
              <w:left w:val="single" w:color="auto" w:sz="4" w:space="0"/>
              <w:bottom w:val="single" w:color="auto" w:sz="4" w:space="0"/>
              <w:right w:val="single" w:color="auto" w:sz="4" w:space="0"/>
            </w:tcBorders>
            <w:noWrap w:val="0"/>
            <w:vAlign w:val="center"/>
          </w:tcPr>
          <w:p w14:paraId="22BC60B4">
            <w:pPr>
              <w:pStyle w:val="87"/>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妥善处置</w:t>
            </w:r>
            <w:r>
              <w:rPr>
                <w:rFonts w:hint="default" w:ascii="Times New Roman" w:hAnsi="Times New Roman" w:eastAsia="宋体" w:cs="Times New Roman"/>
                <w:color w:val="auto"/>
                <w:sz w:val="21"/>
                <w:szCs w:val="21"/>
              </w:rPr>
              <w:t>，不外排</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减小对水环境的影响</w:t>
            </w:r>
          </w:p>
        </w:tc>
      </w:tr>
      <w:tr w14:paraId="1DE4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pct"/>
            <w:tcBorders>
              <w:top w:val="single" w:color="auto" w:sz="4" w:space="0"/>
              <w:left w:val="single" w:color="auto" w:sz="4" w:space="0"/>
              <w:right w:val="single" w:color="auto" w:sz="4" w:space="0"/>
            </w:tcBorders>
            <w:noWrap w:val="0"/>
            <w:vAlign w:val="center"/>
          </w:tcPr>
          <w:p w14:paraId="0003E0F0">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声环境</w:t>
            </w:r>
          </w:p>
        </w:tc>
        <w:tc>
          <w:tcPr>
            <w:tcW w:w="2884" w:type="pct"/>
            <w:tcBorders>
              <w:top w:val="single" w:color="auto" w:sz="4" w:space="0"/>
              <w:left w:val="single" w:color="auto" w:sz="4" w:space="0"/>
              <w:bottom w:val="single" w:color="auto" w:sz="4" w:space="0"/>
              <w:right w:val="single" w:color="auto" w:sz="4" w:space="0"/>
            </w:tcBorders>
            <w:noWrap w:val="0"/>
            <w:vAlign w:val="center"/>
          </w:tcPr>
          <w:p w14:paraId="50B1826E">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设备噪声、运输车辆噪声等施工噪声：合理布局施工机械，合理安排施工时间，夜间时间不施工；选用低噪声设备；运输车辆经过沿线环境保护目标的路段时减速、禁鸣</w:t>
            </w:r>
          </w:p>
          <w:p w14:paraId="2993CCE1">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放空噪声：依托新盛站站场进行排放</w:t>
            </w:r>
          </w:p>
        </w:tc>
        <w:tc>
          <w:tcPr>
            <w:tcW w:w="1693" w:type="pct"/>
            <w:tcBorders>
              <w:top w:val="single" w:color="auto" w:sz="4" w:space="0"/>
              <w:left w:val="single" w:color="auto" w:sz="4" w:space="0"/>
              <w:bottom w:val="single" w:color="auto" w:sz="4" w:space="0"/>
              <w:right w:val="single" w:color="auto" w:sz="4" w:space="0"/>
            </w:tcBorders>
            <w:noWrap w:val="0"/>
            <w:vAlign w:val="center"/>
          </w:tcPr>
          <w:p w14:paraId="06B299F3">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周围声环境质量未发现明显变化</w:t>
            </w:r>
          </w:p>
        </w:tc>
      </w:tr>
      <w:tr w14:paraId="7A7E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pct"/>
            <w:tcBorders>
              <w:top w:val="single" w:color="auto" w:sz="4" w:space="0"/>
              <w:left w:val="single" w:color="auto" w:sz="4" w:space="0"/>
              <w:right w:val="single" w:color="auto" w:sz="4" w:space="0"/>
            </w:tcBorders>
            <w:noWrap w:val="0"/>
            <w:vAlign w:val="center"/>
          </w:tcPr>
          <w:p w14:paraId="0EC5B9CE">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w:t>
            </w:r>
          </w:p>
          <w:p w14:paraId="37A20808">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2884" w:type="pct"/>
            <w:tcBorders>
              <w:top w:val="single" w:color="auto" w:sz="4" w:space="0"/>
              <w:left w:val="single" w:color="auto" w:sz="4" w:space="0"/>
              <w:bottom w:val="single" w:color="auto" w:sz="4" w:space="0"/>
              <w:right w:val="single" w:color="auto" w:sz="4" w:space="0"/>
            </w:tcBorders>
            <w:noWrap w:val="0"/>
            <w:vAlign w:val="center"/>
          </w:tcPr>
          <w:p w14:paraId="586CFE63">
            <w:pPr>
              <w:pStyle w:val="87"/>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废焊条和废包装材料等施工废料分类收集、回收利用或交环卫部门处理，施工现场未随意乱扔</w:t>
            </w:r>
            <w:r>
              <w:rPr>
                <w:rFonts w:hint="default" w:ascii="Times New Roman" w:hAnsi="Times New Roman" w:eastAsia="宋体" w:cs="Times New Roman"/>
                <w:color w:val="auto"/>
                <w:sz w:val="21"/>
                <w:szCs w:val="21"/>
                <w:lang w:eastAsia="zh-CN"/>
              </w:rPr>
              <w:t>；</w:t>
            </w:r>
          </w:p>
          <w:p w14:paraId="474CFEDF">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施工期生活垃圾交由</w:t>
            </w:r>
            <w:r>
              <w:rPr>
                <w:rFonts w:hint="default" w:ascii="Times New Roman" w:hAnsi="Times New Roman" w:eastAsia="宋体" w:cs="Times New Roman"/>
                <w:color w:val="auto"/>
                <w:sz w:val="21"/>
                <w:szCs w:val="21"/>
                <w:lang w:val="en-US" w:eastAsia="zh-CN"/>
              </w:rPr>
              <w:t>环卫</w:t>
            </w:r>
            <w:r>
              <w:rPr>
                <w:rFonts w:hint="default" w:ascii="Times New Roman" w:hAnsi="Times New Roman" w:eastAsia="宋体" w:cs="Times New Roman"/>
                <w:color w:val="auto"/>
                <w:sz w:val="21"/>
                <w:szCs w:val="21"/>
              </w:rPr>
              <w:t>部门处理，现场无遗留</w:t>
            </w:r>
            <w:r>
              <w:rPr>
                <w:rFonts w:hint="default" w:ascii="Times New Roman" w:hAnsi="Times New Roman" w:eastAsia="宋体" w:cs="Times New Roman"/>
                <w:color w:val="auto"/>
                <w:sz w:val="21"/>
                <w:szCs w:val="21"/>
                <w:lang w:eastAsia="zh-CN"/>
              </w:rPr>
              <w:t>。</w:t>
            </w:r>
          </w:p>
        </w:tc>
        <w:tc>
          <w:tcPr>
            <w:tcW w:w="1693" w:type="pct"/>
            <w:tcBorders>
              <w:top w:val="single" w:color="auto" w:sz="4" w:space="0"/>
              <w:left w:val="single" w:color="auto" w:sz="4" w:space="0"/>
              <w:bottom w:val="single" w:color="auto" w:sz="4" w:space="0"/>
              <w:right w:val="single" w:color="auto" w:sz="4" w:space="0"/>
            </w:tcBorders>
            <w:noWrap w:val="0"/>
            <w:vAlign w:val="center"/>
          </w:tcPr>
          <w:p w14:paraId="240A19DA">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按要求</w:t>
            </w:r>
            <w:r>
              <w:rPr>
                <w:rFonts w:hint="default" w:ascii="Times New Roman" w:hAnsi="Times New Roman" w:eastAsia="宋体" w:cs="Times New Roman"/>
                <w:color w:val="auto"/>
                <w:sz w:val="21"/>
                <w:szCs w:val="21"/>
              </w:rPr>
              <w:t>全部完成处置，现场无遗留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不对周边环境造成污染</w:t>
            </w:r>
          </w:p>
        </w:tc>
      </w:tr>
      <w:tr w14:paraId="1498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pct"/>
            <w:tcBorders>
              <w:top w:val="single" w:color="auto" w:sz="4" w:space="0"/>
              <w:left w:val="single" w:color="auto" w:sz="4" w:space="0"/>
              <w:right w:val="single" w:color="auto" w:sz="4" w:space="0"/>
            </w:tcBorders>
            <w:noWrap w:val="0"/>
            <w:vAlign w:val="center"/>
          </w:tcPr>
          <w:p w14:paraId="1714EA54">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p w14:paraId="75EA78B6">
            <w:pPr>
              <w:pStyle w:val="87"/>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环境</w:t>
            </w:r>
          </w:p>
        </w:tc>
        <w:tc>
          <w:tcPr>
            <w:tcW w:w="2884" w:type="pct"/>
            <w:tcBorders>
              <w:top w:val="single" w:color="auto" w:sz="4" w:space="0"/>
              <w:left w:val="single" w:color="auto" w:sz="4" w:space="0"/>
              <w:bottom w:val="single" w:color="auto" w:sz="4" w:space="0"/>
              <w:right w:val="single" w:color="auto" w:sz="4" w:space="0"/>
            </w:tcBorders>
            <w:noWrap w:val="0"/>
            <w:vAlign w:val="center"/>
          </w:tcPr>
          <w:p w14:paraId="13045E02">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施工场地：在施工作业带内规范施工、堆放管道等，施工结束后清理场地，覆表层种植土恢复耕地、林地</w:t>
            </w:r>
          </w:p>
          <w:p w14:paraId="2DD15801">
            <w:pPr>
              <w:pStyle w:val="87"/>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动植物资源：植被恢复采用本地植被，无外来物种，管道中心线两侧5m范围内禁止种植深根系植物</w:t>
            </w:r>
          </w:p>
        </w:tc>
        <w:tc>
          <w:tcPr>
            <w:tcW w:w="1693" w:type="pct"/>
            <w:tcBorders>
              <w:top w:val="single" w:color="auto" w:sz="4" w:space="0"/>
              <w:left w:val="single" w:color="auto" w:sz="4" w:space="0"/>
              <w:bottom w:val="single" w:color="auto" w:sz="4" w:space="0"/>
              <w:right w:val="single" w:color="auto" w:sz="4" w:space="0"/>
            </w:tcBorders>
            <w:noWrap w:val="0"/>
            <w:vAlign w:val="center"/>
          </w:tcPr>
          <w:p w14:paraId="7C0974C2">
            <w:pPr>
              <w:pStyle w:val="87"/>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沿线生态环境未遭受严重破坏，且逐渐恢复</w:t>
            </w:r>
          </w:p>
        </w:tc>
      </w:tr>
      <w:tr w14:paraId="12D9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 w:type="pct"/>
            <w:tcBorders>
              <w:top w:val="single" w:color="auto" w:sz="4" w:space="0"/>
              <w:left w:val="single" w:color="auto" w:sz="4" w:space="0"/>
              <w:right w:val="single" w:color="auto" w:sz="4" w:space="0"/>
            </w:tcBorders>
            <w:noWrap w:val="0"/>
            <w:vAlign w:val="center"/>
          </w:tcPr>
          <w:p w14:paraId="4A1DB4A3">
            <w:pPr>
              <w:pStyle w:val="87"/>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w:t>
            </w:r>
          </w:p>
          <w:p w14:paraId="2D6E9553">
            <w:pPr>
              <w:pStyle w:val="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w:t>
            </w:r>
          </w:p>
        </w:tc>
        <w:tc>
          <w:tcPr>
            <w:tcW w:w="2884" w:type="pct"/>
            <w:tcBorders>
              <w:top w:val="single" w:color="auto" w:sz="4" w:space="0"/>
              <w:left w:val="single" w:color="auto" w:sz="4" w:space="0"/>
              <w:right w:val="single" w:color="auto" w:sz="4" w:space="0"/>
            </w:tcBorders>
            <w:noWrap w:val="0"/>
            <w:vAlign w:val="center"/>
          </w:tcPr>
          <w:p w14:paraId="35633021">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专门人员日常巡视</w:t>
            </w:r>
            <w:r>
              <w:rPr>
                <w:rFonts w:hint="default" w:ascii="Times New Roman" w:hAnsi="Times New Roman" w:eastAsia="宋体" w:cs="Times New Roman"/>
                <w:color w:val="auto"/>
                <w:sz w:val="21"/>
                <w:szCs w:val="21"/>
                <w:lang w:val="en-US" w:eastAsia="zh-CN"/>
              </w:rPr>
              <w:t>检查</w:t>
            </w:r>
            <w:r>
              <w:rPr>
                <w:rFonts w:hint="default" w:ascii="Times New Roman" w:hAnsi="Times New Roman" w:eastAsia="宋体" w:cs="Times New Roman"/>
                <w:color w:val="auto"/>
                <w:sz w:val="21"/>
                <w:szCs w:val="21"/>
              </w:rPr>
              <w:t>，并做好巡视文字和图片记录，及时发现站外管线环境风险隐患</w:t>
            </w:r>
            <w:r>
              <w:rPr>
                <w:rFonts w:hint="default" w:ascii="Times New Roman" w:hAnsi="Times New Roman" w:eastAsia="宋体" w:cs="Times New Roman"/>
                <w:color w:val="auto"/>
                <w:sz w:val="21"/>
                <w:szCs w:val="21"/>
                <w:lang w:val="en-US" w:eastAsia="zh-CN"/>
              </w:rPr>
              <w:t>及突发环境污染事故应急宣传，管道沿线设置三桩、警示牌等标识</w:t>
            </w:r>
          </w:p>
        </w:tc>
        <w:tc>
          <w:tcPr>
            <w:tcW w:w="1693" w:type="pct"/>
            <w:tcBorders>
              <w:top w:val="single" w:color="auto" w:sz="4" w:space="0"/>
              <w:left w:val="single" w:color="auto" w:sz="4" w:space="0"/>
              <w:right w:val="single" w:color="auto" w:sz="4" w:space="0"/>
            </w:tcBorders>
            <w:noWrap w:val="0"/>
            <w:vAlign w:val="center"/>
          </w:tcPr>
          <w:p w14:paraId="529AC144">
            <w:pPr>
              <w:pStyle w:val="87"/>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巡视</w:t>
            </w:r>
            <w:r>
              <w:rPr>
                <w:rFonts w:hint="default" w:ascii="Times New Roman" w:hAnsi="Times New Roman" w:eastAsia="宋体" w:cs="Times New Roman"/>
                <w:color w:val="auto"/>
                <w:sz w:val="21"/>
                <w:szCs w:val="21"/>
                <w:lang w:val="en-US" w:eastAsia="zh-CN"/>
              </w:rPr>
              <w:t>及风险</w:t>
            </w:r>
            <w:r>
              <w:rPr>
                <w:rFonts w:hint="default" w:ascii="Times New Roman" w:hAnsi="Times New Roman" w:eastAsia="宋体" w:cs="Times New Roman"/>
                <w:color w:val="auto"/>
                <w:sz w:val="21"/>
                <w:szCs w:val="21"/>
              </w:rPr>
              <w:t>措施落实到位</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标识达到相关设计、环保要求</w:t>
            </w:r>
          </w:p>
        </w:tc>
      </w:tr>
    </w:tbl>
    <w:p w14:paraId="6FE1C925">
      <w:pPr>
        <w:rPr>
          <w:rFonts w:hint="default" w:ascii="Times New Roman" w:hAnsi="Times New Roman" w:eastAsia="宋体" w:cs="Times New Roman"/>
          <w:color w:val="auto"/>
        </w:rPr>
      </w:pPr>
    </w:p>
    <w:p w14:paraId="75337C2A">
      <w:pPr>
        <w:spacing w:line="460" w:lineRule="exact"/>
        <w:ind w:firstLine="522" w:firstLineChars="200"/>
        <w:outlineLvl w:val="1"/>
        <w:rPr>
          <w:rFonts w:hint="default" w:ascii="Times New Roman" w:hAnsi="Times New Roman" w:eastAsia="宋体" w:cs="Times New Roman"/>
          <w:b/>
          <w:bCs/>
          <w:color w:val="auto"/>
          <w:sz w:val="26"/>
          <w:szCs w:val="26"/>
          <w:lang w:val="en-US" w:eastAsia="zh-CN"/>
        </w:rPr>
      </w:pPr>
      <w:bookmarkStart w:id="437" w:name="_Toc7192"/>
      <w:r>
        <w:rPr>
          <w:rFonts w:hint="default" w:ascii="Times New Roman" w:hAnsi="Times New Roman" w:eastAsia="宋体" w:cs="Times New Roman"/>
          <w:b/>
          <w:bCs/>
          <w:color w:val="auto"/>
          <w:sz w:val="26"/>
          <w:szCs w:val="26"/>
          <w:lang w:val="en-US" w:eastAsia="zh-CN"/>
        </w:rPr>
        <w:t>9.7 总量控制</w:t>
      </w:r>
      <w:bookmarkEnd w:id="437"/>
    </w:p>
    <w:p w14:paraId="6D1C33D6">
      <w:pPr>
        <w:pStyle w:val="93"/>
        <w:ind w:firstLine="520"/>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本项目施工和运营期均无废水外排，施工期固体废物均能得到妥善处置，运营期正常运行时天然气处于密闭输送状态，一般无污染物外排，因此，本次评价建议不设总量控制指标。</w:t>
      </w:r>
    </w:p>
    <w:p w14:paraId="56DEFD1B">
      <w:pPr>
        <w:pStyle w:val="93"/>
        <w:ind w:firstLine="520"/>
        <w:rPr>
          <w:rFonts w:hint="default" w:ascii="Times New Roman" w:hAnsi="Times New Roman" w:eastAsia="宋体" w:cs="Times New Roman"/>
          <w:color w:val="auto"/>
          <w:sz w:val="26"/>
          <w:szCs w:val="26"/>
        </w:rPr>
      </w:pPr>
    </w:p>
    <w:p w14:paraId="4982D41E">
      <w:pPr>
        <w:adjustRightInd w:val="0"/>
        <w:snapToGrid w:val="0"/>
        <w:spacing w:after="120" w:afterLines="50"/>
        <w:jc w:val="center"/>
        <w:outlineLvl w:val="0"/>
        <w:rPr>
          <w:rFonts w:hint="default" w:ascii="Times New Roman" w:hAnsi="Times New Roman" w:eastAsia="宋体" w:cs="Times New Roman"/>
          <w:b/>
          <w:color w:val="auto"/>
          <w:sz w:val="32"/>
          <w:szCs w:val="32"/>
        </w:rPr>
      </w:pPr>
      <w:r>
        <w:rPr>
          <w:rFonts w:hint="default" w:ascii="Times New Roman" w:hAnsi="Times New Roman" w:eastAsia="宋体" w:cs="Times New Roman"/>
          <w:color w:val="auto"/>
          <w:sz w:val="26"/>
          <w:szCs w:val="26"/>
        </w:rPr>
        <w:br w:type="page"/>
      </w:r>
      <w:bookmarkEnd w:id="432"/>
      <w:bookmarkStart w:id="438" w:name="_Toc11201"/>
      <w:bookmarkStart w:id="439" w:name="_Toc60144442"/>
      <w:bookmarkStart w:id="440" w:name="_Toc45551126"/>
      <w:bookmarkStart w:id="441" w:name="_Toc20430"/>
      <w:r>
        <w:rPr>
          <w:rFonts w:hint="default" w:ascii="Times New Roman" w:hAnsi="Times New Roman" w:eastAsia="宋体" w:cs="Times New Roman"/>
          <w:b/>
          <w:color w:val="auto"/>
          <w:sz w:val="32"/>
          <w:szCs w:val="32"/>
        </w:rPr>
        <w:t>1</w:t>
      </w:r>
      <w:bookmarkStart w:id="442" w:name="_Toc60144438"/>
      <w:bookmarkStart w:id="443" w:name="_Toc31814"/>
      <w:bookmarkStart w:id="444" w:name="_Toc15352"/>
      <w:bookmarkStart w:id="445" w:name="_Toc9315"/>
      <w:r>
        <w:rPr>
          <w:rFonts w:hint="default" w:ascii="Times New Roman" w:hAnsi="Times New Roman" w:eastAsia="宋体" w:cs="Times New Roman"/>
          <w:b/>
          <w:color w:val="auto"/>
          <w:sz w:val="32"/>
          <w:szCs w:val="32"/>
        </w:rPr>
        <w:t xml:space="preserve">0 </w:t>
      </w:r>
      <w:bookmarkStart w:id="446" w:name="_Hlk133160539"/>
      <w:bookmarkStart w:id="447" w:name="_Hlk133160683"/>
      <w:r>
        <w:rPr>
          <w:rFonts w:hint="default" w:ascii="Times New Roman" w:hAnsi="Times New Roman" w:eastAsia="宋体" w:cs="Times New Roman"/>
          <w:b/>
          <w:color w:val="auto"/>
          <w:sz w:val="32"/>
          <w:szCs w:val="32"/>
        </w:rPr>
        <w:t>环境经济损益分析</w:t>
      </w:r>
      <w:bookmarkEnd w:id="438"/>
      <w:bookmarkEnd w:id="442"/>
      <w:bookmarkEnd w:id="443"/>
      <w:bookmarkEnd w:id="444"/>
      <w:bookmarkEnd w:id="445"/>
    </w:p>
    <w:p w14:paraId="2BE7C188">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本项目建设</w:t>
      </w:r>
      <w:r>
        <w:rPr>
          <w:rFonts w:hint="default" w:ascii="Times New Roman" w:hAnsi="Times New Roman" w:eastAsia="宋体" w:cs="Times New Roman"/>
          <w:color w:val="auto"/>
          <w:shd w:val="clear" w:fill="FFFFFF"/>
        </w:rPr>
        <w:t>必将会</w:t>
      </w:r>
      <w:r>
        <w:rPr>
          <w:rFonts w:hint="default" w:ascii="Times New Roman" w:hAnsi="Times New Roman" w:eastAsia="宋体" w:cs="Times New Roman"/>
          <w:color w:val="auto"/>
        </w:rPr>
        <w:t>对沿线的环境和经济发展产生一定影响。在进行本工程的效益分析时，不仅要考虑工程对自然环境造成的影响，同时也要从提高社会经济效益为出发点，分析对社会和经济的影响。本章将对该项目建设的社会、经济效益进行分析，并按照定性和定量相结合的方法，从环境经济角度分析该项目对沿线环境的影响程度。</w:t>
      </w:r>
    </w:p>
    <w:p w14:paraId="2EA30EAE">
      <w:pPr>
        <w:adjustRightInd w:val="0"/>
        <w:snapToGrid w:val="0"/>
        <w:spacing w:line="460" w:lineRule="exact"/>
        <w:ind w:firstLine="522"/>
        <w:outlineLvl w:val="1"/>
        <w:rPr>
          <w:rFonts w:hint="default" w:ascii="Times New Roman" w:hAnsi="Times New Roman" w:eastAsia="宋体" w:cs="Times New Roman"/>
          <w:b/>
          <w:color w:val="auto"/>
          <w:sz w:val="26"/>
          <w:szCs w:val="26"/>
        </w:rPr>
      </w:pPr>
      <w:bookmarkStart w:id="448" w:name="_Toc12329"/>
      <w:bookmarkStart w:id="449" w:name="_Toc60144439"/>
      <w:bookmarkStart w:id="450" w:name="_Toc45551123"/>
      <w:bookmarkStart w:id="451" w:name="_Toc273"/>
      <w:bookmarkStart w:id="452" w:name="_Toc10357"/>
      <w:bookmarkStart w:id="453" w:name="_Toc1805"/>
      <w:r>
        <w:rPr>
          <w:rFonts w:hint="default" w:ascii="Times New Roman" w:hAnsi="Times New Roman" w:eastAsia="宋体" w:cs="Times New Roman"/>
          <w:b/>
          <w:color w:val="auto"/>
          <w:sz w:val="26"/>
          <w:szCs w:val="26"/>
        </w:rPr>
        <w:t>10.1社会经济效益分析</w:t>
      </w:r>
      <w:bookmarkEnd w:id="448"/>
      <w:bookmarkEnd w:id="449"/>
      <w:bookmarkEnd w:id="450"/>
      <w:bookmarkEnd w:id="451"/>
      <w:bookmarkEnd w:id="452"/>
      <w:bookmarkEnd w:id="453"/>
    </w:p>
    <w:p w14:paraId="3CD0BE7B">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天然气作为一种优质、高效、清洁的能源，它在能源中的竞争优势逐步确立，发展天然气已成为当代的世界潮流，随着全球天然气储量和产量的同步迅速增长，以及在能源构成中所占比例日益提高，专家预计2021年后，天然气将超过原油和煤炭，成为世界一次能源消费结构中的“首席能源”，天然气将进入一个全新的历史发展时期。</w:t>
      </w:r>
    </w:p>
    <w:p w14:paraId="17CB0115">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社会和经济的发展离不开能源的发展，天然气作为优质燃料和重要的化工原料，国家各部门极力鼓励和提倡天然气的勘探、开发和利用。另一方面，由于环境保护意识的不断加强，天然气作为清洁能源越来越受到重视，致使天然气市场不断扩大，出现了供不应求的局面。总之，我国天然气资源较为丰富，市场前景广阔，潜力巨大。</w:t>
      </w:r>
    </w:p>
    <w:p w14:paraId="477C37D0">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工程的建设有利于拉动国民经济的增长，扩大内需。通过实施本工程，可以扩大内需，增加就业机会，促进经济发展，还有利于提高沿途地区人民的生活质量，改善生活环境，注入新的能源。本工程建设需要一定数量的人力，除施工单位外，还需</w:t>
      </w:r>
      <w:r>
        <w:rPr>
          <w:rFonts w:hint="default" w:ascii="Times New Roman" w:hAnsi="Times New Roman" w:eastAsia="宋体" w:cs="Times New Roman"/>
          <w:color w:val="auto"/>
          <w:lang w:val="en-US" w:eastAsia="zh-CN"/>
        </w:rPr>
        <w:t>再</w:t>
      </w:r>
      <w:r>
        <w:rPr>
          <w:rFonts w:hint="default" w:ascii="Times New Roman" w:hAnsi="Times New Roman" w:eastAsia="宋体" w:cs="Times New Roman"/>
          <w:color w:val="auto"/>
        </w:rPr>
        <w:t>招募民工，因而可给当地居民和农民增加收入。另外，管道工程建设需要大批钢材、建材及配套设备，可带动机械、电力、化工、冶金、建材等相关工业的发展。因此，该项目具有良好的社会效益。</w:t>
      </w:r>
    </w:p>
    <w:p w14:paraId="282AEE1A">
      <w:pPr>
        <w:adjustRightInd w:val="0"/>
        <w:snapToGrid w:val="0"/>
        <w:spacing w:line="460" w:lineRule="exact"/>
        <w:ind w:firstLine="522"/>
        <w:outlineLvl w:val="1"/>
        <w:rPr>
          <w:rFonts w:hint="default" w:ascii="Times New Roman" w:hAnsi="Times New Roman" w:eastAsia="宋体" w:cs="Times New Roman"/>
          <w:b/>
          <w:color w:val="auto"/>
          <w:sz w:val="26"/>
          <w:szCs w:val="26"/>
        </w:rPr>
      </w:pPr>
      <w:bookmarkStart w:id="454" w:name="_Toc45551124"/>
      <w:bookmarkStart w:id="455" w:name="_Toc60144440"/>
      <w:bookmarkStart w:id="456" w:name="_Toc4867"/>
      <w:bookmarkStart w:id="457" w:name="_Toc18347"/>
      <w:bookmarkStart w:id="458" w:name="_Toc4954"/>
      <w:bookmarkStart w:id="459" w:name="_Toc27262"/>
      <w:r>
        <w:rPr>
          <w:rFonts w:hint="default" w:ascii="Times New Roman" w:hAnsi="Times New Roman" w:eastAsia="宋体" w:cs="Times New Roman"/>
          <w:b/>
          <w:color w:val="auto"/>
          <w:sz w:val="26"/>
          <w:szCs w:val="26"/>
        </w:rPr>
        <w:t>10.2环境效益分析</w:t>
      </w:r>
      <w:bookmarkEnd w:id="454"/>
      <w:bookmarkEnd w:id="455"/>
      <w:bookmarkEnd w:id="456"/>
      <w:bookmarkEnd w:id="457"/>
      <w:bookmarkEnd w:id="458"/>
      <w:bookmarkEnd w:id="459"/>
    </w:p>
    <w:p w14:paraId="683F7725">
      <w:pPr>
        <w:adjustRightInd w:val="0"/>
        <w:snapToGrid w:val="0"/>
        <w:spacing w:line="46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 xml:space="preserve">10.2.1环境效益分析 </w:t>
      </w:r>
    </w:p>
    <w:p w14:paraId="3E3291AC">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（1）改善环境空气质量</w:t>
      </w:r>
    </w:p>
    <w:p w14:paraId="1D2C1210">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我国的能源结构以煤炭为主，以煤为主的能源结构是造成大气污染的主要原因。根据世界各国污染治理的经验，减轻大气污染措施之一就是用无污染或低污染的优质能源替代煤炭。天然气相对煤、原油等能源的环境效益最好，天然气燃烧造成的污染大约为原油的1/40，为煤炭的1/800。根据监测，燃烧天然气排放的CO、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、灰分大大低于煤和原油的排放量。</w:t>
      </w:r>
    </w:p>
    <w:p w14:paraId="665564E6">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本项目为</w:t>
      </w:r>
      <w:r>
        <w:rPr>
          <w:rFonts w:hint="default" w:ascii="Times New Roman" w:hAnsi="Times New Roman" w:eastAsia="宋体" w:cs="Times New Roman"/>
          <w:color w:val="auto"/>
          <w:sz w:val="26"/>
          <w:szCs w:val="26"/>
          <w:lang w:eastAsia="zh-CN"/>
        </w:rPr>
        <w:t>天然气管道改建工程</w:t>
      </w:r>
      <w:r>
        <w:rPr>
          <w:rFonts w:hint="default" w:ascii="Times New Roman" w:hAnsi="Times New Roman" w:eastAsia="宋体" w:cs="Times New Roman"/>
          <w:color w:val="auto"/>
        </w:rPr>
        <w:t>。项目的建设有利于减少环境空气污染物的排放量，改善环境空气质量，节省二氧化硫处理费。由此可见，天然气这种清洁能源的环境效益是十分明显的。</w:t>
      </w:r>
    </w:p>
    <w:p w14:paraId="73B44BA9">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（2）减少运输带来的环境污染</w:t>
      </w:r>
    </w:p>
    <w:p w14:paraId="5CA9DDE1">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管道输送是一种安全、稳定、高效、清洁的运送方式。由于天然气采用管道密闭输送，运输中不会对环境造成污染。而利用煤炭或者石油，需要车船运输，运输中会产生一定量的大气污染物，如汽车尾气、二次扬尘。因此，利用天然气避免了运输对环境的污染问题，保护了生态环境，具有较好的环境效益。</w:t>
      </w:r>
    </w:p>
    <w:p w14:paraId="3A76C6CF">
      <w:pPr>
        <w:adjustRightInd w:val="0"/>
        <w:snapToGrid w:val="0"/>
        <w:spacing w:line="460" w:lineRule="exact"/>
        <w:ind w:firstLine="522"/>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10.2.2环境损失分析</w:t>
      </w:r>
    </w:p>
    <w:p w14:paraId="4857878B">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本工程在建设过程中，由于线路工程施工需要临时占用土地，扰动土壤，破坏地表植被，并因此带来一定程度的环境损失。一般来说，环境损失包括直接损失和间接损失，直接损失指由于项目建设对土壤、地表植被及其生境破坏所造成的环境经济损失，即土地资源破坏的经济损失；间接损失指由土地资源损失而引起的其他生态问题，如生物多样性及生产力下降等所造成的环境经济损失。</w:t>
      </w:r>
    </w:p>
    <w:p w14:paraId="7A3961FA">
      <w:pPr>
        <w:adjustRightInd w:val="0"/>
        <w:snapToGrid w:val="0"/>
        <w:spacing w:line="460" w:lineRule="exact"/>
        <w:ind w:firstLine="522"/>
        <w:outlineLvl w:val="2"/>
        <w:rPr>
          <w:rFonts w:hint="default" w:ascii="Times New Roman" w:hAnsi="Times New Roman" w:eastAsia="宋体" w:cs="Times New Roman"/>
          <w:b/>
          <w:color w:val="auto"/>
          <w:sz w:val="26"/>
          <w:szCs w:val="26"/>
        </w:rPr>
      </w:pPr>
      <w:bookmarkStart w:id="460" w:name="_Toc32323"/>
      <w:bookmarkStart w:id="461" w:name="_Toc60144441"/>
      <w:bookmarkStart w:id="462" w:name="_Toc45551125"/>
      <w:bookmarkStart w:id="463" w:name="_Toc23882"/>
      <w:bookmarkStart w:id="464" w:name="_Toc7416"/>
      <w:r>
        <w:rPr>
          <w:rFonts w:hint="default" w:ascii="Times New Roman" w:hAnsi="Times New Roman" w:eastAsia="宋体" w:cs="Times New Roman"/>
          <w:b/>
          <w:color w:val="auto"/>
          <w:sz w:val="26"/>
          <w:szCs w:val="26"/>
        </w:rPr>
        <w:t>10.3结论</w:t>
      </w:r>
      <w:bookmarkEnd w:id="460"/>
      <w:bookmarkEnd w:id="461"/>
      <w:bookmarkEnd w:id="462"/>
      <w:bookmarkEnd w:id="463"/>
      <w:bookmarkEnd w:id="464"/>
    </w:p>
    <w:p w14:paraId="3153E78F">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综上所述，本工程实施后可有效改善地区的环境空气质量，用管道输送天然气还可减少运输带来的环境污染。</w:t>
      </w:r>
    </w:p>
    <w:p w14:paraId="51C818CD">
      <w:pPr>
        <w:pStyle w:val="93"/>
        <w:ind w:firstLine="520"/>
        <w:rPr>
          <w:rFonts w:hint="default" w:ascii="Times New Roman" w:hAnsi="Times New Roman" w:eastAsia="宋体" w:cs="Times New Roman"/>
          <w:color w:val="auto"/>
        </w:rPr>
      </w:pPr>
      <w:r>
        <w:rPr>
          <w:rFonts w:hint="default" w:ascii="Times New Roman" w:hAnsi="Times New Roman" w:eastAsia="宋体" w:cs="Times New Roman"/>
          <w:color w:val="auto"/>
        </w:rPr>
        <w:t>由此可见，本工程实施后所带来的经济效益、社会效益和环境效益，比本工程建设所造成的直接环境、经济损失要大得多。因此，本工程实施后所产生的经济效益、社会效益和环境效益是显著的。</w:t>
      </w:r>
      <w:bookmarkEnd w:id="446"/>
      <w:bookmarkEnd w:id="447"/>
    </w:p>
    <w:p w14:paraId="34B76EA0">
      <w:pPr>
        <w:adjustRightInd w:val="0"/>
        <w:snapToGrid w:val="0"/>
        <w:spacing w:after="120" w:afterLines="50"/>
        <w:jc w:val="center"/>
        <w:outlineLvl w:val="0"/>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br w:type="page"/>
      </w:r>
      <w:bookmarkStart w:id="465" w:name="_Toc8067"/>
      <w:r>
        <w:rPr>
          <w:rFonts w:hint="default" w:ascii="Times New Roman" w:hAnsi="Times New Roman" w:eastAsia="宋体" w:cs="Times New Roman"/>
          <w:b/>
          <w:color w:val="auto"/>
          <w:sz w:val="32"/>
          <w:szCs w:val="32"/>
        </w:rPr>
        <w:t>11 结论及建议</w:t>
      </w:r>
      <w:bookmarkEnd w:id="439"/>
      <w:bookmarkEnd w:id="440"/>
      <w:bookmarkEnd w:id="441"/>
      <w:bookmarkEnd w:id="465"/>
    </w:p>
    <w:p w14:paraId="5F92F0C6">
      <w:pPr>
        <w:spacing w:line="460" w:lineRule="exact"/>
        <w:ind w:firstLine="522" w:firstLineChars="200"/>
        <w:outlineLvl w:val="1"/>
        <w:rPr>
          <w:rFonts w:hint="default" w:ascii="Times New Roman" w:hAnsi="Times New Roman" w:eastAsia="宋体" w:cs="Times New Roman"/>
          <w:b/>
          <w:bCs/>
          <w:color w:val="auto"/>
          <w:sz w:val="26"/>
          <w:szCs w:val="26"/>
        </w:rPr>
      </w:pPr>
      <w:bookmarkStart w:id="466" w:name="_Toc45551127"/>
      <w:bookmarkStart w:id="467" w:name="_Toc60144443"/>
      <w:bookmarkStart w:id="468" w:name="_Toc423510492"/>
      <w:bookmarkStart w:id="469" w:name="_Toc30388"/>
      <w:bookmarkStart w:id="470" w:name="_Toc2827"/>
      <w:r>
        <w:rPr>
          <w:rFonts w:hint="default" w:ascii="Times New Roman" w:hAnsi="Times New Roman" w:eastAsia="宋体" w:cs="Times New Roman"/>
          <w:b/>
          <w:bCs/>
          <w:color w:val="auto"/>
          <w:sz w:val="26"/>
          <w:szCs w:val="26"/>
        </w:rPr>
        <w:t>11.1项目概况</w:t>
      </w:r>
      <w:bookmarkEnd w:id="466"/>
      <w:bookmarkEnd w:id="467"/>
      <w:bookmarkEnd w:id="468"/>
      <w:bookmarkEnd w:id="469"/>
      <w:bookmarkEnd w:id="470"/>
    </w:p>
    <w:p w14:paraId="785C6F1D">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“铁新线集输管道涉金钗湖水库建设迁改工程”</w:t>
      </w:r>
      <w:r>
        <w:rPr>
          <w:rFonts w:hint="default" w:ascii="Times New Roman" w:hAnsi="Times New Roman" w:eastAsia="宋体" w:cs="Times New Roman"/>
          <w:color w:val="auto"/>
        </w:rPr>
        <w:t>位于</w:t>
      </w:r>
      <w:r>
        <w:rPr>
          <w:rFonts w:hint="default" w:ascii="Times New Roman" w:hAnsi="Times New Roman" w:eastAsia="宋体" w:cs="Times New Roman"/>
          <w:color w:val="auto"/>
          <w:lang w:eastAsia="zh-CN"/>
        </w:rPr>
        <w:t>重庆市綦江区文龙街道</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建设内容为：对金钗湖水库征地拟占压的管道进行迁改，拟迁改管道起于綦江区文龙街道</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村金钗井东侧，止于文龙街道</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村云雾蹬西侧，</w:t>
      </w:r>
      <w:r>
        <w:rPr>
          <w:rFonts w:hint="default" w:ascii="Times New Roman" w:hAnsi="Times New Roman" w:eastAsia="宋体" w:cs="Times New Roman"/>
          <w:bCs/>
          <w:color w:val="auto"/>
          <w:sz w:val="26"/>
          <w:szCs w:val="26"/>
        </w:rPr>
        <w:t>管线总迁改长度为</w:t>
      </w:r>
      <w:r>
        <w:rPr>
          <w:rFonts w:hint="default" w:ascii="Times New Roman" w:hAnsi="Times New Roman" w:eastAsia="宋体" w:cs="Times New Roman"/>
          <w:bCs/>
          <w:color w:val="auto"/>
          <w:sz w:val="26"/>
          <w:szCs w:val="26"/>
          <w:lang w:val="en-US" w:eastAsia="zh-CN"/>
        </w:rPr>
        <w:t>1451.9</w:t>
      </w:r>
      <w:r>
        <w:rPr>
          <w:rFonts w:hint="default" w:ascii="Times New Roman" w:hAnsi="Times New Roman" w:eastAsia="宋体" w:cs="Times New Roman"/>
          <w:bCs/>
          <w:color w:val="auto"/>
          <w:sz w:val="26"/>
          <w:szCs w:val="26"/>
        </w:rPr>
        <w:t>m</w:t>
      </w:r>
      <w:r>
        <w:rPr>
          <w:rFonts w:hint="default" w:ascii="Times New Roman" w:hAnsi="Times New Roman" w:eastAsia="宋体" w:cs="Times New Roman"/>
          <w:color w:val="auto"/>
          <w:lang w:val="en-US" w:eastAsia="zh-CN"/>
        </w:rPr>
        <w:t>，管道维持原有输气管径、设计压力和设计输量，</w:t>
      </w:r>
      <w:r>
        <w:rPr>
          <w:rFonts w:hint="default" w:ascii="Times New Roman" w:hAnsi="Times New Roman" w:eastAsia="宋体" w:cs="Times New Roman"/>
          <w:color w:val="auto"/>
          <w:lang w:eastAsia="zh-CN"/>
        </w:rPr>
        <w:t>采用D89×5 L245N PSL2无缝钢管，设计压力4.0MPa、输量设计</w:t>
      </w:r>
      <w:r>
        <w:rPr>
          <w:rFonts w:hint="default" w:ascii="Times New Roman" w:hAnsi="Times New Roman" w:eastAsia="宋体" w:cs="Times New Roman"/>
          <w:color w:val="auto"/>
          <w:lang w:val="en-US" w:eastAsia="zh-CN"/>
        </w:rPr>
        <w:t>规模</w:t>
      </w:r>
      <w:r>
        <w:rPr>
          <w:rFonts w:hint="default" w:ascii="Times New Roman" w:hAnsi="Times New Roman" w:eastAsia="宋体" w:cs="Times New Roman"/>
          <w:color w:val="auto"/>
          <w:lang w:eastAsia="zh-CN"/>
        </w:rPr>
        <w:t>为</w:t>
      </w:r>
      <w:r>
        <w:rPr>
          <w:rFonts w:hint="eastAsia" w:ascii="Times New Roman" w:hAnsi="Times New Roman" w:cs="Times New Roman"/>
          <w:color w:val="auto"/>
          <w:vertAlign w:val="baseline"/>
          <w:lang w:val="en-US" w:eastAsia="zh-CN"/>
        </w:rPr>
        <w:t>***</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/d，输送介质</w:t>
      </w:r>
      <w:r>
        <w:rPr>
          <w:rFonts w:hint="default" w:ascii="Times New Roman" w:hAnsi="Times New Roman" w:eastAsia="宋体" w:cs="Times New Roman"/>
          <w:color w:val="auto"/>
          <w:lang w:val="en-US" w:eastAsia="zh-CN"/>
        </w:rPr>
        <w:t>为</w:t>
      </w:r>
      <w:r>
        <w:rPr>
          <w:rFonts w:hint="default" w:ascii="Times New Roman" w:hAnsi="Times New Roman" w:eastAsia="宋体" w:cs="Times New Roman"/>
          <w:color w:val="auto"/>
          <w:lang w:eastAsia="zh-CN"/>
        </w:rPr>
        <w:t>净化气</w:t>
      </w:r>
      <w:r>
        <w:rPr>
          <w:rFonts w:hint="default" w:ascii="Times New Roman" w:hAnsi="Times New Roman" w:eastAsia="宋体" w:cs="Times New Roman"/>
          <w:color w:val="auto"/>
          <w:lang w:val="en-US" w:eastAsia="zh-CN"/>
        </w:rPr>
        <w:t>，本项目不含两端站场的建设</w:t>
      </w:r>
      <w:r>
        <w:rPr>
          <w:rFonts w:hint="default" w:ascii="Times New Roman" w:hAnsi="Times New Roman" w:eastAsia="宋体" w:cs="Times New Roman"/>
          <w:color w:val="auto"/>
        </w:rPr>
        <w:t>。</w:t>
      </w:r>
    </w:p>
    <w:p w14:paraId="4BBA3E1A">
      <w:pPr>
        <w:adjustRightInd w:val="0"/>
        <w:snapToGrid w:val="0"/>
        <w:spacing w:line="50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color w:val="auto"/>
          <w:sz w:val="26"/>
          <w:szCs w:val="26"/>
        </w:rPr>
        <w:t>项目总投资</w:t>
      </w:r>
      <w:r>
        <w:rPr>
          <w:rFonts w:hint="eastAsia" w:ascii="Times New Roman" w:hAnsi="Times New Roman" w:cs="Times New Roman"/>
          <w:color w:val="auto"/>
          <w:vertAlign w:val="baseline"/>
          <w:lang w:val="en-US" w:eastAsia="zh-CN"/>
        </w:rPr>
        <w:t>***</w:t>
      </w:r>
      <w:r>
        <w:rPr>
          <w:rFonts w:hint="default" w:ascii="Times New Roman" w:hAnsi="Times New Roman" w:eastAsia="宋体" w:cs="Times New Roman"/>
          <w:color w:val="auto"/>
          <w:sz w:val="26"/>
          <w:szCs w:val="26"/>
        </w:rPr>
        <w:t>万元，环保投资</w:t>
      </w:r>
      <w:r>
        <w:rPr>
          <w:rFonts w:hint="eastAsia" w:ascii="Times New Roman" w:hAnsi="Times New Roman" w:cs="Times New Roman"/>
          <w:color w:val="auto"/>
          <w:vertAlign w:val="baseline"/>
          <w:lang w:val="en-US" w:eastAsia="zh-CN"/>
        </w:rPr>
        <w:t>***</w:t>
      </w:r>
      <w:r>
        <w:rPr>
          <w:rFonts w:hint="default" w:ascii="Times New Roman" w:hAnsi="Times New Roman" w:eastAsia="宋体" w:cs="Times New Roman"/>
          <w:color w:val="auto"/>
          <w:sz w:val="26"/>
          <w:szCs w:val="26"/>
        </w:rPr>
        <w:t>万元，约占总投资的</w:t>
      </w:r>
      <w:r>
        <w:rPr>
          <w:rFonts w:hint="eastAsia" w:ascii="Times New Roman" w:hAnsi="Times New Roman" w:cs="Times New Roman"/>
          <w:color w:val="auto"/>
          <w:vertAlign w:val="baseline"/>
          <w:lang w:val="en-US" w:eastAsia="zh-CN"/>
        </w:rPr>
        <w:t>***%</w:t>
      </w:r>
      <w:r>
        <w:rPr>
          <w:rFonts w:hint="default" w:ascii="Times New Roman" w:hAnsi="Times New Roman" w:eastAsia="宋体" w:cs="Times New Roman"/>
          <w:bCs/>
          <w:color w:val="auto"/>
          <w:sz w:val="26"/>
          <w:szCs w:val="26"/>
        </w:rPr>
        <w:t>。</w:t>
      </w:r>
    </w:p>
    <w:p w14:paraId="3D1CE1FB">
      <w:pPr>
        <w:spacing w:line="460" w:lineRule="exact"/>
        <w:ind w:firstLine="522" w:firstLineChars="200"/>
        <w:outlineLvl w:val="1"/>
        <w:rPr>
          <w:rFonts w:hint="default" w:ascii="Times New Roman" w:hAnsi="Times New Roman" w:eastAsia="宋体" w:cs="Times New Roman"/>
          <w:b/>
          <w:bCs/>
          <w:color w:val="auto"/>
          <w:sz w:val="26"/>
          <w:szCs w:val="26"/>
        </w:rPr>
      </w:pPr>
      <w:bookmarkStart w:id="471" w:name="_Toc45551128"/>
      <w:bookmarkStart w:id="472" w:name="_Toc28365"/>
      <w:bookmarkStart w:id="473" w:name="_Toc30817"/>
      <w:bookmarkStart w:id="474" w:name="_Toc60144444"/>
      <w:r>
        <w:rPr>
          <w:rFonts w:hint="default" w:ascii="Times New Roman" w:hAnsi="Times New Roman" w:eastAsia="宋体" w:cs="Times New Roman"/>
          <w:b/>
          <w:bCs/>
          <w:color w:val="auto"/>
          <w:sz w:val="26"/>
          <w:szCs w:val="26"/>
        </w:rPr>
        <w:t>11.2环境质量现状评价结论</w:t>
      </w:r>
      <w:bookmarkEnd w:id="471"/>
      <w:bookmarkEnd w:id="472"/>
      <w:bookmarkEnd w:id="473"/>
      <w:bookmarkEnd w:id="474"/>
    </w:p>
    <w:p w14:paraId="2F53C94B">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11.2.</w:t>
      </w:r>
      <w:r>
        <w:rPr>
          <w:rFonts w:hint="default" w:ascii="Times New Roman" w:hAnsi="Times New Roman" w:eastAsia="宋体" w:cs="Times New Roman"/>
          <w:b/>
          <w:color w:val="auto"/>
          <w:sz w:val="26"/>
          <w:szCs w:val="26"/>
          <w:lang w:val="en-US" w:eastAsia="zh-CN"/>
        </w:rPr>
        <w:t>1</w:t>
      </w:r>
      <w:r>
        <w:rPr>
          <w:rFonts w:hint="default" w:ascii="Times New Roman" w:hAnsi="Times New Roman" w:eastAsia="宋体" w:cs="Times New Roman"/>
          <w:b/>
          <w:color w:val="auto"/>
          <w:sz w:val="26"/>
          <w:szCs w:val="26"/>
        </w:rPr>
        <w:t>环境空气</w:t>
      </w:r>
    </w:p>
    <w:p w14:paraId="57AAB3FC">
      <w:pPr>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根据《2024年重庆市生态环境状况公报》，</w:t>
      </w:r>
      <w:r>
        <w:rPr>
          <w:rFonts w:hint="default" w:ascii="Times New Roman" w:hAnsi="Times New Roman" w:eastAsia="宋体" w:cs="Times New Roman"/>
          <w:color w:val="auto"/>
          <w:sz w:val="26"/>
          <w:szCs w:val="26"/>
          <w:highlight w:val="none"/>
          <w:lang w:val="en-US" w:eastAsia="zh-CN"/>
        </w:rPr>
        <w:t>綦江区2024年</w:t>
      </w:r>
      <w:r>
        <w:rPr>
          <w:rFonts w:hint="default" w:ascii="Times New Roman" w:hAnsi="Times New Roman" w:eastAsia="宋体" w:cs="Times New Roman"/>
          <w:color w:val="auto"/>
          <w:sz w:val="26"/>
          <w:szCs w:val="26"/>
          <w:highlight w:val="none"/>
        </w:rPr>
        <w:t>属于不达标区，超标因子为PM</w:t>
      </w:r>
      <w:r>
        <w:rPr>
          <w:rFonts w:hint="default" w:ascii="Times New Roman" w:hAnsi="Times New Roman" w:eastAsia="宋体" w:cs="Times New Roman"/>
          <w:color w:val="auto"/>
          <w:sz w:val="26"/>
          <w:szCs w:val="26"/>
          <w:highlight w:val="none"/>
          <w:vertAlign w:val="subscript"/>
        </w:rPr>
        <w:t>2.5</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根据，</w:t>
      </w:r>
      <w:r>
        <w:rPr>
          <w:rFonts w:hint="default" w:ascii="Times New Roman" w:hAnsi="Times New Roman" w:eastAsia="宋体" w:cs="Times New Roman"/>
          <w:color w:val="auto"/>
          <w:sz w:val="26"/>
          <w:szCs w:val="26"/>
          <w:highlight w:val="none"/>
        </w:rPr>
        <w:t>重庆市</w:t>
      </w:r>
      <w:r>
        <w:rPr>
          <w:rFonts w:hint="default" w:ascii="Times New Roman" w:hAnsi="Times New Roman" w:eastAsia="宋体" w:cs="Times New Roman"/>
          <w:color w:val="auto"/>
          <w:sz w:val="26"/>
          <w:szCs w:val="26"/>
          <w:highlight w:val="none"/>
          <w:lang w:val="en-US" w:eastAsia="zh-CN"/>
        </w:rPr>
        <w:t>綦江区</w:t>
      </w:r>
      <w:r>
        <w:rPr>
          <w:rFonts w:hint="default" w:ascii="Times New Roman" w:hAnsi="Times New Roman" w:eastAsia="宋体" w:cs="Times New Roman"/>
          <w:color w:val="auto"/>
          <w:sz w:val="26"/>
          <w:szCs w:val="26"/>
          <w:highlight w:val="none"/>
        </w:rPr>
        <w:t>发布的《重庆市綦江区生态环境保护“十四五”规划（2021-2025）》（</w:t>
      </w:r>
      <w:r>
        <w:rPr>
          <w:rFonts w:hint="default" w:ascii="Times New Roman" w:hAnsi="Times New Roman" w:eastAsia="宋体" w:cs="Times New Roman"/>
          <w:color w:val="auto"/>
          <w:sz w:val="26"/>
          <w:szCs w:val="26"/>
          <w:highlight w:val="none"/>
          <w:lang w:val="en-US" w:eastAsia="zh-CN"/>
        </w:rPr>
        <w:t>綦</w:t>
      </w:r>
      <w:r>
        <w:rPr>
          <w:rFonts w:hint="default" w:ascii="Times New Roman" w:hAnsi="Times New Roman" w:eastAsia="宋体" w:cs="Times New Roman"/>
          <w:color w:val="auto"/>
          <w:sz w:val="26"/>
          <w:szCs w:val="26"/>
          <w:highlight w:val="none"/>
        </w:rPr>
        <w:t>府发〔2021〕</w:t>
      </w:r>
      <w:r>
        <w:rPr>
          <w:rFonts w:hint="default" w:ascii="Times New Roman" w:hAnsi="Times New Roman" w:eastAsia="宋体" w:cs="Times New Roman"/>
          <w:color w:val="auto"/>
          <w:sz w:val="26"/>
          <w:szCs w:val="26"/>
          <w:highlight w:val="none"/>
          <w:lang w:val="en-US" w:eastAsia="zh-CN"/>
        </w:rPr>
        <w:t>28</w:t>
      </w:r>
      <w:r>
        <w:rPr>
          <w:rFonts w:hint="default" w:ascii="Times New Roman" w:hAnsi="Times New Roman" w:eastAsia="宋体" w:cs="Times New Roman"/>
          <w:color w:val="auto"/>
          <w:sz w:val="26"/>
          <w:szCs w:val="26"/>
          <w:highlight w:val="none"/>
        </w:rPr>
        <w:t>号）</w:t>
      </w:r>
      <w:r>
        <w:rPr>
          <w:rFonts w:hint="default" w:ascii="Times New Roman" w:hAnsi="Times New Roman" w:eastAsia="宋体" w:cs="Times New Roman"/>
          <w:color w:val="auto"/>
          <w:sz w:val="26"/>
          <w:szCs w:val="26"/>
          <w:highlight w:val="none"/>
          <w:lang w:val="en-US" w:eastAsia="zh-CN"/>
        </w:rPr>
        <w:t>和《綦江区空气质量改善行动计划》</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预计</w:t>
      </w:r>
      <w:r>
        <w:rPr>
          <w:rFonts w:hint="default" w:ascii="Times New Roman" w:hAnsi="Times New Roman" w:eastAsia="宋体" w:cs="Times New Roman"/>
          <w:color w:val="auto"/>
          <w:sz w:val="26"/>
          <w:szCs w:val="26"/>
        </w:rPr>
        <w:t>在</w:t>
      </w:r>
      <w:r>
        <w:rPr>
          <w:rFonts w:hint="default" w:ascii="Times New Roman" w:hAnsi="Times New Roman" w:eastAsia="宋体" w:cs="Times New Roman"/>
          <w:color w:val="auto"/>
          <w:sz w:val="26"/>
          <w:szCs w:val="26"/>
          <w:lang w:val="en-US" w:eastAsia="zh-CN"/>
        </w:rPr>
        <w:t>落实各项</w:t>
      </w:r>
      <w:r>
        <w:rPr>
          <w:rFonts w:hint="default" w:ascii="Times New Roman" w:hAnsi="Times New Roman" w:eastAsia="宋体" w:cs="Times New Roman"/>
          <w:color w:val="auto"/>
          <w:sz w:val="26"/>
          <w:szCs w:val="26"/>
        </w:rPr>
        <w:t>措施后，可改善区域环境质量达标情况。</w:t>
      </w:r>
    </w:p>
    <w:p w14:paraId="505020A7">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11.2.2地表水环境</w:t>
      </w:r>
    </w:p>
    <w:p w14:paraId="04C05B33">
      <w:pPr>
        <w:keepNext w:val="0"/>
        <w:keepLines w:val="0"/>
        <w:pageBreakBefore w:val="0"/>
        <w:widowControl/>
        <w:kinsoku/>
        <w:wordWrap w:val="0"/>
        <w:overflowPunct/>
        <w:topLinePunct w:val="0"/>
        <w:autoSpaceDE/>
        <w:autoSpaceDN/>
        <w:bidi w:val="0"/>
        <w:adjustRightInd/>
        <w:snapToGrid/>
        <w:spacing w:line="500" w:lineRule="exact"/>
        <w:ind w:firstLine="520" w:firstLineChars="200"/>
        <w:textAlignment w:val="auto"/>
        <w:rPr>
          <w:rFonts w:hint="default" w:ascii="Times New Roman" w:hAnsi="Times New Roman" w:eastAsia="宋体" w:cs="Times New Roman"/>
          <w:color w:val="auto"/>
          <w:sz w:val="26"/>
          <w:szCs w:val="26"/>
          <w:lang w:val="en-US" w:eastAsia="zh-CN" w:bidi="ar-SA"/>
        </w:rPr>
      </w:pPr>
      <w:r>
        <w:rPr>
          <w:rFonts w:hint="default" w:ascii="Times New Roman" w:hAnsi="Times New Roman" w:eastAsia="宋体" w:cs="Times New Roman"/>
          <w:color w:val="auto"/>
          <w:sz w:val="26"/>
          <w:szCs w:val="26"/>
        </w:rPr>
        <w:t>根</w:t>
      </w:r>
      <w:r>
        <w:rPr>
          <w:rFonts w:hint="default" w:ascii="Times New Roman" w:hAnsi="Times New Roman" w:eastAsia="宋体" w:cs="Times New Roman"/>
          <w:color w:val="auto"/>
          <w:sz w:val="26"/>
          <w:szCs w:val="26"/>
          <w:lang w:val="en-US" w:eastAsia="zh-CN" w:bidi="ar-SA"/>
        </w:rPr>
        <w:t>据綦江区生态环境局发布的《2024年綦江区生态环境质量简报》，2024年綦江区地表水环境质量良好，8个国控、市控、市控评价河流地表水断面和15个水功能区水质监测断面均满足《地表水环境质量标准》（GB3838-2002）中Ⅲ类水域功能要求，河流地表水水质平均达标率为100%。项目所在区域地表水环境质量较好。</w:t>
      </w:r>
    </w:p>
    <w:p w14:paraId="687D7977">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lang w:val="en-US" w:eastAsia="zh-CN"/>
        </w:rPr>
      </w:pPr>
      <w:bookmarkStart w:id="475" w:name="_Toc45551129"/>
      <w:bookmarkStart w:id="476" w:name="_Toc60144445"/>
      <w:bookmarkStart w:id="477" w:name="_Toc31536"/>
      <w:r>
        <w:rPr>
          <w:rFonts w:hint="default" w:ascii="Times New Roman" w:hAnsi="Times New Roman" w:eastAsia="宋体" w:cs="Times New Roman"/>
          <w:b/>
          <w:color w:val="auto"/>
          <w:sz w:val="26"/>
          <w:szCs w:val="26"/>
        </w:rPr>
        <w:t>11.2.</w:t>
      </w:r>
      <w:r>
        <w:rPr>
          <w:rFonts w:hint="default" w:ascii="Times New Roman" w:hAnsi="Times New Roman" w:eastAsia="宋体" w:cs="Times New Roman"/>
          <w:b/>
          <w:color w:val="auto"/>
          <w:sz w:val="26"/>
          <w:szCs w:val="26"/>
          <w:lang w:val="en-US" w:eastAsia="zh-CN"/>
        </w:rPr>
        <w:t>3</w:t>
      </w:r>
      <w:r>
        <w:rPr>
          <w:rFonts w:hint="default" w:ascii="Times New Roman" w:hAnsi="Times New Roman" w:eastAsia="宋体" w:cs="Times New Roman"/>
          <w:b/>
          <w:color w:val="auto"/>
          <w:sz w:val="26"/>
          <w:szCs w:val="26"/>
        </w:rPr>
        <w:t xml:space="preserve"> 地下水</w:t>
      </w:r>
      <w:r>
        <w:rPr>
          <w:rFonts w:hint="default" w:ascii="Times New Roman" w:hAnsi="Times New Roman" w:eastAsia="宋体" w:cs="Times New Roman"/>
          <w:b/>
          <w:color w:val="auto"/>
          <w:sz w:val="26"/>
          <w:szCs w:val="26"/>
          <w:lang w:val="en-US" w:eastAsia="zh-CN"/>
        </w:rPr>
        <w:t>环境</w:t>
      </w:r>
    </w:p>
    <w:p w14:paraId="4AA92257">
      <w:pPr>
        <w:pStyle w:val="56"/>
        <w:rPr>
          <w:rFonts w:hint="default" w:ascii="Times New Roman" w:hAnsi="Times New Roman" w:eastAsia="宋体" w:cs="Times New Roman"/>
          <w:b/>
          <w:color w:val="auto"/>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val="en-US" w:eastAsia="zh-CN"/>
        </w:rPr>
        <w:t>调查</w:t>
      </w:r>
      <w:r>
        <w:rPr>
          <w:rFonts w:hint="default" w:ascii="Times New Roman" w:hAnsi="Times New Roman" w:eastAsia="宋体" w:cs="Times New Roman"/>
          <w:color w:val="auto"/>
        </w:rPr>
        <w:t>，项目所在区域地下水环境满足《环境影响评价技术导则 地下水环境》（HJ610-2016）Ⅲ类水质量标准。</w:t>
      </w:r>
    </w:p>
    <w:p w14:paraId="008FC95D">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11.2.4声环境</w:t>
      </w:r>
    </w:p>
    <w:p w14:paraId="398A6BC5">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val="en-US" w:eastAsia="zh-CN"/>
        </w:rPr>
        <w:t>调查</w:t>
      </w:r>
      <w:r>
        <w:rPr>
          <w:rFonts w:hint="default" w:ascii="Times New Roman" w:hAnsi="Times New Roman" w:eastAsia="宋体" w:cs="Times New Roman"/>
          <w:color w:val="auto"/>
        </w:rPr>
        <w:t>，项目所在区域声环境质量满足《声环境质量标准》（GB3096-2008）2类声功能区标准。</w:t>
      </w:r>
    </w:p>
    <w:p w14:paraId="4771B59C">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11.2.</w:t>
      </w:r>
      <w:r>
        <w:rPr>
          <w:rFonts w:hint="default" w:ascii="Times New Roman" w:hAnsi="Times New Roman" w:eastAsia="宋体" w:cs="Times New Roman"/>
          <w:b/>
          <w:color w:val="auto"/>
          <w:sz w:val="26"/>
          <w:szCs w:val="26"/>
          <w:lang w:val="en-US" w:eastAsia="zh-CN"/>
        </w:rPr>
        <w:t>5</w:t>
      </w:r>
      <w:r>
        <w:rPr>
          <w:rFonts w:hint="default" w:ascii="Times New Roman" w:hAnsi="Times New Roman" w:eastAsia="宋体" w:cs="Times New Roman"/>
          <w:b/>
          <w:color w:val="auto"/>
          <w:sz w:val="26"/>
          <w:szCs w:val="26"/>
        </w:rPr>
        <w:t>生态环境</w:t>
      </w:r>
    </w:p>
    <w:p w14:paraId="25DC2D8D">
      <w:pPr>
        <w:adjustRightInd w:val="0"/>
        <w:snapToGrid w:val="0"/>
        <w:spacing w:line="50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根据现场踏勘，项目位于农村区域，全线位于</w:t>
      </w:r>
      <w:r>
        <w:rPr>
          <w:rFonts w:hint="default" w:ascii="Times New Roman" w:hAnsi="Times New Roman" w:eastAsia="宋体" w:cs="Times New Roman"/>
          <w:bCs/>
          <w:color w:val="auto"/>
          <w:sz w:val="26"/>
          <w:szCs w:val="26"/>
          <w:lang w:eastAsia="zh-CN"/>
        </w:rPr>
        <w:t>文龙街道</w:t>
      </w:r>
      <w:r>
        <w:rPr>
          <w:rFonts w:hint="default" w:ascii="Times New Roman" w:hAnsi="Times New Roman" w:eastAsia="宋体" w:cs="Times New Roman"/>
          <w:bCs/>
          <w:color w:val="auto"/>
          <w:sz w:val="26"/>
          <w:szCs w:val="26"/>
        </w:rPr>
        <w:t>范围内，施工活动范围内无珍稀保护植物</w:t>
      </w:r>
      <w:r>
        <w:rPr>
          <w:rFonts w:hint="default" w:ascii="Times New Roman" w:hAnsi="Times New Roman" w:eastAsia="宋体" w:cs="Times New Roman"/>
          <w:bCs/>
          <w:color w:val="auto"/>
          <w:sz w:val="26"/>
          <w:szCs w:val="26"/>
          <w:lang w:val="en-US" w:eastAsia="zh-CN"/>
        </w:rPr>
        <w:t>及</w:t>
      </w:r>
      <w:r>
        <w:rPr>
          <w:rFonts w:hint="default" w:ascii="Times New Roman" w:hAnsi="Times New Roman" w:eastAsia="宋体" w:cs="Times New Roman"/>
          <w:bCs/>
          <w:color w:val="auto"/>
          <w:sz w:val="26"/>
          <w:szCs w:val="26"/>
        </w:rPr>
        <w:t>古树名木分布</w:t>
      </w:r>
      <w:r>
        <w:rPr>
          <w:rFonts w:hint="default" w:ascii="Times New Roman" w:hAnsi="Times New Roman" w:eastAsia="宋体" w:cs="Times New Roman"/>
          <w:bCs/>
          <w:color w:val="auto"/>
          <w:sz w:val="26"/>
          <w:szCs w:val="26"/>
          <w:lang w:eastAsia="zh-CN"/>
        </w:rPr>
        <w:t>，</w:t>
      </w:r>
      <w:r>
        <w:rPr>
          <w:rFonts w:hint="default" w:ascii="Times New Roman" w:hAnsi="Times New Roman" w:eastAsia="宋体" w:cs="Times New Roman"/>
          <w:bCs/>
          <w:color w:val="auto"/>
          <w:sz w:val="26"/>
          <w:szCs w:val="26"/>
        </w:rPr>
        <w:t>评价范围内不涉及自然保护区、文物古迹、生态保护红线</w:t>
      </w:r>
      <w:r>
        <w:rPr>
          <w:rFonts w:hint="default" w:ascii="Times New Roman" w:hAnsi="Times New Roman" w:eastAsia="宋体" w:cs="Times New Roman"/>
          <w:bCs/>
          <w:color w:val="auto"/>
          <w:sz w:val="26"/>
          <w:szCs w:val="26"/>
          <w:lang w:val="en-US" w:eastAsia="zh-CN"/>
        </w:rPr>
        <w:t>等特殊敏感区域</w:t>
      </w:r>
      <w:r>
        <w:rPr>
          <w:rFonts w:hint="default" w:ascii="Times New Roman" w:hAnsi="Times New Roman" w:eastAsia="宋体" w:cs="Times New Roman"/>
          <w:bCs/>
          <w:color w:val="auto"/>
          <w:sz w:val="26"/>
          <w:szCs w:val="26"/>
        </w:rPr>
        <w:t>。</w:t>
      </w:r>
    </w:p>
    <w:p w14:paraId="23DC35E7">
      <w:pPr>
        <w:adjustRightInd w:val="0"/>
        <w:snapToGrid w:val="0"/>
        <w:spacing w:line="50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评价区面积为</w:t>
      </w:r>
      <w:r>
        <w:rPr>
          <w:rFonts w:hint="default" w:ascii="Times New Roman" w:hAnsi="Times New Roman" w:eastAsia="宋体" w:cs="Times New Roman"/>
          <w:bCs/>
          <w:color w:val="auto"/>
          <w:sz w:val="26"/>
          <w:szCs w:val="26"/>
          <w:lang w:val="en-US" w:eastAsia="zh-CN"/>
        </w:rPr>
        <w:t>110.13h</w:t>
      </w:r>
      <w:r>
        <w:rPr>
          <w:rFonts w:hint="default" w:ascii="Times New Roman" w:hAnsi="Times New Roman" w:eastAsia="宋体" w:cs="Times New Roman"/>
          <w:bCs/>
          <w:color w:val="auto"/>
          <w:sz w:val="26"/>
          <w:szCs w:val="26"/>
        </w:rPr>
        <w:t>m</w:t>
      </w:r>
      <w:r>
        <w:rPr>
          <w:rFonts w:hint="default" w:ascii="Times New Roman" w:hAnsi="Times New Roman" w:eastAsia="宋体" w:cs="Times New Roman"/>
          <w:bCs/>
          <w:color w:val="auto"/>
          <w:sz w:val="26"/>
          <w:szCs w:val="26"/>
          <w:vertAlign w:val="superscript"/>
        </w:rPr>
        <w:t>2</w:t>
      </w:r>
      <w:r>
        <w:rPr>
          <w:rFonts w:hint="default" w:ascii="Times New Roman" w:hAnsi="Times New Roman" w:eastAsia="宋体" w:cs="Times New Roman"/>
          <w:bCs/>
          <w:color w:val="auto"/>
          <w:sz w:val="26"/>
          <w:szCs w:val="26"/>
        </w:rPr>
        <w:t>，生态评价范围土地利用现状以</w:t>
      </w:r>
      <w:r>
        <w:rPr>
          <w:rFonts w:hint="default" w:ascii="Times New Roman" w:hAnsi="Times New Roman" w:eastAsia="宋体" w:cs="Times New Roman"/>
          <w:bCs/>
          <w:color w:val="auto"/>
          <w:sz w:val="26"/>
          <w:szCs w:val="26"/>
          <w:lang w:val="en-US" w:eastAsia="zh-CN"/>
        </w:rPr>
        <w:t>林地</w:t>
      </w:r>
      <w:r>
        <w:rPr>
          <w:rFonts w:hint="default" w:ascii="Times New Roman" w:hAnsi="Times New Roman" w:eastAsia="宋体" w:cs="Times New Roman"/>
          <w:bCs/>
          <w:color w:val="auto"/>
          <w:sz w:val="26"/>
          <w:szCs w:val="26"/>
        </w:rPr>
        <w:t>为主，面积占比约</w:t>
      </w:r>
      <w:r>
        <w:rPr>
          <w:rFonts w:hint="default" w:ascii="Times New Roman" w:hAnsi="Times New Roman" w:eastAsia="宋体" w:cs="Times New Roman"/>
          <w:bCs/>
          <w:color w:val="auto"/>
          <w:sz w:val="26"/>
          <w:szCs w:val="26"/>
          <w:lang w:val="en-US" w:eastAsia="zh-CN"/>
        </w:rPr>
        <w:t>59.50</w:t>
      </w:r>
      <w:r>
        <w:rPr>
          <w:rFonts w:hint="default" w:ascii="Times New Roman" w:hAnsi="Times New Roman" w:eastAsia="宋体" w:cs="Times New Roman"/>
          <w:bCs/>
          <w:color w:val="auto"/>
          <w:sz w:val="26"/>
          <w:szCs w:val="26"/>
        </w:rPr>
        <w:t>%；其次为</w:t>
      </w:r>
      <w:r>
        <w:rPr>
          <w:rFonts w:hint="default" w:ascii="Times New Roman" w:hAnsi="Times New Roman" w:eastAsia="宋体" w:cs="Times New Roman"/>
          <w:bCs/>
          <w:color w:val="auto"/>
          <w:sz w:val="26"/>
          <w:szCs w:val="26"/>
          <w:lang w:val="en-US" w:eastAsia="zh-CN"/>
        </w:rPr>
        <w:t>耕</w:t>
      </w:r>
      <w:r>
        <w:rPr>
          <w:rFonts w:hint="default" w:ascii="Times New Roman" w:hAnsi="Times New Roman" w:eastAsia="宋体" w:cs="Times New Roman"/>
          <w:bCs/>
          <w:color w:val="auto"/>
          <w:sz w:val="26"/>
          <w:szCs w:val="26"/>
        </w:rPr>
        <w:t>地，面积占比为</w:t>
      </w:r>
      <w:r>
        <w:rPr>
          <w:rFonts w:hint="default" w:ascii="Times New Roman" w:hAnsi="Times New Roman" w:eastAsia="宋体" w:cs="Times New Roman"/>
          <w:bCs/>
          <w:color w:val="auto"/>
          <w:sz w:val="26"/>
          <w:szCs w:val="26"/>
          <w:lang w:val="en-US" w:eastAsia="zh-CN"/>
        </w:rPr>
        <w:t>27.37</w:t>
      </w:r>
      <w:r>
        <w:rPr>
          <w:rFonts w:hint="default" w:ascii="Times New Roman" w:hAnsi="Times New Roman" w:eastAsia="宋体" w:cs="Times New Roman"/>
          <w:bCs/>
          <w:color w:val="auto"/>
          <w:sz w:val="26"/>
          <w:szCs w:val="26"/>
        </w:rPr>
        <w:t>%</w:t>
      </w:r>
      <w:r>
        <w:rPr>
          <w:rFonts w:hint="default" w:ascii="Times New Roman" w:hAnsi="Times New Roman" w:eastAsia="宋体" w:cs="Times New Roman"/>
          <w:bCs/>
          <w:color w:val="auto"/>
          <w:sz w:val="26"/>
          <w:szCs w:val="26"/>
          <w:lang w:eastAsia="zh-CN"/>
        </w:rPr>
        <w:t>。</w:t>
      </w:r>
      <w:r>
        <w:rPr>
          <w:rFonts w:hint="default" w:ascii="Times New Roman" w:hAnsi="Times New Roman" w:eastAsia="宋体" w:cs="Times New Roman"/>
          <w:bCs/>
          <w:color w:val="auto"/>
          <w:sz w:val="26"/>
          <w:szCs w:val="26"/>
        </w:rPr>
        <w:t>植被类型主要以针叶林和栽培植</w:t>
      </w:r>
      <w:r>
        <w:rPr>
          <w:rFonts w:hint="default" w:ascii="Times New Roman" w:hAnsi="Times New Roman" w:eastAsia="宋体" w:cs="Times New Roman"/>
          <w:bCs/>
          <w:color w:val="auto"/>
          <w:sz w:val="26"/>
          <w:szCs w:val="26"/>
          <w:lang w:val="en-US" w:eastAsia="zh-CN"/>
        </w:rPr>
        <w:t>被</w:t>
      </w:r>
      <w:r>
        <w:rPr>
          <w:rFonts w:hint="default" w:ascii="Times New Roman" w:hAnsi="Times New Roman" w:eastAsia="宋体" w:cs="Times New Roman"/>
          <w:bCs/>
          <w:color w:val="auto"/>
          <w:sz w:val="26"/>
          <w:szCs w:val="26"/>
        </w:rPr>
        <w:t>为主</w:t>
      </w:r>
      <w:r>
        <w:rPr>
          <w:rFonts w:hint="default" w:ascii="Times New Roman" w:hAnsi="Times New Roman" w:eastAsia="宋体" w:cs="Times New Roman"/>
          <w:bCs/>
          <w:color w:val="auto"/>
          <w:sz w:val="26"/>
          <w:szCs w:val="26"/>
          <w:lang w:eastAsia="zh-CN"/>
        </w:rPr>
        <w:t>，</w:t>
      </w:r>
      <w:r>
        <w:rPr>
          <w:rFonts w:hint="default" w:ascii="Times New Roman" w:hAnsi="Times New Roman" w:eastAsia="宋体" w:cs="Times New Roman"/>
          <w:bCs/>
          <w:color w:val="auto"/>
          <w:sz w:val="26"/>
          <w:szCs w:val="26"/>
          <w:lang w:val="en-US" w:eastAsia="zh-CN"/>
        </w:rPr>
        <w:t>其中，</w:t>
      </w:r>
      <w:r>
        <w:rPr>
          <w:rFonts w:hint="default" w:ascii="Times New Roman" w:hAnsi="Times New Roman" w:eastAsia="宋体" w:cs="Times New Roman"/>
          <w:bCs/>
          <w:color w:val="auto"/>
          <w:sz w:val="26"/>
          <w:szCs w:val="26"/>
        </w:rPr>
        <w:t>针叶林的面积为</w:t>
      </w:r>
      <w:r>
        <w:rPr>
          <w:rFonts w:hint="default" w:ascii="Times New Roman" w:hAnsi="Times New Roman" w:eastAsia="宋体" w:cs="Times New Roman"/>
          <w:bCs/>
          <w:color w:val="auto"/>
          <w:sz w:val="26"/>
          <w:szCs w:val="26"/>
          <w:lang w:val="en-US" w:eastAsia="zh-CN"/>
        </w:rPr>
        <w:t>44.47h</w:t>
      </w:r>
      <w:r>
        <w:rPr>
          <w:rFonts w:hint="default" w:ascii="Times New Roman" w:hAnsi="Times New Roman" w:eastAsia="宋体" w:cs="Times New Roman"/>
          <w:bCs/>
          <w:color w:val="auto"/>
          <w:sz w:val="26"/>
          <w:szCs w:val="26"/>
        </w:rPr>
        <w:t>m</w:t>
      </w:r>
      <w:r>
        <w:rPr>
          <w:rFonts w:hint="default" w:ascii="Times New Roman" w:hAnsi="Times New Roman" w:eastAsia="宋体" w:cs="Times New Roman"/>
          <w:bCs/>
          <w:color w:val="auto"/>
          <w:sz w:val="26"/>
          <w:szCs w:val="26"/>
          <w:vertAlign w:val="superscript"/>
        </w:rPr>
        <w:t>2</w:t>
      </w:r>
      <w:r>
        <w:rPr>
          <w:rFonts w:hint="default" w:ascii="Times New Roman" w:hAnsi="Times New Roman" w:eastAsia="宋体" w:cs="Times New Roman"/>
          <w:bCs/>
          <w:color w:val="auto"/>
          <w:sz w:val="26"/>
          <w:szCs w:val="26"/>
        </w:rPr>
        <w:t>；农田栽培植被的面积为</w:t>
      </w:r>
      <w:r>
        <w:rPr>
          <w:rFonts w:hint="default" w:ascii="Times New Roman" w:hAnsi="Times New Roman" w:eastAsia="宋体" w:cs="Times New Roman"/>
          <w:bCs/>
          <w:color w:val="auto"/>
          <w:sz w:val="26"/>
          <w:szCs w:val="26"/>
          <w:lang w:val="en-US" w:eastAsia="zh-CN"/>
        </w:rPr>
        <w:t>30.39h</w:t>
      </w:r>
      <w:r>
        <w:rPr>
          <w:rFonts w:hint="default" w:ascii="Times New Roman" w:hAnsi="Times New Roman" w:eastAsia="宋体" w:cs="Times New Roman"/>
          <w:bCs/>
          <w:color w:val="auto"/>
          <w:sz w:val="26"/>
          <w:szCs w:val="26"/>
        </w:rPr>
        <w:t>m</w:t>
      </w:r>
      <w:r>
        <w:rPr>
          <w:rFonts w:hint="default" w:ascii="Times New Roman" w:hAnsi="Times New Roman" w:eastAsia="宋体" w:cs="Times New Roman"/>
          <w:bCs/>
          <w:color w:val="auto"/>
          <w:sz w:val="26"/>
          <w:szCs w:val="26"/>
          <w:vertAlign w:val="superscript"/>
        </w:rPr>
        <w:t>2</w:t>
      </w:r>
      <w:r>
        <w:rPr>
          <w:rFonts w:hint="default" w:ascii="Times New Roman" w:hAnsi="Times New Roman" w:eastAsia="宋体" w:cs="Times New Roman"/>
          <w:bCs/>
          <w:color w:val="auto"/>
          <w:sz w:val="26"/>
          <w:szCs w:val="26"/>
        </w:rPr>
        <w:t>。评价区域内脊椎动物物种数较少，未发现国家重点保护的两栖类、爬行类</w:t>
      </w:r>
      <w:r>
        <w:rPr>
          <w:rFonts w:hint="default" w:ascii="Times New Roman" w:hAnsi="Times New Roman" w:eastAsia="宋体" w:cs="Times New Roman"/>
          <w:bCs/>
          <w:color w:val="auto"/>
          <w:sz w:val="26"/>
          <w:szCs w:val="26"/>
          <w:lang w:eastAsia="zh-CN"/>
        </w:rPr>
        <w:t>、</w:t>
      </w:r>
      <w:r>
        <w:rPr>
          <w:rFonts w:hint="default" w:ascii="Times New Roman" w:hAnsi="Times New Roman" w:eastAsia="宋体" w:cs="Times New Roman"/>
          <w:bCs/>
          <w:color w:val="auto"/>
          <w:sz w:val="26"/>
          <w:szCs w:val="26"/>
        </w:rPr>
        <w:t>兽类</w:t>
      </w:r>
      <w:r>
        <w:rPr>
          <w:rFonts w:hint="default" w:ascii="Times New Roman" w:hAnsi="Times New Roman" w:eastAsia="宋体" w:cs="Times New Roman"/>
          <w:bCs/>
          <w:color w:val="auto"/>
          <w:sz w:val="26"/>
          <w:szCs w:val="26"/>
          <w:lang w:val="en-US" w:eastAsia="zh-CN"/>
        </w:rPr>
        <w:t>和鸟类，重庆市重点保护野生动物3种（乌梢蛇、黑眉锦蛇、王锦蛇），</w:t>
      </w:r>
      <w:r>
        <w:rPr>
          <w:rFonts w:hint="default" w:ascii="Times New Roman" w:hAnsi="Times New Roman" w:eastAsia="宋体" w:cs="Times New Roman"/>
          <w:color w:val="auto"/>
          <w:sz w:val="26"/>
          <w:highlight w:val="none"/>
          <w:lang w:bidi="ar"/>
        </w:rPr>
        <w:t>中国特有种</w:t>
      </w:r>
      <w:r>
        <w:rPr>
          <w:rFonts w:hint="default" w:ascii="Times New Roman" w:hAnsi="Times New Roman" w:eastAsia="宋体" w:cs="Times New Roman"/>
          <w:color w:val="auto"/>
          <w:sz w:val="26"/>
          <w:highlight w:val="none"/>
          <w:lang w:val="en-US" w:eastAsia="zh-CN" w:bidi="ar"/>
        </w:rPr>
        <w:t>2</w:t>
      </w:r>
      <w:r>
        <w:rPr>
          <w:rFonts w:hint="default" w:ascii="Times New Roman" w:hAnsi="Times New Roman" w:eastAsia="宋体" w:cs="Times New Roman"/>
          <w:color w:val="auto"/>
          <w:sz w:val="26"/>
          <w:highlight w:val="none"/>
          <w:lang w:bidi="ar"/>
        </w:rPr>
        <w:t>种</w:t>
      </w:r>
      <w:r>
        <w:rPr>
          <w:rFonts w:hint="default" w:ascii="Times New Roman" w:hAnsi="Times New Roman" w:eastAsia="宋体" w:cs="Times New Roman"/>
          <w:color w:val="auto"/>
          <w:sz w:val="26"/>
          <w:highlight w:val="none"/>
          <w:lang w:eastAsia="zh-CN" w:bidi="ar"/>
        </w:rPr>
        <w:t>（</w:t>
      </w:r>
      <w:r>
        <w:rPr>
          <w:rFonts w:hint="default" w:ascii="Times New Roman" w:hAnsi="Times New Roman" w:eastAsia="宋体" w:cs="Times New Roman"/>
          <w:color w:val="auto"/>
          <w:sz w:val="26"/>
          <w:highlight w:val="none"/>
          <w:lang w:bidi="ar"/>
        </w:rPr>
        <w:t>蹼趾壁虎</w:t>
      </w:r>
      <w:r>
        <w:rPr>
          <w:rFonts w:hint="default" w:ascii="Times New Roman" w:hAnsi="Times New Roman" w:eastAsia="宋体" w:cs="Times New Roman"/>
          <w:color w:val="auto"/>
          <w:sz w:val="26"/>
          <w:highlight w:val="none"/>
          <w:lang w:eastAsia="zh-CN" w:bidi="ar"/>
        </w:rPr>
        <w:t>、北草蜥）</w:t>
      </w:r>
      <w:r>
        <w:rPr>
          <w:rFonts w:hint="default" w:ascii="Times New Roman" w:hAnsi="Times New Roman" w:eastAsia="宋体" w:cs="Times New Roman"/>
          <w:bCs/>
          <w:color w:val="auto"/>
          <w:sz w:val="26"/>
          <w:szCs w:val="26"/>
        </w:rPr>
        <w:t>。</w:t>
      </w:r>
    </w:p>
    <w:p w14:paraId="0D9CE9F3">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478" w:name="_Toc1066"/>
      <w:r>
        <w:rPr>
          <w:rFonts w:hint="default" w:ascii="Times New Roman" w:hAnsi="Times New Roman" w:eastAsia="宋体" w:cs="Times New Roman"/>
          <w:b/>
          <w:color w:val="auto"/>
          <w:sz w:val="26"/>
          <w:szCs w:val="26"/>
        </w:rPr>
        <w:t>11.3环境影响及环保措施</w:t>
      </w:r>
      <w:bookmarkEnd w:id="475"/>
      <w:bookmarkEnd w:id="476"/>
      <w:bookmarkEnd w:id="477"/>
      <w:bookmarkEnd w:id="478"/>
    </w:p>
    <w:p w14:paraId="382354EC">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11.3.</w:t>
      </w:r>
      <w:r>
        <w:rPr>
          <w:rFonts w:hint="default" w:ascii="Times New Roman" w:hAnsi="Times New Roman" w:eastAsia="宋体" w:cs="Times New Roman"/>
          <w:b/>
          <w:color w:val="auto"/>
          <w:sz w:val="26"/>
          <w:szCs w:val="26"/>
          <w:lang w:val="en-US" w:eastAsia="zh-CN"/>
        </w:rPr>
        <w:t>1</w:t>
      </w:r>
      <w:r>
        <w:rPr>
          <w:rFonts w:hint="default" w:ascii="Times New Roman" w:hAnsi="Times New Roman" w:eastAsia="宋体" w:cs="Times New Roman"/>
          <w:b/>
          <w:color w:val="auto"/>
          <w:sz w:val="26"/>
          <w:szCs w:val="26"/>
        </w:rPr>
        <w:t>环境空气影响及污染防治措施</w:t>
      </w:r>
    </w:p>
    <w:p w14:paraId="2914693A">
      <w:pPr>
        <w:adjustRightInd w:val="0"/>
        <w:snapToGrid w:val="0"/>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施工期：废气污染源主要来自地面开挖、回填、土石堆放和运输车辆行驶产生的扬尘，施工机械、运输车辆排放的尾气，</w:t>
      </w:r>
      <w:r>
        <w:rPr>
          <w:rFonts w:hint="default" w:ascii="Times New Roman" w:hAnsi="Times New Roman" w:eastAsia="宋体" w:cs="Times New Roman"/>
          <w:color w:val="auto"/>
        </w:rPr>
        <w:t>少量焊接烟尘及</w:t>
      </w:r>
      <w:r>
        <w:rPr>
          <w:rFonts w:hint="default" w:ascii="Times New Roman" w:hAnsi="Times New Roman" w:eastAsia="宋体" w:cs="Times New Roman"/>
          <w:color w:val="auto"/>
          <w:lang w:val="en-US" w:eastAsia="zh-CN"/>
        </w:rPr>
        <w:t>停气置换</w:t>
      </w:r>
      <w:r>
        <w:rPr>
          <w:rFonts w:hint="default" w:ascii="Times New Roman" w:hAnsi="Times New Roman" w:eastAsia="宋体" w:cs="Times New Roman"/>
          <w:color w:val="auto"/>
        </w:rPr>
        <w:t>放空废气</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6"/>
          <w:szCs w:val="26"/>
        </w:rPr>
        <w:t>尾气中的主要污染物为CO、NO</w:t>
      </w:r>
      <w:r>
        <w:rPr>
          <w:rFonts w:hint="default" w:ascii="Times New Roman" w:hAnsi="Times New Roman" w:eastAsia="宋体" w:cs="Times New Roman"/>
          <w:color w:val="auto"/>
          <w:sz w:val="26"/>
          <w:szCs w:val="26"/>
          <w:vertAlign w:val="subscript"/>
        </w:rPr>
        <w:t>x</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shd w:val="clear" w:fill="FFFFFF"/>
        </w:rPr>
        <w:t>C</w:t>
      </w:r>
      <w:r>
        <w:rPr>
          <w:rFonts w:hint="default" w:ascii="Times New Roman" w:hAnsi="Times New Roman" w:eastAsia="宋体" w:cs="Times New Roman"/>
          <w:color w:val="auto"/>
          <w:sz w:val="26"/>
          <w:szCs w:val="26"/>
          <w:shd w:val="clear" w:fill="FFFFFF"/>
          <w:vertAlign w:val="subscript"/>
        </w:rPr>
        <w:t>m</w:t>
      </w:r>
      <w:r>
        <w:rPr>
          <w:rFonts w:hint="default" w:ascii="Times New Roman" w:hAnsi="Times New Roman" w:eastAsia="宋体" w:cs="Times New Roman"/>
          <w:color w:val="auto"/>
          <w:sz w:val="26"/>
          <w:szCs w:val="26"/>
          <w:shd w:val="clear" w:fill="FFFFFF"/>
        </w:rPr>
        <w:t>H</w:t>
      </w:r>
      <w:r>
        <w:rPr>
          <w:rFonts w:hint="default" w:ascii="Times New Roman" w:hAnsi="Times New Roman" w:eastAsia="宋体" w:cs="Times New Roman"/>
          <w:color w:val="auto"/>
          <w:sz w:val="26"/>
          <w:szCs w:val="26"/>
          <w:shd w:val="clear" w:fill="FFFFFF"/>
          <w:vertAlign w:val="subscript"/>
        </w:rPr>
        <w:t>n</w:t>
      </w:r>
      <w:r>
        <w:rPr>
          <w:rFonts w:hint="default" w:ascii="Times New Roman" w:hAnsi="Times New Roman" w:eastAsia="宋体" w:cs="Times New Roman"/>
          <w:color w:val="auto"/>
          <w:sz w:val="26"/>
          <w:szCs w:val="26"/>
        </w:rPr>
        <w:t>等，管道焊接过程中会产生少量焊接烟气。扬尘、CO、NO</w:t>
      </w:r>
      <w:r>
        <w:rPr>
          <w:rFonts w:hint="default" w:ascii="Times New Roman" w:hAnsi="Times New Roman" w:eastAsia="宋体" w:cs="Times New Roman"/>
          <w:color w:val="auto"/>
          <w:sz w:val="26"/>
          <w:szCs w:val="26"/>
          <w:vertAlign w:val="subscript"/>
        </w:rPr>
        <w:t>x</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shd w:val="clear" w:fill="FFFFFF"/>
        </w:rPr>
        <w:t>C</w:t>
      </w:r>
      <w:r>
        <w:rPr>
          <w:rFonts w:hint="default" w:ascii="Times New Roman" w:hAnsi="Times New Roman" w:eastAsia="宋体" w:cs="Times New Roman"/>
          <w:color w:val="auto"/>
          <w:sz w:val="26"/>
          <w:szCs w:val="26"/>
          <w:shd w:val="clear" w:fill="FFFFFF"/>
          <w:vertAlign w:val="subscript"/>
        </w:rPr>
        <w:t>m</w:t>
      </w:r>
      <w:r>
        <w:rPr>
          <w:rFonts w:hint="default" w:ascii="Times New Roman" w:hAnsi="Times New Roman" w:eastAsia="宋体" w:cs="Times New Roman"/>
          <w:color w:val="auto"/>
          <w:sz w:val="26"/>
          <w:szCs w:val="26"/>
          <w:shd w:val="clear" w:fill="FFFFFF"/>
        </w:rPr>
        <w:t>H</w:t>
      </w:r>
      <w:r>
        <w:rPr>
          <w:rFonts w:hint="default" w:ascii="Times New Roman" w:hAnsi="Times New Roman" w:eastAsia="宋体" w:cs="Times New Roman"/>
          <w:color w:val="auto"/>
          <w:sz w:val="26"/>
          <w:szCs w:val="26"/>
          <w:shd w:val="clear" w:fill="FFFFFF"/>
          <w:vertAlign w:val="subscript"/>
        </w:rPr>
        <w:t>n</w:t>
      </w:r>
      <w:r>
        <w:rPr>
          <w:rFonts w:hint="default" w:ascii="Times New Roman" w:hAnsi="Times New Roman" w:eastAsia="宋体" w:cs="Times New Roman"/>
          <w:color w:val="auto"/>
          <w:sz w:val="26"/>
          <w:szCs w:val="26"/>
        </w:rPr>
        <w:t>、焊接烟尘污染物将对环境空气造成一定程度的影响，同时这种影响是短期的、局部的，局限于管道沿线的狭窄带状区域，工程结束后影响将不复存在。停气置换放空废气依托改线管道一端的新盛站站场进行</w:t>
      </w:r>
      <w:r>
        <w:rPr>
          <w:rFonts w:hint="default" w:ascii="Times New Roman" w:hAnsi="Times New Roman" w:eastAsia="宋体" w:cs="Times New Roman"/>
          <w:color w:val="auto"/>
          <w:sz w:val="26"/>
          <w:szCs w:val="26"/>
          <w:lang w:val="en-US" w:eastAsia="zh-CN"/>
        </w:rPr>
        <w:t>点火放空</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shd w:val="clear" w:fill="FFFFFF"/>
        </w:rPr>
        <w:t>放空区</w:t>
      </w:r>
      <w:r>
        <w:rPr>
          <w:rFonts w:hint="default" w:ascii="Times New Roman" w:hAnsi="Times New Roman" w:eastAsia="宋体" w:cs="Times New Roman"/>
          <w:color w:val="auto"/>
          <w:sz w:val="26"/>
          <w:szCs w:val="26"/>
        </w:rPr>
        <w:t>位于空旷开阔地段，废气扩散后不会对当地大气环境造成明显影响</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bCs/>
          <w:color w:val="auto"/>
          <w:sz w:val="26"/>
          <w:szCs w:val="26"/>
        </w:rPr>
        <w:t>总的来说，采取洒水抑尘、密闭运输等大气污染防治措施后，工程施工对周边环境空气影响较小，可接受。</w:t>
      </w:r>
    </w:p>
    <w:p w14:paraId="0FB836D5">
      <w:pPr>
        <w:snapToGrid w:val="0"/>
        <w:spacing w:line="460" w:lineRule="exact"/>
        <w:ind w:firstLine="520" w:firstLineChars="200"/>
        <w:rPr>
          <w:rFonts w:hint="default" w:ascii="Times New Roman" w:hAnsi="Times New Roman" w:eastAsia="宋体" w:cs="Times New Roman"/>
          <w:color w:val="auto"/>
          <w:sz w:val="26"/>
          <w:szCs w:val="26"/>
        </w:rPr>
      </w:pPr>
      <w:bookmarkStart w:id="479" w:name="_Hlk46511524"/>
      <w:r>
        <w:rPr>
          <w:rFonts w:hint="default" w:ascii="Times New Roman" w:hAnsi="Times New Roman" w:eastAsia="宋体" w:cs="Times New Roman"/>
          <w:bCs/>
          <w:color w:val="auto"/>
          <w:sz w:val="26"/>
          <w:szCs w:val="26"/>
        </w:rPr>
        <w:t>运营期：输气管道敷设在地下进行密闭输送，管道进行了防腐处理，在正常工况下，无废气排放</w:t>
      </w:r>
      <w:bookmarkEnd w:id="479"/>
      <w:r>
        <w:rPr>
          <w:rFonts w:hint="default" w:ascii="Times New Roman" w:hAnsi="Times New Roman" w:eastAsia="宋体" w:cs="Times New Roman"/>
          <w:bCs/>
          <w:color w:val="auto"/>
          <w:sz w:val="26"/>
          <w:szCs w:val="26"/>
          <w:lang w:eastAsia="zh-CN"/>
        </w:rPr>
        <w:t>，</w:t>
      </w:r>
      <w:r>
        <w:rPr>
          <w:rFonts w:hint="default" w:ascii="Times New Roman" w:hAnsi="Times New Roman" w:eastAsia="宋体" w:cs="Times New Roman"/>
          <w:bCs/>
          <w:color w:val="auto"/>
          <w:sz w:val="26"/>
          <w:szCs w:val="26"/>
        </w:rPr>
        <w:t>对环境</w:t>
      </w:r>
      <w:r>
        <w:rPr>
          <w:rFonts w:hint="default" w:ascii="Times New Roman" w:hAnsi="Times New Roman" w:eastAsia="宋体" w:cs="Times New Roman"/>
          <w:bCs/>
          <w:color w:val="auto"/>
          <w:sz w:val="26"/>
          <w:szCs w:val="26"/>
          <w:lang w:val="en-US" w:eastAsia="zh-CN"/>
        </w:rPr>
        <w:t>空气无</w:t>
      </w:r>
      <w:r>
        <w:rPr>
          <w:rFonts w:hint="default" w:ascii="Times New Roman" w:hAnsi="Times New Roman" w:eastAsia="宋体" w:cs="Times New Roman"/>
          <w:bCs/>
          <w:color w:val="auto"/>
          <w:sz w:val="26"/>
          <w:szCs w:val="26"/>
        </w:rPr>
        <w:t>影响。</w:t>
      </w:r>
    </w:p>
    <w:p w14:paraId="5F4CAD2B">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11.3.2地表水环境影响及污染防治措施</w:t>
      </w:r>
    </w:p>
    <w:p w14:paraId="5F95A3F6">
      <w:pPr>
        <w:adjustRightInd w:val="0"/>
        <w:snapToGrid w:val="0"/>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val="en-US" w:eastAsia="zh-CN"/>
        </w:rPr>
        <w:t>施工期：</w:t>
      </w:r>
      <w:r>
        <w:rPr>
          <w:rFonts w:hint="default" w:ascii="Times New Roman" w:hAnsi="Times New Roman" w:eastAsia="宋体" w:cs="Times New Roman"/>
          <w:color w:val="auto"/>
          <w:sz w:val="26"/>
          <w:szCs w:val="26"/>
        </w:rPr>
        <w:t>施工人员食宿一般依托当地的</w:t>
      </w:r>
      <w:r>
        <w:rPr>
          <w:rFonts w:hint="default" w:ascii="Times New Roman" w:hAnsi="Times New Roman" w:eastAsia="宋体" w:cs="Times New Roman"/>
          <w:color w:val="auto"/>
          <w:sz w:val="26"/>
          <w:szCs w:val="26"/>
          <w:lang w:val="en-US" w:eastAsia="zh-CN"/>
        </w:rPr>
        <w:t>旅馆、居</w:t>
      </w:r>
      <w:r>
        <w:rPr>
          <w:rFonts w:hint="default" w:ascii="Times New Roman" w:hAnsi="Times New Roman" w:eastAsia="宋体" w:cs="Times New Roman"/>
          <w:color w:val="auto"/>
          <w:sz w:val="26"/>
          <w:szCs w:val="26"/>
        </w:rPr>
        <w:t>民房等，生活污水依托当地现有生活污水处理系统处理，不外排；经隔油沉淀</w:t>
      </w:r>
      <w:r>
        <w:rPr>
          <w:rFonts w:hint="default" w:ascii="Times New Roman" w:hAnsi="Times New Roman" w:eastAsia="宋体" w:cs="Times New Roman"/>
          <w:color w:val="auto"/>
          <w:sz w:val="26"/>
          <w:szCs w:val="26"/>
          <w:shd w:val="clear" w:fill="FFFFFF"/>
          <w:lang w:eastAsia="zh-CN"/>
        </w:rPr>
        <w:t>处理后</w:t>
      </w:r>
      <w:r>
        <w:rPr>
          <w:rFonts w:hint="default" w:ascii="Times New Roman" w:hAnsi="Times New Roman" w:eastAsia="宋体" w:cs="Times New Roman"/>
          <w:color w:val="auto"/>
          <w:sz w:val="26"/>
          <w:szCs w:val="26"/>
        </w:rPr>
        <w:t>可循环使用于施工作业带洒水降尘或回用作为施工用水，不外排</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管道试压废水采用清洁水进行，其污染物主要为少量SS，沉淀后回用于设备、车辆冲洗和场地洒水降尘。本项目施工期产生的污废水得到妥善处置，对地表水环境影响小。</w:t>
      </w:r>
    </w:p>
    <w:p w14:paraId="72703C58">
      <w:pPr>
        <w:adjustRightInd w:val="0"/>
        <w:snapToGrid w:val="0"/>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val="en-US" w:eastAsia="zh-CN"/>
        </w:rPr>
        <w:t>运营期：</w:t>
      </w:r>
      <w:r>
        <w:rPr>
          <w:rFonts w:hint="default" w:ascii="Times New Roman" w:hAnsi="Times New Roman" w:eastAsia="宋体" w:cs="Times New Roman"/>
          <w:color w:val="auto"/>
          <w:sz w:val="26"/>
          <w:szCs w:val="26"/>
        </w:rPr>
        <w:t>管道投入运营后，与原项目一样，用于输送天然气，无废水产生。工程不新增人员编制，不设办公场所，故无生活污水产生。本项目对地表水环境无影响。</w:t>
      </w:r>
    </w:p>
    <w:p w14:paraId="6DC28EC8">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11.3.3地下水环境影响及污染防治措施</w:t>
      </w:r>
    </w:p>
    <w:p w14:paraId="391CADF1">
      <w:pPr>
        <w:adjustRightInd w:val="0"/>
        <w:snapToGrid w:val="0"/>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施工期</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项目施工期的水污染源主要为</w:t>
      </w:r>
      <w:r>
        <w:rPr>
          <w:rFonts w:hint="default" w:ascii="Times New Roman" w:hAnsi="Times New Roman" w:eastAsia="宋体" w:cs="Times New Roman"/>
          <w:color w:val="auto"/>
          <w:sz w:val="26"/>
          <w:szCs w:val="26"/>
          <w:lang w:val="en-US" w:eastAsia="zh-CN"/>
        </w:rPr>
        <w:t>施工废水、</w:t>
      </w:r>
      <w:r>
        <w:rPr>
          <w:rFonts w:hint="default" w:ascii="Times New Roman" w:hAnsi="Times New Roman" w:eastAsia="宋体" w:cs="Times New Roman"/>
          <w:color w:val="auto"/>
          <w:sz w:val="26"/>
          <w:szCs w:val="26"/>
        </w:rPr>
        <w:t>生活污水以及管道试压废水</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施工废水</w:t>
      </w:r>
      <w:r>
        <w:rPr>
          <w:rFonts w:hint="default" w:ascii="Times New Roman" w:hAnsi="Times New Roman" w:eastAsia="宋体" w:cs="Times New Roman"/>
          <w:color w:val="auto"/>
          <w:sz w:val="26"/>
          <w:szCs w:val="26"/>
        </w:rPr>
        <w:t>经</w:t>
      </w:r>
      <w:r>
        <w:rPr>
          <w:rFonts w:hint="default" w:ascii="Times New Roman" w:hAnsi="Times New Roman" w:eastAsia="宋体" w:cs="Times New Roman"/>
          <w:color w:val="auto"/>
          <w:sz w:val="26"/>
          <w:szCs w:val="26"/>
          <w:lang w:val="en-US" w:eastAsia="zh-CN"/>
        </w:rPr>
        <w:t>隔油沉淀处理</w:t>
      </w:r>
      <w:r>
        <w:rPr>
          <w:rFonts w:hint="default" w:ascii="Times New Roman" w:hAnsi="Times New Roman" w:eastAsia="宋体" w:cs="Times New Roman"/>
          <w:color w:val="auto"/>
          <w:sz w:val="26"/>
          <w:szCs w:val="26"/>
        </w:rPr>
        <w:t>后可循环使用于施工作业带</w:t>
      </w:r>
      <w:r>
        <w:rPr>
          <w:rFonts w:hint="default" w:ascii="Times New Roman" w:hAnsi="Times New Roman" w:eastAsia="宋体" w:cs="Times New Roman"/>
          <w:color w:val="auto"/>
          <w:sz w:val="26"/>
          <w:szCs w:val="26"/>
          <w:lang w:val="en-US" w:eastAsia="zh-CN"/>
        </w:rPr>
        <w:t>洒</w:t>
      </w:r>
      <w:r>
        <w:rPr>
          <w:rFonts w:hint="default" w:ascii="Times New Roman" w:hAnsi="Times New Roman" w:eastAsia="宋体" w:cs="Times New Roman"/>
          <w:color w:val="auto"/>
          <w:sz w:val="26"/>
          <w:szCs w:val="26"/>
        </w:rPr>
        <w:t>水降尘</w:t>
      </w:r>
      <w:r>
        <w:rPr>
          <w:rFonts w:hint="default" w:ascii="Times New Roman" w:hAnsi="Times New Roman" w:eastAsia="宋体" w:cs="Times New Roman"/>
          <w:color w:val="auto"/>
          <w:sz w:val="26"/>
          <w:szCs w:val="26"/>
          <w:lang w:val="en-US" w:eastAsia="zh-CN"/>
        </w:rPr>
        <w:t>或回用作为施工用水</w:t>
      </w:r>
      <w:r>
        <w:rPr>
          <w:rFonts w:hint="default" w:ascii="Times New Roman" w:hAnsi="Times New Roman" w:eastAsia="宋体" w:cs="Times New Roman"/>
          <w:color w:val="auto"/>
          <w:sz w:val="26"/>
          <w:szCs w:val="26"/>
        </w:rPr>
        <w:t>；生活污水依托当地的生活污水处理系统处理</w:t>
      </w:r>
      <w:r>
        <w:rPr>
          <w:rFonts w:hint="default"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rPr>
        <w:t>管道试压</w:t>
      </w:r>
      <w:r>
        <w:rPr>
          <w:rFonts w:hint="default" w:ascii="Times New Roman" w:hAnsi="Times New Roman" w:eastAsia="宋体" w:cs="Times New Roman"/>
          <w:color w:val="auto"/>
          <w:sz w:val="26"/>
          <w:szCs w:val="26"/>
          <w:lang w:val="en-US" w:eastAsia="zh-CN"/>
        </w:rPr>
        <w:t>废水</w:t>
      </w:r>
      <w:r>
        <w:rPr>
          <w:rFonts w:hint="default" w:ascii="Times New Roman" w:hAnsi="Times New Roman" w:eastAsia="宋体" w:cs="Times New Roman"/>
          <w:color w:val="auto"/>
          <w:sz w:val="26"/>
          <w:szCs w:val="26"/>
        </w:rPr>
        <w:t>经沉淀后用于洒水降尘，对周边地下水环境影响较小。</w:t>
      </w:r>
    </w:p>
    <w:p w14:paraId="35276F25">
      <w:pPr>
        <w:adjustRightInd w:val="0"/>
        <w:snapToGrid w:val="0"/>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val="en-US" w:eastAsia="zh-CN"/>
        </w:rPr>
        <w:t>运营期：天然气在管道内密闭运输</w:t>
      </w:r>
      <w:r>
        <w:rPr>
          <w:rFonts w:hint="default" w:ascii="Times New Roman" w:hAnsi="Times New Roman" w:eastAsia="宋体" w:cs="Times New Roman"/>
          <w:color w:val="auto"/>
          <w:sz w:val="26"/>
          <w:szCs w:val="26"/>
        </w:rPr>
        <w:t>，管道进行了防腐处理，在正常工况下无污废水产生，对地下水无影响。</w:t>
      </w:r>
    </w:p>
    <w:p w14:paraId="506C8C9D">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12.3.</w:t>
      </w:r>
      <w:r>
        <w:rPr>
          <w:rFonts w:hint="default" w:ascii="Times New Roman" w:hAnsi="Times New Roman" w:eastAsia="宋体" w:cs="Times New Roman"/>
          <w:b/>
          <w:color w:val="auto"/>
          <w:sz w:val="26"/>
          <w:szCs w:val="26"/>
          <w:lang w:val="en-US" w:eastAsia="zh-CN"/>
        </w:rPr>
        <w:t>4</w:t>
      </w:r>
      <w:r>
        <w:rPr>
          <w:rFonts w:hint="default" w:ascii="Times New Roman" w:hAnsi="Times New Roman" w:eastAsia="宋体" w:cs="Times New Roman"/>
          <w:b/>
          <w:color w:val="auto"/>
          <w:sz w:val="26"/>
          <w:szCs w:val="26"/>
        </w:rPr>
        <w:t>声环境影响及污染防治措施</w:t>
      </w:r>
    </w:p>
    <w:p w14:paraId="6F95E1B9">
      <w:pPr>
        <w:adjustRightInd w:val="0"/>
        <w:snapToGrid w:val="0"/>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val="en-US" w:eastAsia="zh-CN"/>
        </w:rPr>
        <w:t>施工期：</w:t>
      </w:r>
      <w:r>
        <w:rPr>
          <w:rFonts w:hint="default" w:ascii="Times New Roman" w:hAnsi="Times New Roman" w:eastAsia="宋体" w:cs="Times New Roman"/>
          <w:color w:val="auto"/>
          <w:sz w:val="26"/>
          <w:szCs w:val="26"/>
        </w:rPr>
        <w:t>本工程评价范围内分布有居民住宅，施工期如不采取合理的污染防治措施，将对其产生一定程度的影响。本报告要求施工期合理安排施工强度，做好施工设计和组织，加强施工区内机械设备管理，</w:t>
      </w:r>
      <w:r>
        <w:rPr>
          <w:rFonts w:hint="default" w:ascii="Times New Roman" w:hAnsi="Times New Roman" w:eastAsia="宋体" w:cs="Times New Roman"/>
          <w:color w:val="auto"/>
          <w:sz w:val="26"/>
          <w:szCs w:val="26"/>
          <w:shd w:val="clear" w:fill="FFFFFF"/>
        </w:rPr>
        <w:t>较强</w:t>
      </w:r>
      <w:r>
        <w:rPr>
          <w:rFonts w:hint="default" w:ascii="Times New Roman" w:hAnsi="Times New Roman" w:eastAsia="宋体" w:cs="Times New Roman"/>
          <w:color w:val="auto"/>
          <w:sz w:val="26"/>
          <w:szCs w:val="26"/>
        </w:rPr>
        <w:t>噪声源尽可能远离周边的敏感点；施工前加强与附近居民的沟通，争取他们的理解和支持。总的来说，由于施工周期短，且不在夜间施工，待施工结束后这种影响也随之消失。工程施工对沿线声环境敏感目标的影响可接受。</w:t>
      </w:r>
    </w:p>
    <w:p w14:paraId="358C6042">
      <w:pPr>
        <w:spacing w:line="50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color w:val="auto"/>
          <w:sz w:val="26"/>
          <w:szCs w:val="26"/>
        </w:rPr>
        <w:t>运营期</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管道埋地敷设</w:t>
      </w:r>
      <w:r>
        <w:rPr>
          <w:rFonts w:hint="default" w:ascii="Times New Roman" w:hAnsi="Times New Roman" w:eastAsia="宋体" w:cs="Times New Roman"/>
          <w:color w:val="auto"/>
          <w:sz w:val="26"/>
          <w:szCs w:val="26"/>
          <w:lang w:val="en-US" w:eastAsia="zh-CN"/>
        </w:rPr>
        <w:t>密闭运输</w:t>
      </w:r>
      <w:r>
        <w:rPr>
          <w:rFonts w:hint="default" w:ascii="Times New Roman" w:hAnsi="Times New Roman" w:eastAsia="宋体" w:cs="Times New Roman"/>
          <w:color w:val="auto"/>
          <w:sz w:val="26"/>
          <w:szCs w:val="26"/>
        </w:rPr>
        <w:t>，不会产生噪声污染</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bCs/>
          <w:color w:val="auto"/>
          <w:sz w:val="26"/>
          <w:szCs w:val="26"/>
        </w:rPr>
        <w:t>对声环境</w:t>
      </w:r>
      <w:r>
        <w:rPr>
          <w:rFonts w:hint="default" w:ascii="Times New Roman" w:hAnsi="Times New Roman" w:eastAsia="宋体" w:cs="Times New Roman"/>
          <w:bCs/>
          <w:color w:val="auto"/>
          <w:sz w:val="26"/>
          <w:szCs w:val="26"/>
          <w:lang w:val="en-US" w:eastAsia="zh-CN"/>
        </w:rPr>
        <w:t>无</w:t>
      </w:r>
      <w:r>
        <w:rPr>
          <w:rFonts w:hint="default" w:ascii="Times New Roman" w:hAnsi="Times New Roman" w:eastAsia="宋体" w:cs="Times New Roman"/>
          <w:bCs/>
          <w:color w:val="auto"/>
          <w:sz w:val="26"/>
          <w:szCs w:val="26"/>
        </w:rPr>
        <w:t>影响。</w:t>
      </w:r>
    </w:p>
    <w:p w14:paraId="533941BD">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12.3.</w:t>
      </w:r>
      <w:r>
        <w:rPr>
          <w:rFonts w:hint="default" w:ascii="Times New Roman" w:hAnsi="Times New Roman" w:eastAsia="宋体" w:cs="Times New Roman"/>
          <w:b/>
          <w:color w:val="auto"/>
          <w:sz w:val="26"/>
          <w:szCs w:val="26"/>
          <w:lang w:val="en-US" w:eastAsia="zh-CN"/>
        </w:rPr>
        <w:t>5</w:t>
      </w:r>
      <w:r>
        <w:rPr>
          <w:rFonts w:hint="default" w:ascii="Times New Roman" w:hAnsi="Times New Roman" w:eastAsia="宋体" w:cs="Times New Roman"/>
          <w:b/>
          <w:color w:val="auto"/>
          <w:sz w:val="26"/>
          <w:szCs w:val="26"/>
        </w:rPr>
        <w:t>固体废物影响及污染防治措施</w:t>
      </w:r>
    </w:p>
    <w:p w14:paraId="1B7E7848">
      <w:pPr>
        <w:adjustRightInd w:val="0"/>
        <w:snapToGrid w:val="0"/>
        <w:spacing w:line="50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施工期：施工人员的生活垃圾依托当地现有设施收集后交环卫部门处理</w:t>
      </w:r>
      <w:r>
        <w:rPr>
          <w:rFonts w:hint="default" w:ascii="Times New Roman" w:hAnsi="Times New Roman" w:eastAsia="宋体" w:cs="Times New Roman"/>
          <w:color w:val="auto"/>
          <w:sz w:val="26"/>
          <w:szCs w:val="26"/>
        </w:rPr>
        <w:t>；可回收施工废料外售废品回收站回收处置，不可回收施工废料收集后交当地环卫部门统一处置。施工期固体废物均得到妥善处置，对环境影响很小。</w:t>
      </w:r>
    </w:p>
    <w:p w14:paraId="3C27DA08">
      <w:pPr>
        <w:pStyle w:val="129"/>
        <w:spacing w:line="500" w:lineRule="exact"/>
        <w:rPr>
          <w:rFonts w:hint="default" w:ascii="Times New Roman" w:hAnsi="Times New Roman" w:eastAsia="宋体" w:cs="Times New Roman"/>
          <w:color w:val="auto"/>
          <w:sz w:val="26"/>
          <w:szCs w:val="26"/>
        </w:rPr>
      </w:pPr>
      <w:r>
        <w:rPr>
          <w:rFonts w:hint="default" w:ascii="Times New Roman" w:hAnsi="Times New Roman" w:eastAsia="宋体" w:cs="Times New Roman"/>
          <w:bCs/>
          <w:color w:val="auto"/>
          <w:sz w:val="26"/>
          <w:szCs w:val="26"/>
        </w:rPr>
        <w:t>运营期：</w:t>
      </w:r>
      <w:r>
        <w:rPr>
          <w:rFonts w:hint="default" w:ascii="Times New Roman" w:hAnsi="Times New Roman" w:eastAsia="宋体" w:cs="Times New Roman"/>
          <w:bCs/>
        </w:rPr>
        <w:t>本项目运营期无固体废物排放，对外环境无影响。</w:t>
      </w:r>
    </w:p>
    <w:p w14:paraId="5C1E753B">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11.3.</w:t>
      </w:r>
      <w:r>
        <w:rPr>
          <w:rFonts w:hint="default" w:ascii="Times New Roman" w:hAnsi="Times New Roman" w:eastAsia="宋体" w:cs="Times New Roman"/>
          <w:b/>
          <w:color w:val="auto"/>
          <w:sz w:val="26"/>
          <w:szCs w:val="26"/>
          <w:lang w:val="en-US" w:eastAsia="zh-CN"/>
        </w:rPr>
        <w:t>6</w:t>
      </w:r>
      <w:r>
        <w:rPr>
          <w:rFonts w:hint="default" w:ascii="Times New Roman" w:hAnsi="Times New Roman" w:eastAsia="宋体" w:cs="Times New Roman"/>
          <w:b/>
          <w:color w:val="auto"/>
          <w:sz w:val="26"/>
          <w:szCs w:val="26"/>
        </w:rPr>
        <w:t>生态环境影响及保护措施</w:t>
      </w:r>
    </w:p>
    <w:p w14:paraId="4A706009">
      <w:pPr>
        <w:adjustRightInd w:val="0"/>
        <w:snapToGrid w:val="0"/>
        <w:spacing w:line="50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施工期：工程施工占地将改变原有土地属性，破坏土壤结构，对耕地和土壤肥力产生影响。项目不涉及珍稀濒危野生动物分布区，也不涉及野生动物的通道、栖息地等敏感区，对野生动物多样性影响非常小。随着施工结束后的复种、复垦以及植被恢复，工程施工对动植物生境及项目周边区域的生态系统的影响将逐渐减弱。总体上看，工程建设对生态环境影响较小。</w:t>
      </w:r>
    </w:p>
    <w:p w14:paraId="623DD652">
      <w:pPr>
        <w:adjustRightInd w:val="0"/>
        <w:snapToGrid w:val="0"/>
        <w:spacing w:line="50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bCs/>
          <w:color w:val="auto"/>
          <w:sz w:val="26"/>
          <w:szCs w:val="26"/>
        </w:rPr>
        <w:t>运营期：管道深埋于地下密闭输送天然气，不会对地面生态环境造成影响。为保护管道安全，工程施工结束后管道中心线两侧5m范围内不能种植深根系植物，但目前本项目管线两侧5m范围内以耕地为主，栽种的植物均属于浅根系植物，故项目运营期对区域植被影响较小。此外，项目施工结束后及时生态恢复，工程的实施对区域生态环境造成的影响可控。因此，项目运营期对生态环境的影响可接受。</w:t>
      </w:r>
    </w:p>
    <w:p w14:paraId="35C9502D">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11.3.7环境风险分析结论</w:t>
      </w:r>
    </w:p>
    <w:p w14:paraId="1EA6C902">
      <w:pPr>
        <w:adjustRightInd w:val="0"/>
        <w:snapToGrid w:val="0"/>
        <w:spacing w:line="500" w:lineRule="exact"/>
        <w:ind w:firstLine="520" w:firstLineChars="200"/>
        <w:rPr>
          <w:rFonts w:hint="default" w:ascii="Times New Roman" w:hAnsi="Times New Roman" w:eastAsia="宋体" w:cs="Times New Roman"/>
          <w:bCs/>
          <w:color w:val="auto"/>
          <w:sz w:val="26"/>
          <w:szCs w:val="26"/>
        </w:rPr>
      </w:pPr>
      <w:r>
        <w:rPr>
          <w:rFonts w:hint="default" w:ascii="Times New Roman" w:hAnsi="Times New Roman" w:eastAsia="宋体" w:cs="Times New Roman"/>
          <w:bCs/>
          <w:color w:val="auto"/>
          <w:sz w:val="26"/>
          <w:szCs w:val="26"/>
        </w:rPr>
        <w:t>本项目环境风险主要为天然气泄漏事故，其次为甲烷泄漏后遇火发生的燃烧或爆炸事故。由于项目前后设置了紧急隔离系统，泄漏时间短，且事故发生的概率低，在采取积极的风险防范措施，并制定有效的应急预案后，环境风险总体可控。</w:t>
      </w:r>
    </w:p>
    <w:p w14:paraId="208FE463">
      <w:pPr>
        <w:adjustRightInd w:val="0"/>
        <w:snapToGrid w:val="0"/>
        <w:spacing w:line="500" w:lineRule="exact"/>
        <w:ind w:firstLine="522"/>
        <w:outlineLvl w:val="1"/>
        <w:rPr>
          <w:rFonts w:hint="default" w:ascii="Times New Roman" w:hAnsi="Times New Roman" w:eastAsia="宋体" w:cs="Times New Roman"/>
          <w:b/>
          <w:color w:val="auto"/>
          <w:sz w:val="26"/>
          <w:szCs w:val="26"/>
        </w:rPr>
      </w:pPr>
      <w:bookmarkStart w:id="480" w:name="_Toc10006"/>
      <w:bookmarkStart w:id="481" w:name="_Toc60144446"/>
      <w:bookmarkStart w:id="482" w:name="_Toc423510493"/>
      <w:bookmarkStart w:id="483" w:name="_Toc45551130"/>
      <w:bookmarkStart w:id="484" w:name="_Toc23153"/>
      <w:r>
        <w:rPr>
          <w:rFonts w:hint="default" w:ascii="Times New Roman" w:hAnsi="Times New Roman" w:eastAsia="宋体" w:cs="Times New Roman"/>
          <w:b/>
          <w:color w:val="auto"/>
          <w:sz w:val="26"/>
          <w:szCs w:val="26"/>
        </w:rPr>
        <w:t>11.4产业政策及规划符合性</w:t>
      </w:r>
      <w:bookmarkEnd w:id="480"/>
      <w:bookmarkEnd w:id="481"/>
      <w:bookmarkEnd w:id="482"/>
      <w:bookmarkEnd w:id="483"/>
      <w:bookmarkEnd w:id="484"/>
    </w:p>
    <w:p w14:paraId="0DE3B67B">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bookmarkStart w:id="485" w:name="_Toc423510494"/>
      <w:r>
        <w:rPr>
          <w:rFonts w:hint="default" w:ascii="Times New Roman" w:hAnsi="Times New Roman" w:eastAsia="宋体" w:cs="Times New Roman"/>
          <w:b/>
          <w:color w:val="auto"/>
          <w:sz w:val="26"/>
          <w:szCs w:val="26"/>
        </w:rPr>
        <w:t>11.4.1产业政策</w:t>
      </w:r>
    </w:p>
    <w:p w14:paraId="648FF4DE">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根据《产业结构调整指导目录（2024年）》，本工程属于第一类“鼓励类”第七条“石油类、天然气”第2项“油气管网建设：原油、天然气、液化天然气、成品油的储存和管道输送设施、网络和液化天然气加注设施建设、技术装备开发与应用”，符合国家有关产业政策。</w:t>
      </w:r>
    </w:p>
    <w:p w14:paraId="7CD0A201">
      <w:pPr>
        <w:adjustRightInd w:val="0"/>
        <w:snapToGrid w:val="0"/>
        <w:spacing w:line="500" w:lineRule="exact"/>
        <w:ind w:firstLine="522" w:firstLineChars="200"/>
        <w:outlineLvl w:val="2"/>
        <w:rPr>
          <w:rFonts w:hint="default" w:ascii="Times New Roman" w:hAnsi="Times New Roman" w:eastAsia="宋体" w:cs="Times New Roman"/>
          <w:b/>
          <w:color w:val="auto"/>
          <w:sz w:val="26"/>
          <w:szCs w:val="26"/>
        </w:rPr>
      </w:pPr>
      <w:r>
        <w:rPr>
          <w:rFonts w:hint="default" w:ascii="Times New Roman" w:hAnsi="Times New Roman" w:eastAsia="宋体" w:cs="Times New Roman"/>
          <w:b/>
          <w:color w:val="auto"/>
          <w:sz w:val="26"/>
          <w:szCs w:val="26"/>
        </w:rPr>
        <w:t>11.4.2规划及相关政策</w:t>
      </w:r>
    </w:p>
    <w:p w14:paraId="6C791D00">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本项目的建设符合页岩气产业政策、《四川省、重庆市长江经济带发展负面清单实施细则（试行，2022年版）</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shd w:val="clear" w:fill="FFFFFF"/>
          <w:lang w:eastAsia="zh-CN"/>
        </w:rPr>
        <w:t>、</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三线一单”、永久基本农田等相关政策、文件的要求。</w:t>
      </w:r>
    </w:p>
    <w:bookmarkEnd w:id="485"/>
    <w:p w14:paraId="36285C37">
      <w:pPr>
        <w:adjustRightInd w:val="0"/>
        <w:snapToGrid w:val="0"/>
        <w:spacing w:line="460" w:lineRule="exact"/>
        <w:ind w:firstLine="522" w:firstLineChars="200"/>
        <w:outlineLvl w:val="1"/>
        <w:rPr>
          <w:rFonts w:hint="default" w:ascii="Times New Roman" w:hAnsi="Times New Roman" w:eastAsia="宋体" w:cs="Times New Roman"/>
          <w:b/>
          <w:color w:val="auto"/>
          <w:sz w:val="26"/>
          <w:szCs w:val="26"/>
        </w:rPr>
      </w:pPr>
      <w:bookmarkStart w:id="486" w:name="_Toc423510495"/>
      <w:bookmarkStart w:id="487" w:name="_Toc45551131"/>
      <w:bookmarkStart w:id="488" w:name="_Toc18452"/>
      <w:bookmarkStart w:id="489" w:name="_Toc60144447"/>
      <w:bookmarkStart w:id="490" w:name="_Toc26235"/>
      <w:r>
        <w:rPr>
          <w:rFonts w:hint="default" w:ascii="Times New Roman" w:hAnsi="Times New Roman" w:eastAsia="宋体" w:cs="Times New Roman"/>
          <w:b/>
          <w:color w:val="auto"/>
          <w:sz w:val="26"/>
          <w:szCs w:val="26"/>
        </w:rPr>
        <w:t>11.</w:t>
      </w:r>
      <w:bookmarkEnd w:id="486"/>
      <w:r>
        <w:rPr>
          <w:rFonts w:hint="default" w:ascii="Times New Roman" w:hAnsi="Times New Roman" w:eastAsia="宋体" w:cs="Times New Roman"/>
          <w:b/>
          <w:color w:val="auto"/>
          <w:sz w:val="26"/>
          <w:szCs w:val="26"/>
        </w:rPr>
        <w:t>5选线环境可行性</w:t>
      </w:r>
      <w:bookmarkEnd w:id="487"/>
      <w:bookmarkEnd w:id="488"/>
      <w:bookmarkEnd w:id="489"/>
      <w:bookmarkEnd w:id="490"/>
    </w:p>
    <w:p w14:paraId="02493EC8">
      <w:pPr>
        <w:pStyle w:val="56"/>
        <w:rPr>
          <w:rFonts w:hint="default" w:ascii="Times New Roman" w:hAnsi="Times New Roman" w:eastAsia="宋体" w:cs="Times New Roman"/>
          <w:color w:val="auto"/>
        </w:rPr>
      </w:pPr>
      <w:bookmarkStart w:id="491" w:name="_Toc536297698"/>
      <w:bookmarkStart w:id="492" w:name="_Toc21926"/>
      <w:bookmarkStart w:id="493" w:name="_Toc60144448"/>
      <w:r>
        <w:rPr>
          <w:rFonts w:hint="default" w:ascii="Times New Roman" w:hAnsi="Times New Roman" w:eastAsia="宋体" w:cs="Times New Roman"/>
          <w:color w:val="auto"/>
        </w:rPr>
        <w:t>本项目拟建管线沿线不涉及自然保护区、风景名胜区、森林公园、重要湿地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生态保护红线</w:t>
      </w:r>
      <w:r>
        <w:rPr>
          <w:rFonts w:hint="default" w:ascii="Times New Roman" w:hAnsi="Times New Roman" w:eastAsia="宋体" w:cs="Times New Roman"/>
          <w:color w:val="auto"/>
          <w:lang w:val="en-US" w:eastAsia="zh-CN"/>
        </w:rPr>
        <w:t>及文物保护单元</w:t>
      </w:r>
      <w:r>
        <w:rPr>
          <w:rFonts w:hint="default" w:ascii="Times New Roman" w:hAnsi="Times New Roman" w:eastAsia="宋体" w:cs="Times New Roman"/>
          <w:color w:val="auto"/>
        </w:rPr>
        <w:t>等环境敏感区。施工完成后，将按照相关规定和复垦方案及时复垦恢复原种植条件，做好复土复耕。</w:t>
      </w:r>
      <w:r>
        <w:rPr>
          <w:rFonts w:hint="default" w:ascii="Times New Roman" w:hAnsi="Times New Roman" w:eastAsia="宋体" w:cs="Times New Roman"/>
          <w:bCs/>
          <w:color w:val="auto"/>
        </w:rPr>
        <w:t>运营期管道工程无产排污，对外环境影响较小。</w:t>
      </w:r>
      <w:r>
        <w:rPr>
          <w:rFonts w:hint="default" w:ascii="Times New Roman" w:hAnsi="Times New Roman" w:eastAsia="宋体" w:cs="Times New Roman"/>
          <w:color w:val="auto"/>
        </w:rPr>
        <w:t>项目推荐管线路由从环保角度分析是可行的。</w:t>
      </w:r>
    </w:p>
    <w:p w14:paraId="19F7A00F">
      <w:pPr>
        <w:adjustRightInd w:val="0"/>
        <w:snapToGrid w:val="0"/>
        <w:spacing w:line="460" w:lineRule="exact"/>
        <w:ind w:firstLine="522" w:firstLineChars="200"/>
        <w:outlineLvl w:val="1"/>
        <w:rPr>
          <w:rFonts w:hint="default" w:ascii="Times New Roman" w:hAnsi="Times New Roman" w:eastAsia="宋体" w:cs="Times New Roman"/>
          <w:b/>
          <w:color w:val="auto"/>
          <w:sz w:val="26"/>
          <w:szCs w:val="26"/>
          <w:lang w:val="en-US" w:eastAsia="zh-CN"/>
        </w:rPr>
      </w:pPr>
      <w:bookmarkStart w:id="494" w:name="_Toc31811"/>
      <w:r>
        <w:rPr>
          <w:rFonts w:hint="default" w:ascii="Times New Roman" w:hAnsi="Times New Roman" w:eastAsia="宋体" w:cs="Times New Roman"/>
          <w:b/>
          <w:color w:val="auto"/>
          <w:sz w:val="26"/>
          <w:szCs w:val="26"/>
          <w:lang w:val="en-US" w:eastAsia="zh-CN"/>
        </w:rPr>
        <w:t>11.6公众参与</w:t>
      </w:r>
      <w:bookmarkEnd w:id="494"/>
    </w:p>
    <w:p w14:paraId="0AE15B39">
      <w:pPr>
        <w:pStyle w:val="56"/>
        <w:rPr>
          <w:rFonts w:hint="default" w:ascii="Times New Roman" w:hAnsi="Times New Roman" w:eastAsia="宋体" w:cs="Times New Roman"/>
          <w:color w:val="auto"/>
        </w:rPr>
      </w:pPr>
      <w:r>
        <w:rPr>
          <w:rFonts w:hint="default" w:ascii="Times New Roman" w:hAnsi="Times New Roman" w:eastAsia="宋体" w:cs="Times New Roman"/>
          <w:color w:val="auto"/>
        </w:rPr>
        <w:t>按照《中华人民共和国环境影响评价法</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shd w:val="clear" w:fill="FFFFFF"/>
          <w:lang w:eastAsia="zh-CN"/>
        </w:rPr>
        <w:t>、</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环境影响评价公众参与办法》</w:t>
      </w:r>
      <w:r>
        <w:rPr>
          <w:rFonts w:hint="default" w:ascii="Times New Roman" w:hAnsi="Times New Roman" w:eastAsia="宋体" w:cs="Times New Roman"/>
          <w:color w:val="auto"/>
          <w:lang w:val="en-US" w:eastAsia="zh-CN"/>
        </w:rPr>
        <w:t>等</w:t>
      </w:r>
      <w:r>
        <w:rPr>
          <w:rFonts w:hint="default" w:ascii="Times New Roman" w:hAnsi="Times New Roman" w:eastAsia="宋体" w:cs="Times New Roman"/>
          <w:color w:val="auto"/>
        </w:rPr>
        <w:t>的有关规定，</w:t>
      </w:r>
      <w:r>
        <w:rPr>
          <w:rFonts w:hint="default" w:ascii="Times New Roman" w:hAnsi="Times New Roman" w:eastAsia="宋体" w:cs="Times New Roman"/>
          <w:color w:val="auto"/>
          <w:lang w:val="en-US" w:eastAsia="zh-CN"/>
        </w:rPr>
        <w:t>建设单位</w:t>
      </w:r>
      <w:r>
        <w:rPr>
          <w:rFonts w:hint="default" w:ascii="Times New Roman" w:hAnsi="Times New Roman" w:eastAsia="宋体" w:cs="Times New Roman"/>
          <w:color w:val="auto"/>
        </w:rPr>
        <w:t>于</w:t>
      </w:r>
      <w:r>
        <w:rPr>
          <w:rFonts w:hint="default" w:ascii="Times New Roman" w:hAnsi="Times New Roman" w:eastAsia="宋体" w:cs="Times New Roman"/>
          <w:color w:val="auto"/>
          <w:lang w:val="en-US" w:eastAsia="zh-CN"/>
        </w:rPr>
        <w:t>铁新线集输管道涉金钗湖水库建设迁改工程</w:t>
      </w:r>
      <w:r>
        <w:rPr>
          <w:rFonts w:hint="default" w:ascii="Times New Roman" w:hAnsi="Times New Roman" w:eastAsia="宋体" w:cs="Times New Roman"/>
          <w:color w:val="auto"/>
        </w:rPr>
        <w:t>项目环境影响报告编制期间</w:t>
      </w:r>
      <w:r>
        <w:rPr>
          <w:rFonts w:hint="default" w:ascii="Times New Roman" w:hAnsi="Times New Roman" w:eastAsia="宋体" w:cs="Times New Roman"/>
          <w:color w:val="auto"/>
          <w:lang w:val="en-US" w:eastAsia="zh-CN"/>
        </w:rPr>
        <w:t>开展了公众参与调查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建设单位于</w:t>
      </w:r>
      <w:r>
        <w:rPr>
          <w:rFonts w:hint="default" w:ascii="Times New Roman" w:hAnsi="Times New Roman" w:eastAsia="宋体" w:cs="Times New Roman"/>
          <w:color w:val="auto"/>
          <w:lang w:val="en-US" w:eastAsia="zh-CN"/>
        </w:rPr>
        <w:t>2025年8月20日在綦江在线网站</w:t>
      </w:r>
      <w:r>
        <w:rPr>
          <w:rFonts w:hint="default" w:ascii="Times New Roman" w:hAnsi="Times New Roman" w:eastAsia="宋体" w:cs="Times New Roman"/>
          <w:color w:val="auto"/>
        </w:rPr>
        <w:t>进行了项目的</w:t>
      </w:r>
      <w:r>
        <w:rPr>
          <w:rFonts w:hint="default" w:ascii="Times New Roman" w:hAnsi="Times New Roman" w:eastAsia="宋体" w:cs="Times New Roman"/>
          <w:color w:val="auto"/>
          <w:lang w:val="en-US" w:eastAsia="zh-CN"/>
        </w:rPr>
        <w:t>首次</w:t>
      </w:r>
      <w:r>
        <w:rPr>
          <w:rFonts w:hint="default" w:ascii="Times New Roman" w:hAnsi="Times New Roman" w:eastAsia="宋体" w:cs="Times New Roman"/>
          <w:color w:val="auto"/>
        </w:rPr>
        <w:t>公示</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2025年</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14</w:t>
      </w:r>
      <w:r>
        <w:rPr>
          <w:rFonts w:hint="default" w:ascii="Times New Roman" w:hAnsi="Times New Roman" w:eastAsia="宋体" w:cs="Times New Roman"/>
          <w:color w:val="auto"/>
        </w:rPr>
        <w:t>日至2025年</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28</w:t>
      </w:r>
      <w:r>
        <w:rPr>
          <w:rFonts w:hint="default" w:ascii="Times New Roman" w:hAnsi="Times New Roman" w:eastAsia="宋体" w:cs="Times New Roman"/>
          <w:color w:val="auto"/>
        </w:rPr>
        <w:t>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不少于</w:t>
      </w:r>
      <w:r>
        <w:rPr>
          <w:rFonts w:hint="default" w:ascii="Times New Roman" w:hAnsi="Times New Roman" w:eastAsia="宋体" w:cs="Times New Roman"/>
          <w:color w:val="auto"/>
        </w:rPr>
        <w:t>10个工作日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对征求意见稿的内容进行了公示，网</w:t>
      </w:r>
      <w:r>
        <w:rPr>
          <w:rFonts w:hint="default" w:ascii="Times New Roman" w:hAnsi="Times New Roman" w:eastAsia="宋体" w:cs="Times New Roman"/>
          <w:color w:val="auto"/>
          <w:lang w:val="en-US" w:eastAsia="zh-CN"/>
        </w:rPr>
        <w:t>络</w:t>
      </w:r>
      <w:r>
        <w:rPr>
          <w:rFonts w:hint="default" w:ascii="Times New Roman" w:hAnsi="Times New Roman" w:eastAsia="宋体" w:cs="Times New Roman"/>
          <w:color w:val="auto"/>
        </w:rPr>
        <w:t>公示平台为</w:t>
      </w:r>
      <w:r>
        <w:rPr>
          <w:rFonts w:hint="default" w:ascii="Times New Roman" w:hAnsi="Times New Roman" w:eastAsia="宋体" w:cs="Times New Roman"/>
          <w:color w:val="auto"/>
          <w:lang w:val="en-US" w:eastAsia="zh-CN"/>
        </w:rPr>
        <w:t>重庆綦江网网站</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报纸公示刊登于重庆晚报（2025年10月16日和2025年10月20日），同时</w:t>
      </w:r>
      <w:r>
        <w:rPr>
          <w:rFonts w:hint="default" w:ascii="Times New Roman" w:hAnsi="Times New Roman" w:eastAsia="宋体" w:cs="Times New Roman"/>
          <w:color w:val="auto"/>
        </w:rPr>
        <w:t>在项目所在地进行了张贴公告。公示期间，</w:t>
      </w:r>
      <w:r>
        <w:rPr>
          <w:rFonts w:hint="default" w:ascii="Times New Roman" w:hAnsi="Times New Roman" w:eastAsia="宋体" w:cs="Times New Roman"/>
          <w:color w:val="auto"/>
          <w:lang w:val="en-US" w:eastAsia="zh-CN"/>
        </w:rPr>
        <w:t>建设单位</w:t>
      </w:r>
      <w:r>
        <w:rPr>
          <w:rFonts w:hint="default" w:ascii="Times New Roman" w:hAnsi="Times New Roman" w:eastAsia="宋体" w:cs="Times New Roman"/>
          <w:color w:val="auto"/>
        </w:rPr>
        <w:t>未收到公众通过电话、信函、邮件等方式进行的意见反馈。</w:t>
      </w:r>
      <w:r>
        <w:rPr>
          <w:rFonts w:hint="default" w:ascii="Times New Roman" w:hAnsi="Times New Roman" w:eastAsia="宋体" w:cs="Times New Roman"/>
          <w:color w:val="auto"/>
          <w:lang w:val="en-US" w:eastAsia="zh-CN"/>
        </w:rPr>
        <w:t>报批前</w:t>
      </w:r>
      <w:r>
        <w:rPr>
          <w:rFonts w:hint="default" w:ascii="Times New Roman" w:hAnsi="Times New Roman" w:eastAsia="宋体" w:cs="Times New Roman"/>
          <w:color w:val="auto"/>
        </w:rPr>
        <w:t>项目环境影响报告书（拟报批版）及公众参与说明在</w:t>
      </w:r>
      <w:r>
        <w:rPr>
          <w:rFonts w:hint="default" w:ascii="Times New Roman" w:hAnsi="Times New Roman" w:eastAsia="宋体" w:cs="Times New Roman"/>
          <w:color w:val="auto"/>
          <w:lang w:val="en-US" w:eastAsia="zh-CN"/>
        </w:rPr>
        <w:t>重庆綦江网网站</w:t>
      </w:r>
      <w:r>
        <w:rPr>
          <w:rFonts w:hint="default" w:ascii="Times New Roman" w:hAnsi="Times New Roman" w:eastAsia="宋体" w:cs="Times New Roman"/>
          <w:color w:val="auto"/>
        </w:rPr>
        <w:t>进行了公示，公示时间为2025年</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30</w:t>
      </w:r>
      <w:r>
        <w:rPr>
          <w:rFonts w:hint="default" w:ascii="Times New Roman" w:hAnsi="Times New Roman" w:eastAsia="宋体" w:cs="Times New Roman"/>
          <w:color w:val="auto"/>
        </w:rPr>
        <w:t>日。</w:t>
      </w:r>
    </w:p>
    <w:p w14:paraId="7A08BCCD">
      <w:pPr>
        <w:adjustRightInd w:val="0"/>
        <w:snapToGrid w:val="0"/>
        <w:spacing w:line="460" w:lineRule="exact"/>
        <w:ind w:firstLine="522" w:firstLineChars="200"/>
        <w:outlineLvl w:val="1"/>
        <w:rPr>
          <w:rFonts w:hint="default" w:ascii="Times New Roman" w:hAnsi="Times New Roman" w:eastAsia="宋体" w:cs="Times New Roman"/>
          <w:b/>
          <w:color w:val="auto"/>
          <w:sz w:val="26"/>
          <w:szCs w:val="26"/>
        </w:rPr>
      </w:pPr>
      <w:bookmarkStart w:id="495" w:name="_Toc6581"/>
      <w:r>
        <w:rPr>
          <w:rFonts w:hint="default" w:ascii="Times New Roman" w:hAnsi="Times New Roman" w:eastAsia="宋体" w:cs="Times New Roman"/>
          <w:b/>
          <w:color w:val="auto"/>
          <w:sz w:val="26"/>
          <w:szCs w:val="26"/>
        </w:rPr>
        <w:t>11.</w:t>
      </w:r>
      <w:bookmarkEnd w:id="491"/>
      <w:bookmarkEnd w:id="492"/>
      <w:bookmarkEnd w:id="493"/>
      <w:bookmarkStart w:id="496" w:name="_Toc60144449"/>
      <w:bookmarkStart w:id="497" w:name="_Toc32618"/>
      <w:bookmarkStart w:id="498" w:name="_Toc45551132"/>
      <w:bookmarkStart w:id="499" w:name="_Toc423510500"/>
      <w:r>
        <w:rPr>
          <w:rFonts w:hint="default" w:ascii="Times New Roman" w:hAnsi="Times New Roman" w:eastAsia="宋体" w:cs="Times New Roman"/>
          <w:b/>
          <w:color w:val="auto"/>
          <w:sz w:val="26"/>
          <w:szCs w:val="26"/>
          <w:lang w:val="en-US" w:eastAsia="zh-CN"/>
        </w:rPr>
        <w:t>7</w:t>
      </w:r>
      <w:r>
        <w:rPr>
          <w:rFonts w:hint="default" w:ascii="Times New Roman" w:hAnsi="Times New Roman" w:eastAsia="宋体" w:cs="Times New Roman"/>
          <w:b/>
          <w:color w:val="auto"/>
          <w:sz w:val="26"/>
          <w:szCs w:val="26"/>
        </w:rPr>
        <w:t>综合结论</w:t>
      </w:r>
      <w:bookmarkEnd w:id="495"/>
      <w:bookmarkEnd w:id="496"/>
      <w:bookmarkEnd w:id="497"/>
      <w:bookmarkEnd w:id="498"/>
      <w:bookmarkEnd w:id="499"/>
    </w:p>
    <w:p w14:paraId="4CD01252">
      <w:pPr>
        <w:pStyle w:val="56"/>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重庆市綦江区水利水电工程建设服务站铁新线集输管道涉金钗湖水库建设迁改工程</w:t>
      </w:r>
      <w:r>
        <w:rPr>
          <w:rFonts w:hint="default" w:ascii="Times New Roman" w:hAnsi="Times New Roman" w:eastAsia="宋体" w:cs="Times New Roman"/>
          <w:color w:val="auto"/>
        </w:rPr>
        <w:t>符合国家产业政策及相关规划，选线满足相关法律法规要求。虽然工程的实施将对环境造成一定的影响，但在采取严格的生态环境保护措施及污染防治措施后，对环境的不利影响</w:t>
      </w:r>
      <w:r>
        <w:rPr>
          <w:rFonts w:hint="default" w:ascii="Times New Roman" w:hAnsi="Times New Roman" w:eastAsia="宋体" w:cs="Times New Roman"/>
          <w:color w:val="auto"/>
          <w:shd w:val="clear" w:fill="FFFFFF"/>
        </w:rPr>
        <w:t>可</w:t>
      </w:r>
      <w:r>
        <w:rPr>
          <w:rFonts w:hint="default" w:ascii="Times New Roman" w:hAnsi="Times New Roman" w:eastAsia="宋体" w:cs="Times New Roman"/>
          <w:color w:val="auto"/>
        </w:rPr>
        <w:t>得到有效控制和缓解，不会改变区域环境功能，环境影响有限，因此，从环境保护的角度看，该项目建设是可行的。</w:t>
      </w:r>
    </w:p>
    <w:sectPr>
      <w:pgSz w:w="11906" w:h="16838"/>
      <w:pgMar w:top="1418" w:right="1588" w:bottom="1418" w:left="158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C6A87">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66ADC">
    <w:pPr>
      <w:ind w:firstLine="560"/>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8</w:t>
    </w:r>
    <w:r>
      <w:rPr>
        <w:rFonts w:hint="default" w:ascii="Times New Roman" w:hAnsi="Times New Roman" w:cs="Times New Roman"/>
      </w:rPr>
      <w:fldChar w:fldCharType="end"/>
    </w:r>
  </w:p>
  <w:p w14:paraId="7B633BE9">
    <w:pPr>
      <w:rPr>
        <w:rFonts w:hint="default" w:ascii="Times New Roman" w:hAnsi="Times New Roman"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0DB61">
    <w:pPr>
      <w:pStyle w:val="21"/>
    </w:pPr>
    <w:r>
      <w:rPr>
        <w:rFonts w:hint="eastAsia"/>
        <w:lang w:eastAsia="zh-CN"/>
      </w:rPr>
      <w:t>铁新线集输管道涉金钗湖水库建设迁改工程</w:t>
    </w:r>
    <w:r>
      <w:rPr>
        <w:rFonts w:hint="eastAsia"/>
        <w:lang w:val="en-US" w:eastAsia="zh-CN"/>
      </w:rPr>
      <w:t xml:space="preserve"> </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3F2E9"/>
    <w:multiLevelType w:val="singleLevel"/>
    <w:tmpl w:val="8233F2E9"/>
    <w:lvl w:ilvl="0" w:tentative="0">
      <w:start w:val="4"/>
      <w:numFmt w:val="decimal"/>
      <w:suff w:val="nothing"/>
      <w:lvlText w:val="（%1）"/>
      <w:lvlJc w:val="left"/>
    </w:lvl>
  </w:abstractNum>
  <w:abstractNum w:abstractNumId="1">
    <w:nsid w:val="FE61236B"/>
    <w:multiLevelType w:val="singleLevel"/>
    <w:tmpl w:val="FE61236B"/>
    <w:lvl w:ilvl="0" w:tentative="0">
      <w:start w:val="1"/>
      <w:numFmt w:val="decimal"/>
      <w:suff w:val="nothing"/>
      <w:lvlText w:val="%1."/>
      <w:lvlJc w:val="left"/>
      <w:pPr>
        <w:ind w:left="425" w:hanging="425"/>
      </w:pPr>
      <w:rPr>
        <w:rFonts w:hint="default"/>
      </w:rPr>
    </w:lvl>
  </w:abstractNum>
  <w:abstractNum w:abstractNumId="2">
    <w:nsid w:val="0075193A"/>
    <w:multiLevelType w:val="singleLevel"/>
    <w:tmpl w:val="0075193A"/>
    <w:lvl w:ilvl="0" w:tentative="0">
      <w:start w:val="1"/>
      <w:numFmt w:val="decimal"/>
      <w:suff w:val="nothing"/>
      <w:lvlText w:val="（%1）"/>
      <w:lvlJc w:val="left"/>
      <w:pPr>
        <w:ind w:left="454" w:hanging="434"/>
      </w:pPr>
      <w:rPr>
        <w:rFonts w:hint="default"/>
        <w:sz w:val="26"/>
        <w:szCs w:val="26"/>
      </w:rPr>
    </w:lvl>
  </w:abstractNum>
  <w:abstractNum w:abstractNumId="3">
    <w:nsid w:val="0B063B2F"/>
    <w:multiLevelType w:val="singleLevel"/>
    <w:tmpl w:val="0B063B2F"/>
    <w:lvl w:ilvl="0" w:tentative="0">
      <w:start w:val="1"/>
      <w:numFmt w:val="decimal"/>
      <w:lvlText w:val="%1."/>
      <w:lvlJc w:val="left"/>
      <w:pPr>
        <w:ind w:left="425" w:hanging="425"/>
      </w:pPr>
      <w:rPr>
        <w:rFonts w:hint="default"/>
      </w:rPr>
    </w:lvl>
  </w:abstractNum>
  <w:abstractNum w:abstractNumId="4">
    <w:nsid w:val="5C4B7D88"/>
    <w:multiLevelType w:val="singleLevel"/>
    <w:tmpl w:val="5C4B7D88"/>
    <w:lvl w:ilvl="0" w:tentative="0">
      <w:start w:val="1"/>
      <w:numFmt w:val="decimal"/>
      <w:suff w:val="nothing"/>
      <w:lvlText w:val="（%1）"/>
      <w:lvlJc w:val="left"/>
      <w:pPr>
        <w:ind w:left="454" w:hanging="434"/>
      </w:pPr>
      <w:rPr>
        <w:rFonts w:hint="default"/>
        <w:sz w:val="26"/>
        <w:szCs w:val="26"/>
      </w:rPr>
    </w:lvl>
  </w:abstractNum>
  <w:abstractNum w:abstractNumId="5">
    <w:nsid w:val="7B3D1450"/>
    <w:multiLevelType w:val="multilevel"/>
    <w:tmpl w:val="7B3D1450"/>
    <w:lvl w:ilvl="0" w:tentative="0">
      <w:start w:val="1"/>
      <w:numFmt w:val="decimal"/>
      <w:suff w:val="space"/>
      <w:lvlText w:val="(%1)"/>
      <w:lvlJc w:val="left"/>
      <w:pPr>
        <w:ind w:left="0" w:firstLine="520"/>
      </w:pPr>
      <w:rPr>
        <w:rFonts w:hint="eastAsia"/>
      </w:rPr>
    </w:lvl>
    <w:lvl w:ilvl="1" w:tentative="0">
      <w:start w:val="1"/>
      <w:numFmt w:val="lowerLetter"/>
      <w:lvlText w:val="%2)"/>
      <w:lvlJc w:val="left"/>
      <w:pPr>
        <w:ind w:left="1360" w:hanging="420"/>
      </w:pPr>
    </w:lvl>
    <w:lvl w:ilvl="2" w:tentative="0">
      <w:start w:val="1"/>
      <w:numFmt w:val="lowerRoman"/>
      <w:lvlText w:val="%3."/>
      <w:lvlJc w:val="right"/>
      <w:pPr>
        <w:ind w:left="1780" w:hanging="420"/>
      </w:pPr>
    </w:lvl>
    <w:lvl w:ilvl="3" w:tentative="0">
      <w:start w:val="1"/>
      <w:numFmt w:val="decimal"/>
      <w:lvlText w:val="%4."/>
      <w:lvlJc w:val="left"/>
      <w:pPr>
        <w:ind w:left="2200" w:hanging="420"/>
      </w:pPr>
    </w:lvl>
    <w:lvl w:ilvl="4" w:tentative="0">
      <w:start w:val="1"/>
      <w:numFmt w:val="lowerLetter"/>
      <w:lvlText w:val="%5)"/>
      <w:lvlJc w:val="left"/>
      <w:pPr>
        <w:ind w:left="2620" w:hanging="420"/>
      </w:pPr>
    </w:lvl>
    <w:lvl w:ilvl="5" w:tentative="0">
      <w:start w:val="1"/>
      <w:numFmt w:val="lowerRoman"/>
      <w:lvlText w:val="%6."/>
      <w:lvlJc w:val="right"/>
      <w:pPr>
        <w:ind w:left="3040" w:hanging="420"/>
      </w:pPr>
    </w:lvl>
    <w:lvl w:ilvl="6" w:tentative="0">
      <w:start w:val="1"/>
      <w:numFmt w:val="decimal"/>
      <w:lvlText w:val="%7."/>
      <w:lvlJc w:val="left"/>
      <w:pPr>
        <w:ind w:left="3460" w:hanging="420"/>
      </w:pPr>
    </w:lvl>
    <w:lvl w:ilvl="7" w:tentative="0">
      <w:start w:val="1"/>
      <w:numFmt w:val="lowerLetter"/>
      <w:lvlText w:val="%8)"/>
      <w:lvlJc w:val="left"/>
      <w:pPr>
        <w:ind w:left="3880" w:hanging="420"/>
      </w:pPr>
    </w:lvl>
    <w:lvl w:ilvl="8" w:tentative="0">
      <w:start w:val="1"/>
      <w:numFmt w:val="lowerRoman"/>
      <w:lvlText w:val="%9."/>
      <w:lvlJc w:val="right"/>
      <w:pPr>
        <w:ind w:left="4300" w:hanging="420"/>
      </w:pPr>
    </w:lvl>
  </w:abstractNum>
  <w:abstractNum w:abstractNumId="6">
    <w:nsid w:val="7B6E07E0"/>
    <w:multiLevelType w:val="multilevel"/>
    <w:tmpl w:val="7B6E07E0"/>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num w:numId="1">
    <w:abstractNumId w:val="6"/>
  </w:num>
  <w:num w:numId="2">
    <w:abstractNumId w:val="2"/>
  </w:num>
  <w:num w:numId="3">
    <w:abstractNumId w:val="4"/>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isplayHorizontalDrawingGridEvery w:val="1"/>
  <w:displayVerticalDrawingGridEvery w:val="1"/>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kMjU3ZDQzYjY0YTMzOGZhNjk2OTUzYjI1NWJiN2QifQ=="/>
  </w:docVars>
  <w:rsids>
    <w:rsidRoot w:val="00172A27"/>
    <w:rsid w:val="00002C87"/>
    <w:rsid w:val="00002E79"/>
    <w:rsid w:val="00002E85"/>
    <w:rsid w:val="0000338F"/>
    <w:rsid w:val="00005C93"/>
    <w:rsid w:val="00005ED0"/>
    <w:rsid w:val="0000753D"/>
    <w:rsid w:val="00010C6A"/>
    <w:rsid w:val="00010D1D"/>
    <w:rsid w:val="0001152A"/>
    <w:rsid w:val="00012909"/>
    <w:rsid w:val="00012A02"/>
    <w:rsid w:val="00013626"/>
    <w:rsid w:val="00013A48"/>
    <w:rsid w:val="00013B60"/>
    <w:rsid w:val="00013F7D"/>
    <w:rsid w:val="00020176"/>
    <w:rsid w:val="0002049A"/>
    <w:rsid w:val="00020A69"/>
    <w:rsid w:val="000211CE"/>
    <w:rsid w:val="000219D2"/>
    <w:rsid w:val="00021E1B"/>
    <w:rsid w:val="00022E44"/>
    <w:rsid w:val="00023655"/>
    <w:rsid w:val="00026510"/>
    <w:rsid w:val="0002723C"/>
    <w:rsid w:val="000276DC"/>
    <w:rsid w:val="000300D6"/>
    <w:rsid w:val="000300F5"/>
    <w:rsid w:val="000306CE"/>
    <w:rsid w:val="000325DD"/>
    <w:rsid w:val="000361F5"/>
    <w:rsid w:val="00036520"/>
    <w:rsid w:val="00037931"/>
    <w:rsid w:val="00037D27"/>
    <w:rsid w:val="0004032A"/>
    <w:rsid w:val="00040C6F"/>
    <w:rsid w:val="000429BA"/>
    <w:rsid w:val="00042CD2"/>
    <w:rsid w:val="00042F85"/>
    <w:rsid w:val="00043B3C"/>
    <w:rsid w:val="00043D1F"/>
    <w:rsid w:val="000460DD"/>
    <w:rsid w:val="000500D1"/>
    <w:rsid w:val="000525F1"/>
    <w:rsid w:val="00054B13"/>
    <w:rsid w:val="00054FFC"/>
    <w:rsid w:val="00055300"/>
    <w:rsid w:val="00056167"/>
    <w:rsid w:val="00056A85"/>
    <w:rsid w:val="00057014"/>
    <w:rsid w:val="0005716F"/>
    <w:rsid w:val="00057BC6"/>
    <w:rsid w:val="000603FE"/>
    <w:rsid w:val="0006070E"/>
    <w:rsid w:val="00060BEA"/>
    <w:rsid w:val="00060BF2"/>
    <w:rsid w:val="00061C82"/>
    <w:rsid w:val="0006290E"/>
    <w:rsid w:val="00062B4E"/>
    <w:rsid w:val="000637F2"/>
    <w:rsid w:val="00063899"/>
    <w:rsid w:val="00063A52"/>
    <w:rsid w:val="000650C5"/>
    <w:rsid w:val="000650FC"/>
    <w:rsid w:val="00065410"/>
    <w:rsid w:val="00065AC4"/>
    <w:rsid w:val="00066302"/>
    <w:rsid w:val="00066673"/>
    <w:rsid w:val="00066DDA"/>
    <w:rsid w:val="00067769"/>
    <w:rsid w:val="00067F37"/>
    <w:rsid w:val="00070A6C"/>
    <w:rsid w:val="00073870"/>
    <w:rsid w:val="00082229"/>
    <w:rsid w:val="0008242D"/>
    <w:rsid w:val="00082D5D"/>
    <w:rsid w:val="000846C7"/>
    <w:rsid w:val="0008509D"/>
    <w:rsid w:val="00085C2F"/>
    <w:rsid w:val="00086419"/>
    <w:rsid w:val="0008692F"/>
    <w:rsid w:val="00086C73"/>
    <w:rsid w:val="00086EFB"/>
    <w:rsid w:val="00087568"/>
    <w:rsid w:val="00090555"/>
    <w:rsid w:val="000928D7"/>
    <w:rsid w:val="00093B42"/>
    <w:rsid w:val="00095091"/>
    <w:rsid w:val="000957D8"/>
    <w:rsid w:val="00096654"/>
    <w:rsid w:val="000968A5"/>
    <w:rsid w:val="00096919"/>
    <w:rsid w:val="00096F5B"/>
    <w:rsid w:val="0009700D"/>
    <w:rsid w:val="000A184A"/>
    <w:rsid w:val="000A25A5"/>
    <w:rsid w:val="000A3386"/>
    <w:rsid w:val="000A36AB"/>
    <w:rsid w:val="000A3CF6"/>
    <w:rsid w:val="000A56C4"/>
    <w:rsid w:val="000A59AA"/>
    <w:rsid w:val="000A5E05"/>
    <w:rsid w:val="000A70F9"/>
    <w:rsid w:val="000A7A70"/>
    <w:rsid w:val="000A7CF7"/>
    <w:rsid w:val="000A7F8C"/>
    <w:rsid w:val="000B0559"/>
    <w:rsid w:val="000B0680"/>
    <w:rsid w:val="000B148C"/>
    <w:rsid w:val="000B17AF"/>
    <w:rsid w:val="000B303E"/>
    <w:rsid w:val="000B37B9"/>
    <w:rsid w:val="000B3D97"/>
    <w:rsid w:val="000B3F90"/>
    <w:rsid w:val="000B65D8"/>
    <w:rsid w:val="000B71F5"/>
    <w:rsid w:val="000B74DD"/>
    <w:rsid w:val="000B75EE"/>
    <w:rsid w:val="000B7AEF"/>
    <w:rsid w:val="000C214C"/>
    <w:rsid w:val="000C38AE"/>
    <w:rsid w:val="000C4BD5"/>
    <w:rsid w:val="000C4FC2"/>
    <w:rsid w:val="000C599D"/>
    <w:rsid w:val="000C5FA7"/>
    <w:rsid w:val="000C6B5F"/>
    <w:rsid w:val="000C7F67"/>
    <w:rsid w:val="000D0FF2"/>
    <w:rsid w:val="000D1005"/>
    <w:rsid w:val="000D19E4"/>
    <w:rsid w:val="000D1A7E"/>
    <w:rsid w:val="000D252E"/>
    <w:rsid w:val="000D3F86"/>
    <w:rsid w:val="000E136E"/>
    <w:rsid w:val="000E27C8"/>
    <w:rsid w:val="000E2E36"/>
    <w:rsid w:val="000E39F2"/>
    <w:rsid w:val="000E41BF"/>
    <w:rsid w:val="000E457F"/>
    <w:rsid w:val="000E4DAF"/>
    <w:rsid w:val="000E6745"/>
    <w:rsid w:val="000E7222"/>
    <w:rsid w:val="000E7B39"/>
    <w:rsid w:val="000F032A"/>
    <w:rsid w:val="000F03DD"/>
    <w:rsid w:val="000F07BE"/>
    <w:rsid w:val="000F0FC1"/>
    <w:rsid w:val="000F14D5"/>
    <w:rsid w:val="000F20CC"/>
    <w:rsid w:val="000F2780"/>
    <w:rsid w:val="000F2BA8"/>
    <w:rsid w:val="000F3441"/>
    <w:rsid w:val="000F37F2"/>
    <w:rsid w:val="000F3C55"/>
    <w:rsid w:val="000F6EFB"/>
    <w:rsid w:val="00100493"/>
    <w:rsid w:val="00100EFF"/>
    <w:rsid w:val="00101107"/>
    <w:rsid w:val="00101EC5"/>
    <w:rsid w:val="00102E79"/>
    <w:rsid w:val="00106909"/>
    <w:rsid w:val="00106CD0"/>
    <w:rsid w:val="00107978"/>
    <w:rsid w:val="00110729"/>
    <w:rsid w:val="0011105D"/>
    <w:rsid w:val="00111108"/>
    <w:rsid w:val="001123B7"/>
    <w:rsid w:val="001126E1"/>
    <w:rsid w:val="00112E81"/>
    <w:rsid w:val="00113814"/>
    <w:rsid w:val="00113B8B"/>
    <w:rsid w:val="00113F1B"/>
    <w:rsid w:val="001143FF"/>
    <w:rsid w:val="00114C1D"/>
    <w:rsid w:val="00114C56"/>
    <w:rsid w:val="00115376"/>
    <w:rsid w:val="0011585E"/>
    <w:rsid w:val="00115CC5"/>
    <w:rsid w:val="001164FF"/>
    <w:rsid w:val="00117427"/>
    <w:rsid w:val="00121418"/>
    <w:rsid w:val="00122D20"/>
    <w:rsid w:val="00123920"/>
    <w:rsid w:val="001239F6"/>
    <w:rsid w:val="001264CD"/>
    <w:rsid w:val="0012786C"/>
    <w:rsid w:val="00127B72"/>
    <w:rsid w:val="00131360"/>
    <w:rsid w:val="001318E0"/>
    <w:rsid w:val="00132273"/>
    <w:rsid w:val="001322C6"/>
    <w:rsid w:val="00132E0B"/>
    <w:rsid w:val="00135C3F"/>
    <w:rsid w:val="00136791"/>
    <w:rsid w:val="00140141"/>
    <w:rsid w:val="001402C9"/>
    <w:rsid w:val="00143A77"/>
    <w:rsid w:val="00144656"/>
    <w:rsid w:val="00144ADE"/>
    <w:rsid w:val="00146201"/>
    <w:rsid w:val="00151B4D"/>
    <w:rsid w:val="00152070"/>
    <w:rsid w:val="00152E26"/>
    <w:rsid w:val="0015387B"/>
    <w:rsid w:val="00153D71"/>
    <w:rsid w:val="00153F6C"/>
    <w:rsid w:val="00154022"/>
    <w:rsid w:val="00154B8E"/>
    <w:rsid w:val="0015630B"/>
    <w:rsid w:val="00156837"/>
    <w:rsid w:val="00157034"/>
    <w:rsid w:val="00157576"/>
    <w:rsid w:val="0015767B"/>
    <w:rsid w:val="00157EC4"/>
    <w:rsid w:val="001600F8"/>
    <w:rsid w:val="001602F3"/>
    <w:rsid w:val="001604B8"/>
    <w:rsid w:val="00162052"/>
    <w:rsid w:val="0016280A"/>
    <w:rsid w:val="00162CDD"/>
    <w:rsid w:val="00164F84"/>
    <w:rsid w:val="001650AF"/>
    <w:rsid w:val="00165B96"/>
    <w:rsid w:val="00170E69"/>
    <w:rsid w:val="0017138D"/>
    <w:rsid w:val="00172A27"/>
    <w:rsid w:val="00172C9C"/>
    <w:rsid w:val="0017363D"/>
    <w:rsid w:val="00173717"/>
    <w:rsid w:val="001758D9"/>
    <w:rsid w:val="0017634A"/>
    <w:rsid w:val="0018073D"/>
    <w:rsid w:val="00183724"/>
    <w:rsid w:val="001862FB"/>
    <w:rsid w:val="001863B5"/>
    <w:rsid w:val="00186D6E"/>
    <w:rsid w:val="00186EAD"/>
    <w:rsid w:val="00186EDC"/>
    <w:rsid w:val="001900CB"/>
    <w:rsid w:val="0019039C"/>
    <w:rsid w:val="001903E7"/>
    <w:rsid w:val="00190984"/>
    <w:rsid w:val="00191009"/>
    <w:rsid w:val="0019108D"/>
    <w:rsid w:val="00191141"/>
    <w:rsid w:val="00191450"/>
    <w:rsid w:val="0019300A"/>
    <w:rsid w:val="00193481"/>
    <w:rsid w:val="001936BF"/>
    <w:rsid w:val="0019387F"/>
    <w:rsid w:val="00193A5C"/>
    <w:rsid w:val="00194099"/>
    <w:rsid w:val="00197188"/>
    <w:rsid w:val="001A035D"/>
    <w:rsid w:val="001A10DF"/>
    <w:rsid w:val="001A25E7"/>
    <w:rsid w:val="001A2633"/>
    <w:rsid w:val="001A3267"/>
    <w:rsid w:val="001A432B"/>
    <w:rsid w:val="001A459D"/>
    <w:rsid w:val="001A45EE"/>
    <w:rsid w:val="001A4BC3"/>
    <w:rsid w:val="001A6962"/>
    <w:rsid w:val="001A6C48"/>
    <w:rsid w:val="001A71C4"/>
    <w:rsid w:val="001A767B"/>
    <w:rsid w:val="001A7B87"/>
    <w:rsid w:val="001A7EFC"/>
    <w:rsid w:val="001B015D"/>
    <w:rsid w:val="001B1377"/>
    <w:rsid w:val="001B330D"/>
    <w:rsid w:val="001B34A4"/>
    <w:rsid w:val="001B35BB"/>
    <w:rsid w:val="001B3621"/>
    <w:rsid w:val="001B4C5A"/>
    <w:rsid w:val="001B4DDD"/>
    <w:rsid w:val="001B4E4A"/>
    <w:rsid w:val="001B51FD"/>
    <w:rsid w:val="001B5EA2"/>
    <w:rsid w:val="001B68B6"/>
    <w:rsid w:val="001C2DBC"/>
    <w:rsid w:val="001C2DEB"/>
    <w:rsid w:val="001C417F"/>
    <w:rsid w:val="001C4F1B"/>
    <w:rsid w:val="001C5CFC"/>
    <w:rsid w:val="001C5F45"/>
    <w:rsid w:val="001C7097"/>
    <w:rsid w:val="001C77A3"/>
    <w:rsid w:val="001C7BA7"/>
    <w:rsid w:val="001D1E92"/>
    <w:rsid w:val="001D3AF5"/>
    <w:rsid w:val="001D41D8"/>
    <w:rsid w:val="001D44D5"/>
    <w:rsid w:val="001D47AA"/>
    <w:rsid w:val="001D60CB"/>
    <w:rsid w:val="001D66F6"/>
    <w:rsid w:val="001D6937"/>
    <w:rsid w:val="001D73E9"/>
    <w:rsid w:val="001D7B14"/>
    <w:rsid w:val="001D7EB4"/>
    <w:rsid w:val="001E0099"/>
    <w:rsid w:val="001E00F4"/>
    <w:rsid w:val="001E0D78"/>
    <w:rsid w:val="001E2ED8"/>
    <w:rsid w:val="001E2FEC"/>
    <w:rsid w:val="001E4D5B"/>
    <w:rsid w:val="001E51C4"/>
    <w:rsid w:val="001E546E"/>
    <w:rsid w:val="001E689A"/>
    <w:rsid w:val="001E7390"/>
    <w:rsid w:val="001F09CF"/>
    <w:rsid w:val="001F0CDA"/>
    <w:rsid w:val="001F0DED"/>
    <w:rsid w:val="001F2E5D"/>
    <w:rsid w:val="001F2F4F"/>
    <w:rsid w:val="001F3468"/>
    <w:rsid w:val="001F38F3"/>
    <w:rsid w:val="001F3C2D"/>
    <w:rsid w:val="001F402A"/>
    <w:rsid w:val="001F51D7"/>
    <w:rsid w:val="001F5484"/>
    <w:rsid w:val="001F648F"/>
    <w:rsid w:val="001F64B7"/>
    <w:rsid w:val="00202839"/>
    <w:rsid w:val="00202CE9"/>
    <w:rsid w:val="002033A1"/>
    <w:rsid w:val="00204977"/>
    <w:rsid w:val="00205696"/>
    <w:rsid w:val="0020585E"/>
    <w:rsid w:val="0021081E"/>
    <w:rsid w:val="00210923"/>
    <w:rsid w:val="0021338B"/>
    <w:rsid w:val="002141BD"/>
    <w:rsid w:val="00214BA3"/>
    <w:rsid w:val="002151BD"/>
    <w:rsid w:val="00215B4A"/>
    <w:rsid w:val="00216A13"/>
    <w:rsid w:val="00216EF9"/>
    <w:rsid w:val="0021705F"/>
    <w:rsid w:val="002203CE"/>
    <w:rsid w:val="00220C6B"/>
    <w:rsid w:val="0022111F"/>
    <w:rsid w:val="00221265"/>
    <w:rsid w:val="002214DF"/>
    <w:rsid w:val="002215E0"/>
    <w:rsid w:val="002228D1"/>
    <w:rsid w:val="00222EFC"/>
    <w:rsid w:val="002246DE"/>
    <w:rsid w:val="00224B2D"/>
    <w:rsid w:val="00224E99"/>
    <w:rsid w:val="002255B9"/>
    <w:rsid w:val="002263FC"/>
    <w:rsid w:val="0022747C"/>
    <w:rsid w:val="002309F7"/>
    <w:rsid w:val="0023278D"/>
    <w:rsid w:val="00232E01"/>
    <w:rsid w:val="00233114"/>
    <w:rsid w:val="0023327D"/>
    <w:rsid w:val="00234CBA"/>
    <w:rsid w:val="002358FD"/>
    <w:rsid w:val="00235B40"/>
    <w:rsid w:val="002364E6"/>
    <w:rsid w:val="00236F8F"/>
    <w:rsid w:val="002379A8"/>
    <w:rsid w:val="00237CDF"/>
    <w:rsid w:val="00237ECA"/>
    <w:rsid w:val="002415C5"/>
    <w:rsid w:val="00242D81"/>
    <w:rsid w:val="00244C21"/>
    <w:rsid w:val="0024765E"/>
    <w:rsid w:val="002530AF"/>
    <w:rsid w:val="002532C4"/>
    <w:rsid w:val="00253761"/>
    <w:rsid w:val="002537C6"/>
    <w:rsid w:val="00253F93"/>
    <w:rsid w:val="002559CB"/>
    <w:rsid w:val="00255FF7"/>
    <w:rsid w:val="00257A48"/>
    <w:rsid w:val="00257CF6"/>
    <w:rsid w:val="0026125B"/>
    <w:rsid w:val="00261EEC"/>
    <w:rsid w:val="0026292E"/>
    <w:rsid w:val="00264939"/>
    <w:rsid w:val="00264F92"/>
    <w:rsid w:val="00265959"/>
    <w:rsid w:val="002678E1"/>
    <w:rsid w:val="00267B17"/>
    <w:rsid w:val="00267FF3"/>
    <w:rsid w:val="00270C64"/>
    <w:rsid w:val="00273A1D"/>
    <w:rsid w:val="00273BDF"/>
    <w:rsid w:val="0027447F"/>
    <w:rsid w:val="00274603"/>
    <w:rsid w:val="002748F8"/>
    <w:rsid w:val="00274AFA"/>
    <w:rsid w:val="00276D4F"/>
    <w:rsid w:val="00276EA0"/>
    <w:rsid w:val="002774EA"/>
    <w:rsid w:val="00280F59"/>
    <w:rsid w:val="002825BE"/>
    <w:rsid w:val="00282961"/>
    <w:rsid w:val="0028373E"/>
    <w:rsid w:val="00283FB6"/>
    <w:rsid w:val="002843CB"/>
    <w:rsid w:val="002864AB"/>
    <w:rsid w:val="002865C6"/>
    <w:rsid w:val="00290108"/>
    <w:rsid w:val="00290439"/>
    <w:rsid w:val="00290A3D"/>
    <w:rsid w:val="00290DC7"/>
    <w:rsid w:val="0029132E"/>
    <w:rsid w:val="00291F4A"/>
    <w:rsid w:val="002921F0"/>
    <w:rsid w:val="00292227"/>
    <w:rsid w:val="00293E82"/>
    <w:rsid w:val="00294B0A"/>
    <w:rsid w:val="00295D4E"/>
    <w:rsid w:val="00295DD4"/>
    <w:rsid w:val="002A036E"/>
    <w:rsid w:val="002A10F7"/>
    <w:rsid w:val="002A1689"/>
    <w:rsid w:val="002A19DF"/>
    <w:rsid w:val="002A242B"/>
    <w:rsid w:val="002A3D05"/>
    <w:rsid w:val="002A40BE"/>
    <w:rsid w:val="002A4F88"/>
    <w:rsid w:val="002A50CD"/>
    <w:rsid w:val="002A7A34"/>
    <w:rsid w:val="002B6323"/>
    <w:rsid w:val="002B6427"/>
    <w:rsid w:val="002B7D0B"/>
    <w:rsid w:val="002C11EE"/>
    <w:rsid w:val="002C13E2"/>
    <w:rsid w:val="002C23D3"/>
    <w:rsid w:val="002C419F"/>
    <w:rsid w:val="002C4225"/>
    <w:rsid w:val="002C4D07"/>
    <w:rsid w:val="002C4D28"/>
    <w:rsid w:val="002C5E65"/>
    <w:rsid w:val="002C68A5"/>
    <w:rsid w:val="002C739E"/>
    <w:rsid w:val="002C7DF9"/>
    <w:rsid w:val="002D0202"/>
    <w:rsid w:val="002D1091"/>
    <w:rsid w:val="002D21B4"/>
    <w:rsid w:val="002D23CE"/>
    <w:rsid w:val="002D23FD"/>
    <w:rsid w:val="002D3D16"/>
    <w:rsid w:val="002D4ED5"/>
    <w:rsid w:val="002D4FA8"/>
    <w:rsid w:val="002E0FE4"/>
    <w:rsid w:val="002E1A20"/>
    <w:rsid w:val="002E2001"/>
    <w:rsid w:val="002E2BCF"/>
    <w:rsid w:val="002E3560"/>
    <w:rsid w:val="002E3709"/>
    <w:rsid w:val="002E5557"/>
    <w:rsid w:val="002E6190"/>
    <w:rsid w:val="002E6AAD"/>
    <w:rsid w:val="002E6E0F"/>
    <w:rsid w:val="002E75C7"/>
    <w:rsid w:val="002F0F30"/>
    <w:rsid w:val="002F18E6"/>
    <w:rsid w:val="002F1F2F"/>
    <w:rsid w:val="002F27DC"/>
    <w:rsid w:val="002F3C22"/>
    <w:rsid w:val="002F40BE"/>
    <w:rsid w:val="002F4FA9"/>
    <w:rsid w:val="002F51E8"/>
    <w:rsid w:val="002F5663"/>
    <w:rsid w:val="002F5763"/>
    <w:rsid w:val="002F5A08"/>
    <w:rsid w:val="002F736A"/>
    <w:rsid w:val="003016F2"/>
    <w:rsid w:val="003025AC"/>
    <w:rsid w:val="00303A52"/>
    <w:rsid w:val="00304236"/>
    <w:rsid w:val="00304994"/>
    <w:rsid w:val="00306581"/>
    <w:rsid w:val="00306DB0"/>
    <w:rsid w:val="00310689"/>
    <w:rsid w:val="00311CE2"/>
    <w:rsid w:val="00311F58"/>
    <w:rsid w:val="00313808"/>
    <w:rsid w:val="00313A8F"/>
    <w:rsid w:val="00314C7E"/>
    <w:rsid w:val="0031530F"/>
    <w:rsid w:val="00315747"/>
    <w:rsid w:val="0031624D"/>
    <w:rsid w:val="0031640B"/>
    <w:rsid w:val="00316C7C"/>
    <w:rsid w:val="00316F32"/>
    <w:rsid w:val="0031702C"/>
    <w:rsid w:val="00317B7A"/>
    <w:rsid w:val="003223B9"/>
    <w:rsid w:val="00322814"/>
    <w:rsid w:val="00323956"/>
    <w:rsid w:val="00323A93"/>
    <w:rsid w:val="003273A1"/>
    <w:rsid w:val="00327FC2"/>
    <w:rsid w:val="00331836"/>
    <w:rsid w:val="00332BFA"/>
    <w:rsid w:val="00332DFA"/>
    <w:rsid w:val="00333F92"/>
    <w:rsid w:val="00335F74"/>
    <w:rsid w:val="0033705C"/>
    <w:rsid w:val="0033764C"/>
    <w:rsid w:val="00337C2F"/>
    <w:rsid w:val="00337C55"/>
    <w:rsid w:val="003418A7"/>
    <w:rsid w:val="003423FA"/>
    <w:rsid w:val="0034281D"/>
    <w:rsid w:val="00342B72"/>
    <w:rsid w:val="00342BD5"/>
    <w:rsid w:val="00343B6D"/>
    <w:rsid w:val="00343DCD"/>
    <w:rsid w:val="00343DCE"/>
    <w:rsid w:val="00344898"/>
    <w:rsid w:val="0034677A"/>
    <w:rsid w:val="00346D22"/>
    <w:rsid w:val="00347A52"/>
    <w:rsid w:val="00350430"/>
    <w:rsid w:val="003516F3"/>
    <w:rsid w:val="003527E9"/>
    <w:rsid w:val="003541F7"/>
    <w:rsid w:val="00354A20"/>
    <w:rsid w:val="00356EB9"/>
    <w:rsid w:val="003577B3"/>
    <w:rsid w:val="003603EB"/>
    <w:rsid w:val="00361456"/>
    <w:rsid w:val="00363452"/>
    <w:rsid w:val="00363629"/>
    <w:rsid w:val="0036579A"/>
    <w:rsid w:val="00366296"/>
    <w:rsid w:val="003664F0"/>
    <w:rsid w:val="00366C07"/>
    <w:rsid w:val="00367418"/>
    <w:rsid w:val="003676AD"/>
    <w:rsid w:val="00367723"/>
    <w:rsid w:val="00370B5B"/>
    <w:rsid w:val="00370CB8"/>
    <w:rsid w:val="00370D35"/>
    <w:rsid w:val="003711EE"/>
    <w:rsid w:val="00371F2E"/>
    <w:rsid w:val="00372304"/>
    <w:rsid w:val="003741CC"/>
    <w:rsid w:val="0037535A"/>
    <w:rsid w:val="00375952"/>
    <w:rsid w:val="00376B6E"/>
    <w:rsid w:val="003777CB"/>
    <w:rsid w:val="003819C9"/>
    <w:rsid w:val="0038297A"/>
    <w:rsid w:val="00383595"/>
    <w:rsid w:val="00384263"/>
    <w:rsid w:val="00386E35"/>
    <w:rsid w:val="00386F73"/>
    <w:rsid w:val="003878F0"/>
    <w:rsid w:val="003905C5"/>
    <w:rsid w:val="003907AF"/>
    <w:rsid w:val="00390AE0"/>
    <w:rsid w:val="00390F73"/>
    <w:rsid w:val="00391762"/>
    <w:rsid w:val="003917EB"/>
    <w:rsid w:val="00391C69"/>
    <w:rsid w:val="003920AB"/>
    <w:rsid w:val="00393457"/>
    <w:rsid w:val="00394094"/>
    <w:rsid w:val="003952FE"/>
    <w:rsid w:val="003955B3"/>
    <w:rsid w:val="00395E8C"/>
    <w:rsid w:val="0039697F"/>
    <w:rsid w:val="00396B0C"/>
    <w:rsid w:val="00396BDE"/>
    <w:rsid w:val="00397865"/>
    <w:rsid w:val="003A1B37"/>
    <w:rsid w:val="003A2149"/>
    <w:rsid w:val="003A2435"/>
    <w:rsid w:val="003A2FB9"/>
    <w:rsid w:val="003A3152"/>
    <w:rsid w:val="003A4614"/>
    <w:rsid w:val="003A5AD2"/>
    <w:rsid w:val="003B049D"/>
    <w:rsid w:val="003B0B84"/>
    <w:rsid w:val="003B169B"/>
    <w:rsid w:val="003B2B35"/>
    <w:rsid w:val="003B2DA9"/>
    <w:rsid w:val="003B37EF"/>
    <w:rsid w:val="003B4467"/>
    <w:rsid w:val="003B5120"/>
    <w:rsid w:val="003B5D90"/>
    <w:rsid w:val="003B5DA7"/>
    <w:rsid w:val="003B661B"/>
    <w:rsid w:val="003B6852"/>
    <w:rsid w:val="003C01DD"/>
    <w:rsid w:val="003C1805"/>
    <w:rsid w:val="003C18FD"/>
    <w:rsid w:val="003C1D8D"/>
    <w:rsid w:val="003C2115"/>
    <w:rsid w:val="003C3DE0"/>
    <w:rsid w:val="003C4C2D"/>
    <w:rsid w:val="003C5977"/>
    <w:rsid w:val="003C59FD"/>
    <w:rsid w:val="003C68A9"/>
    <w:rsid w:val="003C6F78"/>
    <w:rsid w:val="003D162B"/>
    <w:rsid w:val="003D26DE"/>
    <w:rsid w:val="003D3B51"/>
    <w:rsid w:val="003D448D"/>
    <w:rsid w:val="003D693D"/>
    <w:rsid w:val="003D6EC4"/>
    <w:rsid w:val="003D7ACC"/>
    <w:rsid w:val="003D7AF4"/>
    <w:rsid w:val="003E0122"/>
    <w:rsid w:val="003E0B46"/>
    <w:rsid w:val="003E105C"/>
    <w:rsid w:val="003E1341"/>
    <w:rsid w:val="003E3AE9"/>
    <w:rsid w:val="003E48C5"/>
    <w:rsid w:val="003E7404"/>
    <w:rsid w:val="003E78A4"/>
    <w:rsid w:val="003F0AA7"/>
    <w:rsid w:val="003F0DFD"/>
    <w:rsid w:val="003F29F7"/>
    <w:rsid w:val="003F3B1D"/>
    <w:rsid w:val="003F43FA"/>
    <w:rsid w:val="003F68BE"/>
    <w:rsid w:val="003F7E93"/>
    <w:rsid w:val="004008E2"/>
    <w:rsid w:val="004013E0"/>
    <w:rsid w:val="0040219F"/>
    <w:rsid w:val="00402278"/>
    <w:rsid w:val="00403570"/>
    <w:rsid w:val="004049AF"/>
    <w:rsid w:val="00404ECF"/>
    <w:rsid w:val="00404F37"/>
    <w:rsid w:val="00405E53"/>
    <w:rsid w:val="0040661B"/>
    <w:rsid w:val="00410865"/>
    <w:rsid w:val="004127CE"/>
    <w:rsid w:val="00412A23"/>
    <w:rsid w:val="004144F0"/>
    <w:rsid w:val="00415418"/>
    <w:rsid w:val="00415459"/>
    <w:rsid w:val="004176AA"/>
    <w:rsid w:val="004178D9"/>
    <w:rsid w:val="00417D63"/>
    <w:rsid w:val="00417EC8"/>
    <w:rsid w:val="00421AA4"/>
    <w:rsid w:val="004224F6"/>
    <w:rsid w:val="0042397C"/>
    <w:rsid w:val="00425092"/>
    <w:rsid w:val="0042675C"/>
    <w:rsid w:val="00427D04"/>
    <w:rsid w:val="00430130"/>
    <w:rsid w:val="00430CF2"/>
    <w:rsid w:val="0043299A"/>
    <w:rsid w:val="00433DB8"/>
    <w:rsid w:val="00433EBE"/>
    <w:rsid w:val="004350A5"/>
    <w:rsid w:val="0043594B"/>
    <w:rsid w:val="00435F5E"/>
    <w:rsid w:val="0043670A"/>
    <w:rsid w:val="00437749"/>
    <w:rsid w:val="00437B58"/>
    <w:rsid w:val="004401E7"/>
    <w:rsid w:val="00440BDD"/>
    <w:rsid w:val="00442C86"/>
    <w:rsid w:val="00443E8E"/>
    <w:rsid w:val="004443B6"/>
    <w:rsid w:val="00445B70"/>
    <w:rsid w:val="00447047"/>
    <w:rsid w:val="00447785"/>
    <w:rsid w:val="00450913"/>
    <w:rsid w:val="004537D9"/>
    <w:rsid w:val="004537FE"/>
    <w:rsid w:val="00453ACC"/>
    <w:rsid w:val="004543A4"/>
    <w:rsid w:val="00454AB9"/>
    <w:rsid w:val="00454F8A"/>
    <w:rsid w:val="00455029"/>
    <w:rsid w:val="004550D6"/>
    <w:rsid w:val="0045571E"/>
    <w:rsid w:val="00455A08"/>
    <w:rsid w:val="00455D3E"/>
    <w:rsid w:val="004579EF"/>
    <w:rsid w:val="004605D0"/>
    <w:rsid w:val="004605F9"/>
    <w:rsid w:val="00463197"/>
    <w:rsid w:val="00464872"/>
    <w:rsid w:val="00471211"/>
    <w:rsid w:val="0047187F"/>
    <w:rsid w:val="004727FB"/>
    <w:rsid w:val="00472B89"/>
    <w:rsid w:val="00473629"/>
    <w:rsid w:val="00473654"/>
    <w:rsid w:val="004742D1"/>
    <w:rsid w:val="00474AD6"/>
    <w:rsid w:val="00475899"/>
    <w:rsid w:val="00476923"/>
    <w:rsid w:val="00476947"/>
    <w:rsid w:val="00477449"/>
    <w:rsid w:val="004774C3"/>
    <w:rsid w:val="00477B3A"/>
    <w:rsid w:val="0048143A"/>
    <w:rsid w:val="004823B0"/>
    <w:rsid w:val="00482B1D"/>
    <w:rsid w:val="00482B3B"/>
    <w:rsid w:val="004831F3"/>
    <w:rsid w:val="00483396"/>
    <w:rsid w:val="00483D64"/>
    <w:rsid w:val="00485563"/>
    <w:rsid w:val="0048627D"/>
    <w:rsid w:val="00486754"/>
    <w:rsid w:val="004871B3"/>
    <w:rsid w:val="00490F34"/>
    <w:rsid w:val="004929E6"/>
    <w:rsid w:val="00492B73"/>
    <w:rsid w:val="00492D53"/>
    <w:rsid w:val="00492FAB"/>
    <w:rsid w:val="00493FDB"/>
    <w:rsid w:val="004941F2"/>
    <w:rsid w:val="00495E3B"/>
    <w:rsid w:val="004969DD"/>
    <w:rsid w:val="00497AC8"/>
    <w:rsid w:val="00497DBC"/>
    <w:rsid w:val="004A045C"/>
    <w:rsid w:val="004A04C2"/>
    <w:rsid w:val="004A05FF"/>
    <w:rsid w:val="004A15E1"/>
    <w:rsid w:val="004A2003"/>
    <w:rsid w:val="004A2192"/>
    <w:rsid w:val="004A2230"/>
    <w:rsid w:val="004A4AC7"/>
    <w:rsid w:val="004A5A93"/>
    <w:rsid w:val="004A6150"/>
    <w:rsid w:val="004A76DA"/>
    <w:rsid w:val="004A7B98"/>
    <w:rsid w:val="004B05C7"/>
    <w:rsid w:val="004B0E0F"/>
    <w:rsid w:val="004B18C4"/>
    <w:rsid w:val="004B27D9"/>
    <w:rsid w:val="004B5255"/>
    <w:rsid w:val="004B591C"/>
    <w:rsid w:val="004B783B"/>
    <w:rsid w:val="004B78A9"/>
    <w:rsid w:val="004C04FD"/>
    <w:rsid w:val="004C165E"/>
    <w:rsid w:val="004C1BCB"/>
    <w:rsid w:val="004C2FAC"/>
    <w:rsid w:val="004C2FE8"/>
    <w:rsid w:val="004C31D6"/>
    <w:rsid w:val="004C3241"/>
    <w:rsid w:val="004C3339"/>
    <w:rsid w:val="004C4A6C"/>
    <w:rsid w:val="004C7F66"/>
    <w:rsid w:val="004D1963"/>
    <w:rsid w:val="004D3590"/>
    <w:rsid w:val="004D3B35"/>
    <w:rsid w:val="004D3FBB"/>
    <w:rsid w:val="004D555D"/>
    <w:rsid w:val="004D749E"/>
    <w:rsid w:val="004E34F4"/>
    <w:rsid w:val="004E37D3"/>
    <w:rsid w:val="004E3F62"/>
    <w:rsid w:val="004E4011"/>
    <w:rsid w:val="004E41FD"/>
    <w:rsid w:val="004E60BD"/>
    <w:rsid w:val="004E64B0"/>
    <w:rsid w:val="004F339F"/>
    <w:rsid w:val="004F41CD"/>
    <w:rsid w:val="004F4A88"/>
    <w:rsid w:val="004F5C42"/>
    <w:rsid w:val="004F5DDE"/>
    <w:rsid w:val="004F7B5B"/>
    <w:rsid w:val="004F7C9C"/>
    <w:rsid w:val="005008AE"/>
    <w:rsid w:val="00501F8A"/>
    <w:rsid w:val="00502406"/>
    <w:rsid w:val="00503EC4"/>
    <w:rsid w:val="00503F6E"/>
    <w:rsid w:val="00504E62"/>
    <w:rsid w:val="005051B6"/>
    <w:rsid w:val="005054D5"/>
    <w:rsid w:val="00505BD0"/>
    <w:rsid w:val="00507FB9"/>
    <w:rsid w:val="00511193"/>
    <w:rsid w:val="00511E07"/>
    <w:rsid w:val="00512730"/>
    <w:rsid w:val="005136A4"/>
    <w:rsid w:val="00514825"/>
    <w:rsid w:val="005149FA"/>
    <w:rsid w:val="00515BD9"/>
    <w:rsid w:val="005160DD"/>
    <w:rsid w:val="00516D68"/>
    <w:rsid w:val="0052099C"/>
    <w:rsid w:val="00522B6B"/>
    <w:rsid w:val="00524848"/>
    <w:rsid w:val="0052504F"/>
    <w:rsid w:val="00525118"/>
    <w:rsid w:val="00527271"/>
    <w:rsid w:val="00527E3B"/>
    <w:rsid w:val="00530230"/>
    <w:rsid w:val="005310F9"/>
    <w:rsid w:val="00532123"/>
    <w:rsid w:val="00533C9C"/>
    <w:rsid w:val="0053436E"/>
    <w:rsid w:val="00534549"/>
    <w:rsid w:val="00535426"/>
    <w:rsid w:val="00536DFD"/>
    <w:rsid w:val="00542ECD"/>
    <w:rsid w:val="005435CD"/>
    <w:rsid w:val="00543A6F"/>
    <w:rsid w:val="005448D7"/>
    <w:rsid w:val="005451EB"/>
    <w:rsid w:val="005452CD"/>
    <w:rsid w:val="00545867"/>
    <w:rsid w:val="00545C5D"/>
    <w:rsid w:val="00546675"/>
    <w:rsid w:val="00546D67"/>
    <w:rsid w:val="00546E58"/>
    <w:rsid w:val="005479EF"/>
    <w:rsid w:val="00547CBB"/>
    <w:rsid w:val="00550AA6"/>
    <w:rsid w:val="00552F9D"/>
    <w:rsid w:val="0055372F"/>
    <w:rsid w:val="00554EC1"/>
    <w:rsid w:val="00555BF3"/>
    <w:rsid w:val="0055697D"/>
    <w:rsid w:val="00556B0C"/>
    <w:rsid w:val="00557B27"/>
    <w:rsid w:val="0056051E"/>
    <w:rsid w:val="005606BB"/>
    <w:rsid w:val="0056167D"/>
    <w:rsid w:val="00562D88"/>
    <w:rsid w:val="00563CC3"/>
    <w:rsid w:val="00563FE1"/>
    <w:rsid w:val="0056441C"/>
    <w:rsid w:val="00570CA3"/>
    <w:rsid w:val="00570D6D"/>
    <w:rsid w:val="00571C81"/>
    <w:rsid w:val="00572902"/>
    <w:rsid w:val="00573DEE"/>
    <w:rsid w:val="005754F0"/>
    <w:rsid w:val="005767B2"/>
    <w:rsid w:val="00577761"/>
    <w:rsid w:val="005802C5"/>
    <w:rsid w:val="005804E9"/>
    <w:rsid w:val="005811B1"/>
    <w:rsid w:val="00581459"/>
    <w:rsid w:val="0058190E"/>
    <w:rsid w:val="005831A3"/>
    <w:rsid w:val="005852AE"/>
    <w:rsid w:val="00585900"/>
    <w:rsid w:val="00585960"/>
    <w:rsid w:val="00586240"/>
    <w:rsid w:val="00586EA9"/>
    <w:rsid w:val="00587557"/>
    <w:rsid w:val="00587A24"/>
    <w:rsid w:val="00591830"/>
    <w:rsid w:val="00591EE1"/>
    <w:rsid w:val="00591F39"/>
    <w:rsid w:val="00591F46"/>
    <w:rsid w:val="00592544"/>
    <w:rsid w:val="00593665"/>
    <w:rsid w:val="005936E3"/>
    <w:rsid w:val="005951FB"/>
    <w:rsid w:val="00595B98"/>
    <w:rsid w:val="00595DFE"/>
    <w:rsid w:val="005971F5"/>
    <w:rsid w:val="00597F1D"/>
    <w:rsid w:val="005A0441"/>
    <w:rsid w:val="005A2205"/>
    <w:rsid w:val="005A2490"/>
    <w:rsid w:val="005A3E70"/>
    <w:rsid w:val="005A40A0"/>
    <w:rsid w:val="005A41DE"/>
    <w:rsid w:val="005A4480"/>
    <w:rsid w:val="005A4DF2"/>
    <w:rsid w:val="005A5BE7"/>
    <w:rsid w:val="005A5F33"/>
    <w:rsid w:val="005A7BAA"/>
    <w:rsid w:val="005A7C0A"/>
    <w:rsid w:val="005B06B9"/>
    <w:rsid w:val="005B0D3D"/>
    <w:rsid w:val="005B13E3"/>
    <w:rsid w:val="005B1833"/>
    <w:rsid w:val="005B3DCA"/>
    <w:rsid w:val="005B3EDB"/>
    <w:rsid w:val="005B431E"/>
    <w:rsid w:val="005B6401"/>
    <w:rsid w:val="005B7862"/>
    <w:rsid w:val="005C1E19"/>
    <w:rsid w:val="005C3A74"/>
    <w:rsid w:val="005C4662"/>
    <w:rsid w:val="005C49F1"/>
    <w:rsid w:val="005C57EA"/>
    <w:rsid w:val="005C5E2A"/>
    <w:rsid w:val="005C63FD"/>
    <w:rsid w:val="005C6414"/>
    <w:rsid w:val="005C6490"/>
    <w:rsid w:val="005C75ED"/>
    <w:rsid w:val="005D10AB"/>
    <w:rsid w:val="005D1A3F"/>
    <w:rsid w:val="005D2E03"/>
    <w:rsid w:val="005D2EBF"/>
    <w:rsid w:val="005D3CB9"/>
    <w:rsid w:val="005D4530"/>
    <w:rsid w:val="005D6FED"/>
    <w:rsid w:val="005E0C5A"/>
    <w:rsid w:val="005E12A3"/>
    <w:rsid w:val="005E29F7"/>
    <w:rsid w:val="005E4401"/>
    <w:rsid w:val="005E5135"/>
    <w:rsid w:val="005E5CE4"/>
    <w:rsid w:val="005E610E"/>
    <w:rsid w:val="005E6723"/>
    <w:rsid w:val="005E7C41"/>
    <w:rsid w:val="005F0169"/>
    <w:rsid w:val="005F08B6"/>
    <w:rsid w:val="005F0EA6"/>
    <w:rsid w:val="005F1530"/>
    <w:rsid w:val="005F16F0"/>
    <w:rsid w:val="005F2831"/>
    <w:rsid w:val="005F34A5"/>
    <w:rsid w:val="005F37B0"/>
    <w:rsid w:val="005F6DBC"/>
    <w:rsid w:val="005F771E"/>
    <w:rsid w:val="006005A3"/>
    <w:rsid w:val="0060104E"/>
    <w:rsid w:val="0060119E"/>
    <w:rsid w:val="00602379"/>
    <w:rsid w:val="00602391"/>
    <w:rsid w:val="006023B3"/>
    <w:rsid w:val="00602C9D"/>
    <w:rsid w:val="006058A7"/>
    <w:rsid w:val="006075DA"/>
    <w:rsid w:val="0060776B"/>
    <w:rsid w:val="006101E6"/>
    <w:rsid w:val="00611384"/>
    <w:rsid w:val="006116DA"/>
    <w:rsid w:val="00611DE6"/>
    <w:rsid w:val="00612991"/>
    <w:rsid w:val="00614608"/>
    <w:rsid w:val="006150E4"/>
    <w:rsid w:val="00616393"/>
    <w:rsid w:val="00621B31"/>
    <w:rsid w:val="00621D13"/>
    <w:rsid w:val="00621FD9"/>
    <w:rsid w:val="00622723"/>
    <w:rsid w:val="00622B47"/>
    <w:rsid w:val="006231AA"/>
    <w:rsid w:val="006233EC"/>
    <w:rsid w:val="00623C4F"/>
    <w:rsid w:val="00624837"/>
    <w:rsid w:val="00624CD8"/>
    <w:rsid w:val="00630B85"/>
    <w:rsid w:val="00630F70"/>
    <w:rsid w:val="006316A1"/>
    <w:rsid w:val="006327F4"/>
    <w:rsid w:val="006342D8"/>
    <w:rsid w:val="00634885"/>
    <w:rsid w:val="0063573A"/>
    <w:rsid w:val="00635F96"/>
    <w:rsid w:val="00636B6E"/>
    <w:rsid w:val="006378C4"/>
    <w:rsid w:val="0064011E"/>
    <w:rsid w:val="006401D1"/>
    <w:rsid w:val="006404AB"/>
    <w:rsid w:val="006405C9"/>
    <w:rsid w:val="00640608"/>
    <w:rsid w:val="00640B88"/>
    <w:rsid w:val="00640D3D"/>
    <w:rsid w:val="00641D57"/>
    <w:rsid w:val="00642264"/>
    <w:rsid w:val="00642623"/>
    <w:rsid w:val="00643C4A"/>
    <w:rsid w:val="006448CF"/>
    <w:rsid w:val="00644D02"/>
    <w:rsid w:val="006453BB"/>
    <w:rsid w:val="006459E3"/>
    <w:rsid w:val="0064665D"/>
    <w:rsid w:val="00646BAD"/>
    <w:rsid w:val="00646E14"/>
    <w:rsid w:val="006502D9"/>
    <w:rsid w:val="00651084"/>
    <w:rsid w:val="006528DF"/>
    <w:rsid w:val="00656074"/>
    <w:rsid w:val="006601EF"/>
    <w:rsid w:val="006605EF"/>
    <w:rsid w:val="00660621"/>
    <w:rsid w:val="006612F2"/>
    <w:rsid w:val="006615FE"/>
    <w:rsid w:val="006625F3"/>
    <w:rsid w:val="0066271F"/>
    <w:rsid w:val="00662B63"/>
    <w:rsid w:val="00663BA4"/>
    <w:rsid w:val="00663CE6"/>
    <w:rsid w:val="00665472"/>
    <w:rsid w:val="006669B6"/>
    <w:rsid w:val="00666BC8"/>
    <w:rsid w:val="00670A28"/>
    <w:rsid w:val="006710EC"/>
    <w:rsid w:val="006711DA"/>
    <w:rsid w:val="006723ED"/>
    <w:rsid w:val="00672412"/>
    <w:rsid w:val="00672672"/>
    <w:rsid w:val="006742B3"/>
    <w:rsid w:val="0067680D"/>
    <w:rsid w:val="00680863"/>
    <w:rsid w:val="00683785"/>
    <w:rsid w:val="00683F08"/>
    <w:rsid w:val="00684043"/>
    <w:rsid w:val="00684FE2"/>
    <w:rsid w:val="00686E27"/>
    <w:rsid w:val="0068725E"/>
    <w:rsid w:val="00687B03"/>
    <w:rsid w:val="00690444"/>
    <w:rsid w:val="0069056C"/>
    <w:rsid w:val="00693083"/>
    <w:rsid w:val="00694A5C"/>
    <w:rsid w:val="00694D17"/>
    <w:rsid w:val="0069521B"/>
    <w:rsid w:val="006961ED"/>
    <w:rsid w:val="006962D6"/>
    <w:rsid w:val="006A2246"/>
    <w:rsid w:val="006A294B"/>
    <w:rsid w:val="006A3ABA"/>
    <w:rsid w:val="006A585D"/>
    <w:rsid w:val="006A6BD7"/>
    <w:rsid w:val="006A731B"/>
    <w:rsid w:val="006A755A"/>
    <w:rsid w:val="006B1209"/>
    <w:rsid w:val="006B1C85"/>
    <w:rsid w:val="006B33F4"/>
    <w:rsid w:val="006B3B0C"/>
    <w:rsid w:val="006B3F26"/>
    <w:rsid w:val="006B46D2"/>
    <w:rsid w:val="006B5046"/>
    <w:rsid w:val="006C0346"/>
    <w:rsid w:val="006C0925"/>
    <w:rsid w:val="006C152C"/>
    <w:rsid w:val="006C26DD"/>
    <w:rsid w:val="006C2DB2"/>
    <w:rsid w:val="006C346C"/>
    <w:rsid w:val="006C5210"/>
    <w:rsid w:val="006C686F"/>
    <w:rsid w:val="006C6F14"/>
    <w:rsid w:val="006C767F"/>
    <w:rsid w:val="006D04F2"/>
    <w:rsid w:val="006D198F"/>
    <w:rsid w:val="006D1BBE"/>
    <w:rsid w:val="006D1DA6"/>
    <w:rsid w:val="006D3A39"/>
    <w:rsid w:val="006D3DCE"/>
    <w:rsid w:val="006D4719"/>
    <w:rsid w:val="006D5A06"/>
    <w:rsid w:val="006D5AC0"/>
    <w:rsid w:val="006E0A0C"/>
    <w:rsid w:val="006E2DF5"/>
    <w:rsid w:val="006E3756"/>
    <w:rsid w:val="006E435D"/>
    <w:rsid w:val="006E6728"/>
    <w:rsid w:val="006E6DE4"/>
    <w:rsid w:val="006E6E73"/>
    <w:rsid w:val="006E722E"/>
    <w:rsid w:val="006E73F6"/>
    <w:rsid w:val="006E776A"/>
    <w:rsid w:val="006E7FBB"/>
    <w:rsid w:val="006F0F6C"/>
    <w:rsid w:val="006F1B0C"/>
    <w:rsid w:val="006F2035"/>
    <w:rsid w:val="006F2A7C"/>
    <w:rsid w:val="006F30DD"/>
    <w:rsid w:val="006F3670"/>
    <w:rsid w:val="006F3764"/>
    <w:rsid w:val="006F5E1C"/>
    <w:rsid w:val="006F6BA0"/>
    <w:rsid w:val="006F6E47"/>
    <w:rsid w:val="006F7948"/>
    <w:rsid w:val="00700E15"/>
    <w:rsid w:val="0070240A"/>
    <w:rsid w:val="00702A2D"/>
    <w:rsid w:val="00703105"/>
    <w:rsid w:val="00703D22"/>
    <w:rsid w:val="00704A1E"/>
    <w:rsid w:val="00705F3F"/>
    <w:rsid w:val="00706052"/>
    <w:rsid w:val="00706B9C"/>
    <w:rsid w:val="007072BB"/>
    <w:rsid w:val="00711689"/>
    <w:rsid w:val="00711EBC"/>
    <w:rsid w:val="007123B2"/>
    <w:rsid w:val="007126D4"/>
    <w:rsid w:val="00712B77"/>
    <w:rsid w:val="00715B86"/>
    <w:rsid w:val="00715BDF"/>
    <w:rsid w:val="00717533"/>
    <w:rsid w:val="007211EE"/>
    <w:rsid w:val="00722D8D"/>
    <w:rsid w:val="00724C81"/>
    <w:rsid w:val="007255BF"/>
    <w:rsid w:val="00727422"/>
    <w:rsid w:val="0072746F"/>
    <w:rsid w:val="00730002"/>
    <w:rsid w:val="00730539"/>
    <w:rsid w:val="00730618"/>
    <w:rsid w:val="00731150"/>
    <w:rsid w:val="00731C85"/>
    <w:rsid w:val="00732302"/>
    <w:rsid w:val="00732B8A"/>
    <w:rsid w:val="00733933"/>
    <w:rsid w:val="00735FD7"/>
    <w:rsid w:val="007365FE"/>
    <w:rsid w:val="00736E05"/>
    <w:rsid w:val="00737A7F"/>
    <w:rsid w:val="00740798"/>
    <w:rsid w:val="00740F85"/>
    <w:rsid w:val="0074160C"/>
    <w:rsid w:val="00742CB8"/>
    <w:rsid w:val="00744B5F"/>
    <w:rsid w:val="00744C93"/>
    <w:rsid w:val="00745619"/>
    <w:rsid w:val="0074561C"/>
    <w:rsid w:val="0074578C"/>
    <w:rsid w:val="00746516"/>
    <w:rsid w:val="007472AA"/>
    <w:rsid w:val="00747A38"/>
    <w:rsid w:val="00750A37"/>
    <w:rsid w:val="0075341C"/>
    <w:rsid w:val="00753E42"/>
    <w:rsid w:val="00754A7F"/>
    <w:rsid w:val="00755296"/>
    <w:rsid w:val="00757F58"/>
    <w:rsid w:val="007603D5"/>
    <w:rsid w:val="00760530"/>
    <w:rsid w:val="00762F90"/>
    <w:rsid w:val="00764210"/>
    <w:rsid w:val="00764332"/>
    <w:rsid w:val="007655B3"/>
    <w:rsid w:val="00766175"/>
    <w:rsid w:val="007711F5"/>
    <w:rsid w:val="00771F3E"/>
    <w:rsid w:val="00772306"/>
    <w:rsid w:val="007734D6"/>
    <w:rsid w:val="00773D9F"/>
    <w:rsid w:val="007751CA"/>
    <w:rsid w:val="00775C8D"/>
    <w:rsid w:val="00775D64"/>
    <w:rsid w:val="00775FF8"/>
    <w:rsid w:val="007763EA"/>
    <w:rsid w:val="007767F6"/>
    <w:rsid w:val="0078063C"/>
    <w:rsid w:val="007812F5"/>
    <w:rsid w:val="007813E7"/>
    <w:rsid w:val="00783A93"/>
    <w:rsid w:val="00785F6D"/>
    <w:rsid w:val="00787CA0"/>
    <w:rsid w:val="00787F06"/>
    <w:rsid w:val="00791028"/>
    <w:rsid w:val="00791E39"/>
    <w:rsid w:val="00791E80"/>
    <w:rsid w:val="0079250B"/>
    <w:rsid w:val="00793347"/>
    <w:rsid w:val="00793DB6"/>
    <w:rsid w:val="00794C9B"/>
    <w:rsid w:val="00796469"/>
    <w:rsid w:val="007965B1"/>
    <w:rsid w:val="007A08EA"/>
    <w:rsid w:val="007A3035"/>
    <w:rsid w:val="007A4B5A"/>
    <w:rsid w:val="007A52F1"/>
    <w:rsid w:val="007A706E"/>
    <w:rsid w:val="007B02D2"/>
    <w:rsid w:val="007B0568"/>
    <w:rsid w:val="007B0770"/>
    <w:rsid w:val="007B12B2"/>
    <w:rsid w:val="007B12FF"/>
    <w:rsid w:val="007B1CD8"/>
    <w:rsid w:val="007B1FA8"/>
    <w:rsid w:val="007B2622"/>
    <w:rsid w:val="007B3F6E"/>
    <w:rsid w:val="007B4899"/>
    <w:rsid w:val="007B556D"/>
    <w:rsid w:val="007B5AEA"/>
    <w:rsid w:val="007B6605"/>
    <w:rsid w:val="007B6EC9"/>
    <w:rsid w:val="007B7476"/>
    <w:rsid w:val="007B7878"/>
    <w:rsid w:val="007C030A"/>
    <w:rsid w:val="007C27D6"/>
    <w:rsid w:val="007C2B74"/>
    <w:rsid w:val="007C4322"/>
    <w:rsid w:val="007C4ADD"/>
    <w:rsid w:val="007C7397"/>
    <w:rsid w:val="007C793E"/>
    <w:rsid w:val="007D1B51"/>
    <w:rsid w:val="007D1C74"/>
    <w:rsid w:val="007D1D43"/>
    <w:rsid w:val="007D1F69"/>
    <w:rsid w:val="007D206F"/>
    <w:rsid w:val="007D3159"/>
    <w:rsid w:val="007D363F"/>
    <w:rsid w:val="007D3B84"/>
    <w:rsid w:val="007D70CE"/>
    <w:rsid w:val="007E0346"/>
    <w:rsid w:val="007E0DD3"/>
    <w:rsid w:val="007E145A"/>
    <w:rsid w:val="007E2514"/>
    <w:rsid w:val="007E28F2"/>
    <w:rsid w:val="007E3DB7"/>
    <w:rsid w:val="007E3DE0"/>
    <w:rsid w:val="007E4617"/>
    <w:rsid w:val="007E484E"/>
    <w:rsid w:val="007E4B85"/>
    <w:rsid w:val="007E5B88"/>
    <w:rsid w:val="007E6D0D"/>
    <w:rsid w:val="007E7A3C"/>
    <w:rsid w:val="007E7E0C"/>
    <w:rsid w:val="007F0257"/>
    <w:rsid w:val="007F0668"/>
    <w:rsid w:val="007F1050"/>
    <w:rsid w:val="007F11E1"/>
    <w:rsid w:val="007F1AB7"/>
    <w:rsid w:val="007F51BF"/>
    <w:rsid w:val="007F544E"/>
    <w:rsid w:val="007F5B64"/>
    <w:rsid w:val="007F6310"/>
    <w:rsid w:val="007F6DC4"/>
    <w:rsid w:val="008007A8"/>
    <w:rsid w:val="00801EC6"/>
    <w:rsid w:val="00802913"/>
    <w:rsid w:val="00802A0E"/>
    <w:rsid w:val="00804861"/>
    <w:rsid w:val="00806A6B"/>
    <w:rsid w:val="008104E4"/>
    <w:rsid w:val="0081050D"/>
    <w:rsid w:val="00810FB1"/>
    <w:rsid w:val="0081107A"/>
    <w:rsid w:val="00811672"/>
    <w:rsid w:val="00811EA3"/>
    <w:rsid w:val="00813612"/>
    <w:rsid w:val="00814DFA"/>
    <w:rsid w:val="00820FCE"/>
    <w:rsid w:val="008219EB"/>
    <w:rsid w:val="00822A98"/>
    <w:rsid w:val="0082415B"/>
    <w:rsid w:val="00824D19"/>
    <w:rsid w:val="00831216"/>
    <w:rsid w:val="00833CBA"/>
    <w:rsid w:val="0083415B"/>
    <w:rsid w:val="008345CF"/>
    <w:rsid w:val="0084020F"/>
    <w:rsid w:val="00841C44"/>
    <w:rsid w:val="00842AFC"/>
    <w:rsid w:val="0084392F"/>
    <w:rsid w:val="00844A8B"/>
    <w:rsid w:val="008473D0"/>
    <w:rsid w:val="00847D8E"/>
    <w:rsid w:val="00850E97"/>
    <w:rsid w:val="00851CA3"/>
    <w:rsid w:val="00852BEA"/>
    <w:rsid w:val="00853798"/>
    <w:rsid w:val="00853F75"/>
    <w:rsid w:val="00854EBE"/>
    <w:rsid w:val="00855E98"/>
    <w:rsid w:val="00856771"/>
    <w:rsid w:val="008606D3"/>
    <w:rsid w:val="00860A6C"/>
    <w:rsid w:val="00860C4C"/>
    <w:rsid w:val="00860ED8"/>
    <w:rsid w:val="00861D68"/>
    <w:rsid w:val="00862FEC"/>
    <w:rsid w:val="00864528"/>
    <w:rsid w:val="00865539"/>
    <w:rsid w:val="0086607F"/>
    <w:rsid w:val="00866315"/>
    <w:rsid w:val="0086659E"/>
    <w:rsid w:val="00867221"/>
    <w:rsid w:val="00867DEE"/>
    <w:rsid w:val="00870AB8"/>
    <w:rsid w:val="008715E2"/>
    <w:rsid w:val="00873A03"/>
    <w:rsid w:val="00874244"/>
    <w:rsid w:val="00874F0A"/>
    <w:rsid w:val="008768EC"/>
    <w:rsid w:val="00877A31"/>
    <w:rsid w:val="00877EA2"/>
    <w:rsid w:val="008800B5"/>
    <w:rsid w:val="00880AB1"/>
    <w:rsid w:val="008817ED"/>
    <w:rsid w:val="00881CC2"/>
    <w:rsid w:val="008822F4"/>
    <w:rsid w:val="008824C7"/>
    <w:rsid w:val="00882883"/>
    <w:rsid w:val="00883B8A"/>
    <w:rsid w:val="00884653"/>
    <w:rsid w:val="00885161"/>
    <w:rsid w:val="00885394"/>
    <w:rsid w:val="0088632D"/>
    <w:rsid w:val="00887303"/>
    <w:rsid w:val="00887FFA"/>
    <w:rsid w:val="008901B4"/>
    <w:rsid w:val="00890EEE"/>
    <w:rsid w:val="00891309"/>
    <w:rsid w:val="00891E70"/>
    <w:rsid w:val="00891FAE"/>
    <w:rsid w:val="00892C20"/>
    <w:rsid w:val="0089360F"/>
    <w:rsid w:val="00895641"/>
    <w:rsid w:val="008959FC"/>
    <w:rsid w:val="00895AD5"/>
    <w:rsid w:val="008A0446"/>
    <w:rsid w:val="008A07BB"/>
    <w:rsid w:val="008A0FC8"/>
    <w:rsid w:val="008A2ED4"/>
    <w:rsid w:val="008A30A1"/>
    <w:rsid w:val="008A3D1A"/>
    <w:rsid w:val="008A51E5"/>
    <w:rsid w:val="008A5E65"/>
    <w:rsid w:val="008A5E79"/>
    <w:rsid w:val="008A7464"/>
    <w:rsid w:val="008A7A84"/>
    <w:rsid w:val="008A7DE5"/>
    <w:rsid w:val="008B1028"/>
    <w:rsid w:val="008B1096"/>
    <w:rsid w:val="008B216F"/>
    <w:rsid w:val="008B3A0E"/>
    <w:rsid w:val="008B3B95"/>
    <w:rsid w:val="008B3C43"/>
    <w:rsid w:val="008B4529"/>
    <w:rsid w:val="008B689E"/>
    <w:rsid w:val="008B6935"/>
    <w:rsid w:val="008C0B04"/>
    <w:rsid w:val="008C0C6C"/>
    <w:rsid w:val="008C1749"/>
    <w:rsid w:val="008C27AE"/>
    <w:rsid w:val="008C29F2"/>
    <w:rsid w:val="008C38BA"/>
    <w:rsid w:val="008C3E67"/>
    <w:rsid w:val="008C4024"/>
    <w:rsid w:val="008C478A"/>
    <w:rsid w:val="008C49D4"/>
    <w:rsid w:val="008C63E1"/>
    <w:rsid w:val="008C6C62"/>
    <w:rsid w:val="008D1AEA"/>
    <w:rsid w:val="008D3858"/>
    <w:rsid w:val="008D4041"/>
    <w:rsid w:val="008D648A"/>
    <w:rsid w:val="008D696F"/>
    <w:rsid w:val="008E093A"/>
    <w:rsid w:val="008E0E23"/>
    <w:rsid w:val="008E23B5"/>
    <w:rsid w:val="008E583A"/>
    <w:rsid w:val="008E6707"/>
    <w:rsid w:val="008E7B78"/>
    <w:rsid w:val="008F0D25"/>
    <w:rsid w:val="008F0DCB"/>
    <w:rsid w:val="008F1871"/>
    <w:rsid w:val="008F48E3"/>
    <w:rsid w:val="008F4DD1"/>
    <w:rsid w:val="008F5657"/>
    <w:rsid w:val="008F59C3"/>
    <w:rsid w:val="008F618B"/>
    <w:rsid w:val="008F6D27"/>
    <w:rsid w:val="008F7013"/>
    <w:rsid w:val="0090056B"/>
    <w:rsid w:val="00901307"/>
    <w:rsid w:val="009019E5"/>
    <w:rsid w:val="0090286C"/>
    <w:rsid w:val="00902C18"/>
    <w:rsid w:val="00903DD0"/>
    <w:rsid w:val="00905D95"/>
    <w:rsid w:val="00907B2D"/>
    <w:rsid w:val="00907B92"/>
    <w:rsid w:val="0091024E"/>
    <w:rsid w:val="009110E4"/>
    <w:rsid w:val="00911AFF"/>
    <w:rsid w:val="00914947"/>
    <w:rsid w:val="00914BB0"/>
    <w:rsid w:val="00915118"/>
    <w:rsid w:val="0091660B"/>
    <w:rsid w:val="00916CD7"/>
    <w:rsid w:val="0091762F"/>
    <w:rsid w:val="009202AF"/>
    <w:rsid w:val="00921265"/>
    <w:rsid w:val="00922347"/>
    <w:rsid w:val="0092238D"/>
    <w:rsid w:val="00922BE6"/>
    <w:rsid w:val="00922C27"/>
    <w:rsid w:val="0092595C"/>
    <w:rsid w:val="00927FC3"/>
    <w:rsid w:val="00930104"/>
    <w:rsid w:val="00931CB0"/>
    <w:rsid w:val="0093469E"/>
    <w:rsid w:val="00934D04"/>
    <w:rsid w:val="009357DF"/>
    <w:rsid w:val="009362A5"/>
    <w:rsid w:val="00940E0B"/>
    <w:rsid w:val="00941759"/>
    <w:rsid w:val="00941B1A"/>
    <w:rsid w:val="00941D5D"/>
    <w:rsid w:val="009423B1"/>
    <w:rsid w:val="00942846"/>
    <w:rsid w:val="0094285F"/>
    <w:rsid w:val="00943ADC"/>
    <w:rsid w:val="009444DE"/>
    <w:rsid w:val="00945A19"/>
    <w:rsid w:val="00946934"/>
    <w:rsid w:val="00946B67"/>
    <w:rsid w:val="00946D15"/>
    <w:rsid w:val="009478CC"/>
    <w:rsid w:val="00947F34"/>
    <w:rsid w:val="0095007D"/>
    <w:rsid w:val="009500AB"/>
    <w:rsid w:val="009509A4"/>
    <w:rsid w:val="009509A9"/>
    <w:rsid w:val="009518E4"/>
    <w:rsid w:val="00951A4C"/>
    <w:rsid w:val="00951B33"/>
    <w:rsid w:val="00952159"/>
    <w:rsid w:val="00952DCB"/>
    <w:rsid w:val="00952EE8"/>
    <w:rsid w:val="00953E19"/>
    <w:rsid w:val="009558B9"/>
    <w:rsid w:val="00956466"/>
    <w:rsid w:val="009565EC"/>
    <w:rsid w:val="0095711E"/>
    <w:rsid w:val="00961BCB"/>
    <w:rsid w:val="009624C5"/>
    <w:rsid w:val="00963D2B"/>
    <w:rsid w:val="009644EE"/>
    <w:rsid w:val="00964B79"/>
    <w:rsid w:val="0096640B"/>
    <w:rsid w:val="009700D3"/>
    <w:rsid w:val="00975FC6"/>
    <w:rsid w:val="00977522"/>
    <w:rsid w:val="009775D0"/>
    <w:rsid w:val="00977D56"/>
    <w:rsid w:val="009800AD"/>
    <w:rsid w:val="009822B5"/>
    <w:rsid w:val="009835E4"/>
    <w:rsid w:val="00983715"/>
    <w:rsid w:val="00984CDD"/>
    <w:rsid w:val="00985924"/>
    <w:rsid w:val="009872B8"/>
    <w:rsid w:val="00987E86"/>
    <w:rsid w:val="00990488"/>
    <w:rsid w:val="00991089"/>
    <w:rsid w:val="00991A58"/>
    <w:rsid w:val="009928D5"/>
    <w:rsid w:val="00992D0C"/>
    <w:rsid w:val="00994030"/>
    <w:rsid w:val="0099581C"/>
    <w:rsid w:val="009967BF"/>
    <w:rsid w:val="00997A7E"/>
    <w:rsid w:val="009A0277"/>
    <w:rsid w:val="009A15E2"/>
    <w:rsid w:val="009A1691"/>
    <w:rsid w:val="009A26AC"/>
    <w:rsid w:val="009A2736"/>
    <w:rsid w:val="009A2A3C"/>
    <w:rsid w:val="009A2D03"/>
    <w:rsid w:val="009A3E8D"/>
    <w:rsid w:val="009A661C"/>
    <w:rsid w:val="009A6689"/>
    <w:rsid w:val="009A77DB"/>
    <w:rsid w:val="009B0D7E"/>
    <w:rsid w:val="009B2E2A"/>
    <w:rsid w:val="009B4BA8"/>
    <w:rsid w:val="009B5D4E"/>
    <w:rsid w:val="009B6AE6"/>
    <w:rsid w:val="009B6C60"/>
    <w:rsid w:val="009C203B"/>
    <w:rsid w:val="009C2431"/>
    <w:rsid w:val="009C3AEB"/>
    <w:rsid w:val="009C520D"/>
    <w:rsid w:val="009C52DE"/>
    <w:rsid w:val="009C781D"/>
    <w:rsid w:val="009D0423"/>
    <w:rsid w:val="009D2959"/>
    <w:rsid w:val="009D317E"/>
    <w:rsid w:val="009D5B1E"/>
    <w:rsid w:val="009D72B2"/>
    <w:rsid w:val="009D75EE"/>
    <w:rsid w:val="009E05CB"/>
    <w:rsid w:val="009E0B1E"/>
    <w:rsid w:val="009E0D8D"/>
    <w:rsid w:val="009E15D2"/>
    <w:rsid w:val="009E25B8"/>
    <w:rsid w:val="009E30F3"/>
    <w:rsid w:val="009E3126"/>
    <w:rsid w:val="009E3965"/>
    <w:rsid w:val="009E579D"/>
    <w:rsid w:val="009E5894"/>
    <w:rsid w:val="009E64F0"/>
    <w:rsid w:val="009E6DAC"/>
    <w:rsid w:val="009E713D"/>
    <w:rsid w:val="009E7DC3"/>
    <w:rsid w:val="009E7FA0"/>
    <w:rsid w:val="009F00BB"/>
    <w:rsid w:val="009F06B5"/>
    <w:rsid w:val="009F1027"/>
    <w:rsid w:val="009F1A03"/>
    <w:rsid w:val="009F1DC9"/>
    <w:rsid w:val="009F358F"/>
    <w:rsid w:val="009F38F9"/>
    <w:rsid w:val="009F4982"/>
    <w:rsid w:val="009F5E76"/>
    <w:rsid w:val="009F6A0E"/>
    <w:rsid w:val="009F7D7F"/>
    <w:rsid w:val="00A01D81"/>
    <w:rsid w:val="00A021CC"/>
    <w:rsid w:val="00A02B84"/>
    <w:rsid w:val="00A033CC"/>
    <w:rsid w:val="00A03627"/>
    <w:rsid w:val="00A039C7"/>
    <w:rsid w:val="00A03ECF"/>
    <w:rsid w:val="00A04716"/>
    <w:rsid w:val="00A04C08"/>
    <w:rsid w:val="00A04E27"/>
    <w:rsid w:val="00A0500D"/>
    <w:rsid w:val="00A059F1"/>
    <w:rsid w:val="00A11DCD"/>
    <w:rsid w:val="00A12400"/>
    <w:rsid w:val="00A1282A"/>
    <w:rsid w:val="00A1313E"/>
    <w:rsid w:val="00A13700"/>
    <w:rsid w:val="00A13966"/>
    <w:rsid w:val="00A14547"/>
    <w:rsid w:val="00A15861"/>
    <w:rsid w:val="00A15F82"/>
    <w:rsid w:val="00A170A5"/>
    <w:rsid w:val="00A20F46"/>
    <w:rsid w:val="00A22B7B"/>
    <w:rsid w:val="00A233B2"/>
    <w:rsid w:val="00A23B5A"/>
    <w:rsid w:val="00A23C4C"/>
    <w:rsid w:val="00A24A77"/>
    <w:rsid w:val="00A24DFF"/>
    <w:rsid w:val="00A253E0"/>
    <w:rsid w:val="00A25685"/>
    <w:rsid w:val="00A256F1"/>
    <w:rsid w:val="00A25B39"/>
    <w:rsid w:val="00A30140"/>
    <w:rsid w:val="00A3038F"/>
    <w:rsid w:val="00A30FD0"/>
    <w:rsid w:val="00A3191F"/>
    <w:rsid w:val="00A31DB8"/>
    <w:rsid w:val="00A32401"/>
    <w:rsid w:val="00A34395"/>
    <w:rsid w:val="00A34B69"/>
    <w:rsid w:val="00A3510C"/>
    <w:rsid w:val="00A35332"/>
    <w:rsid w:val="00A35865"/>
    <w:rsid w:val="00A35EB3"/>
    <w:rsid w:val="00A379B1"/>
    <w:rsid w:val="00A42736"/>
    <w:rsid w:val="00A42CD3"/>
    <w:rsid w:val="00A431AA"/>
    <w:rsid w:val="00A43835"/>
    <w:rsid w:val="00A468A6"/>
    <w:rsid w:val="00A46BF5"/>
    <w:rsid w:val="00A46F42"/>
    <w:rsid w:val="00A47206"/>
    <w:rsid w:val="00A4736E"/>
    <w:rsid w:val="00A52A20"/>
    <w:rsid w:val="00A52A35"/>
    <w:rsid w:val="00A5350F"/>
    <w:rsid w:val="00A54E55"/>
    <w:rsid w:val="00A5679B"/>
    <w:rsid w:val="00A600E0"/>
    <w:rsid w:val="00A60632"/>
    <w:rsid w:val="00A62101"/>
    <w:rsid w:val="00A627CF"/>
    <w:rsid w:val="00A64188"/>
    <w:rsid w:val="00A64C3B"/>
    <w:rsid w:val="00A64F81"/>
    <w:rsid w:val="00A65366"/>
    <w:rsid w:val="00A654EF"/>
    <w:rsid w:val="00A6685F"/>
    <w:rsid w:val="00A66B29"/>
    <w:rsid w:val="00A66B6E"/>
    <w:rsid w:val="00A6752E"/>
    <w:rsid w:val="00A67876"/>
    <w:rsid w:val="00A700D6"/>
    <w:rsid w:val="00A71EB9"/>
    <w:rsid w:val="00A71FCC"/>
    <w:rsid w:val="00A72159"/>
    <w:rsid w:val="00A730E1"/>
    <w:rsid w:val="00A736F8"/>
    <w:rsid w:val="00A739C1"/>
    <w:rsid w:val="00A73D3B"/>
    <w:rsid w:val="00A762DA"/>
    <w:rsid w:val="00A770A0"/>
    <w:rsid w:val="00A77208"/>
    <w:rsid w:val="00A7725D"/>
    <w:rsid w:val="00A772E3"/>
    <w:rsid w:val="00A77DC3"/>
    <w:rsid w:val="00A80CED"/>
    <w:rsid w:val="00A80DDD"/>
    <w:rsid w:val="00A81F30"/>
    <w:rsid w:val="00A8204C"/>
    <w:rsid w:val="00A82186"/>
    <w:rsid w:val="00A8645C"/>
    <w:rsid w:val="00A86ABE"/>
    <w:rsid w:val="00A87B88"/>
    <w:rsid w:val="00A9284D"/>
    <w:rsid w:val="00A93513"/>
    <w:rsid w:val="00A93BB7"/>
    <w:rsid w:val="00A943E5"/>
    <w:rsid w:val="00A94973"/>
    <w:rsid w:val="00A95D25"/>
    <w:rsid w:val="00A9662F"/>
    <w:rsid w:val="00A97747"/>
    <w:rsid w:val="00A977ED"/>
    <w:rsid w:val="00A97ABC"/>
    <w:rsid w:val="00AA1476"/>
    <w:rsid w:val="00AA210B"/>
    <w:rsid w:val="00AA334D"/>
    <w:rsid w:val="00AA4810"/>
    <w:rsid w:val="00AA50C7"/>
    <w:rsid w:val="00AA5B00"/>
    <w:rsid w:val="00AA7C0F"/>
    <w:rsid w:val="00AB0144"/>
    <w:rsid w:val="00AB0193"/>
    <w:rsid w:val="00AB0949"/>
    <w:rsid w:val="00AB094C"/>
    <w:rsid w:val="00AB0C06"/>
    <w:rsid w:val="00AB10D6"/>
    <w:rsid w:val="00AB1D58"/>
    <w:rsid w:val="00AB239E"/>
    <w:rsid w:val="00AB38AC"/>
    <w:rsid w:val="00AB4088"/>
    <w:rsid w:val="00AB68C4"/>
    <w:rsid w:val="00AB69B6"/>
    <w:rsid w:val="00AB7161"/>
    <w:rsid w:val="00AB7DB8"/>
    <w:rsid w:val="00AC0219"/>
    <w:rsid w:val="00AC1CB3"/>
    <w:rsid w:val="00AC1D6A"/>
    <w:rsid w:val="00AC2DD4"/>
    <w:rsid w:val="00AC3507"/>
    <w:rsid w:val="00AC3B2B"/>
    <w:rsid w:val="00AC3C57"/>
    <w:rsid w:val="00AC439C"/>
    <w:rsid w:val="00AC46A8"/>
    <w:rsid w:val="00AC5345"/>
    <w:rsid w:val="00AC5EC8"/>
    <w:rsid w:val="00AC6FFB"/>
    <w:rsid w:val="00AC74E8"/>
    <w:rsid w:val="00AD12FE"/>
    <w:rsid w:val="00AD1A02"/>
    <w:rsid w:val="00AD1CA3"/>
    <w:rsid w:val="00AD28DE"/>
    <w:rsid w:val="00AD59CD"/>
    <w:rsid w:val="00AD5A3B"/>
    <w:rsid w:val="00AD634C"/>
    <w:rsid w:val="00AD6C16"/>
    <w:rsid w:val="00AD708B"/>
    <w:rsid w:val="00AD70B7"/>
    <w:rsid w:val="00AE0099"/>
    <w:rsid w:val="00AE0290"/>
    <w:rsid w:val="00AE1574"/>
    <w:rsid w:val="00AE1AEC"/>
    <w:rsid w:val="00AE2248"/>
    <w:rsid w:val="00AE2D7B"/>
    <w:rsid w:val="00AE4294"/>
    <w:rsid w:val="00AE5A01"/>
    <w:rsid w:val="00AE6A4B"/>
    <w:rsid w:val="00AE707D"/>
    <w:rsid w:val="00AF0BA4"/>
    <w:rsid w:val="00AF1133"/>
    <w:rsid w:val="00AF1138"/>
    <w:rsid w:val="00AF34CF"/>
    <w:rsid w:val="00AF4B77"/>
    <w:rsid w:val="00AF4F91"/>
    <w:rsid w:val="00AF6C6E"/>
    <w:rsid w:val="00AF76AE"/>
    <w:rsid w:val="00B01E99"/>
    <w:rsid w:val="00B029FB"/>
    <w:rsid w:val="00B03B08"/>
    <w:rsid w:val="00B04BEF"/>
    <w:rsid w:val="00B05577"/>
    <w:rsid w:val="00B05D99"/>
    <w:rsid w:val="00B06ADD"/>
    <w:rsid w:val="00B07A06"/>
    <w:rsid w:val="00B07CDE"/>
    <w:rsid w:val="00B11274"/>
    <w:rsid w:val="00B124FA"/>
    <w:rsid w:val="00B12E6E"/>
    <w:rsid w:val="00B13258"/>
    <w:rsid w:val="00B1399B"/>
    <w:rsid w:val="00B14160"/>
    <w:rsid w:val="00B14708"/>
    <w:rsid w:val="00B14AE0"/>
    <w:rsid w:val="00B14B17"/>
    <w:rsid w:val="00B151B7"/>
    <w:rsid w:val="00B162F4"/>
    <w:rsid w:val="00B16B8D"/>
    <w:rsid w:val="00B2082B"/>
    <w:rsid w:val="00B21D9A"/>
    <w:rsid w:val="00B221A4"/>
    <w:rsid w:val="00B237F6"/>
    <w:rsid w:val="00B23860"/>
    <w:rsid w:val="00B23E0D"/>
    <w:rsid w:val="00B24202"/>
    <w:rsid w:val="00B25F4C"/>
    <w:rsid w:val="00B26A75"/>
    <w:rsid w:val="00B27C32"/>
    <w:rsid w:val="00B31878"/>
    <w:rsid w:val="00B32CA7"/>
    <w:rsid w:val="00B33BFF"/>
    <w:rsid w:val="00B34E50"/>
    <w:rsid w:val="00B3572C"/>
    <w:rsid w:val="00B35CC3"/>
    <w:rsid w:val="00B40E03"/>
    <w:rsid w:val="00B40F1D"/>
    <w:rsid w:val="00B41150"/>
    <w:rsid w:val="00B42D95"/>
    <w:rsid w:val="00B44B9A"/>
    <w:rsid w:val="00B45124"/>
    <w:rsid w:val="00B45DB6"/>
    <w:rsid w:val="00B46173"/>
    <w:rsid w:val="00B4634E"/>
    <w:rsid w:val="00B47F71"/>
    <w:rsid w:val="00B50260"/>
    <w:rsid w:val="00B513D6"/>
    <w:rsid w:val="00B51F90"/>
    <w:rsid w:val="00B522D0"/>
    <w:rsid w:val="00B5282E"/>
    <w:rsid w:val="00B52F68"/>
    <w:rsid w:val="00B534C7"/>
    <w:rsid w:val="00B57504"/>
    <w:rsid w:val="00B57A96"/>
    <w:rsid w:val="00B60366"/>
    <w:rsid w:val="00B627AA"/>
    <w:rsid w:val="00B638CB"/>
    <w:rsid w:val="00B67365"/>
    <w:rsid w:val="00B67AA9"/>
    <w:rsid w:val="00B7034D"/>
    <w:rsid w:val="00B7101E"/>
    <w:rsid w:val="00B722F8"/>
    <w:rsid w:val="00B80512"/>
    <w:rsid w:val="00B811BB"/>
    <w:rsid w:val="00B81506"/>
    <w:rsid w:val="00B81A54"/>
    <w:rsid w:val="00B831DB"/>
    <w:rsid w:val="00B85215"/>
    <w:rsid w:val="00B85A76"/>
    <w:rsid w:val="00B90BED"/>
    <w:rsid w:val="00B92687"/>
    <w:rsid w:val="00B928CF"/>
    <w:rsid w:val="00B9308F"/>
    <w:rsid w:val="00B944D9"/>
    <w:rsid w:val="00B9522D"/>
    <w:rsid w:val="00B953EE"/>
    <w:rsid w:val="00B96C5B"/>
    <w:rsid w:val="00B977AE"/>
    <w:rsid w:val="00BA13CD"/>
    <w:rsid w:val="00BA1B74"/>
    <w:rsid w:val="00BA214C"/>
    <w:rsid w:val="00BA21C0"/>
    <w:rsid w:val="00BA2D2E"/>
    <w:rsid w:val="00BA4560"/>
    <w:rsid w:val="00BA466E"/>
    <w:rsid w:val="00BA5E9F"/>
    <w:rsid w:val="00BB15EA"/>
    <w:rsid w:val="00BB2ABB"/>
    <w:rsid w:val="00BB2B91"/>
    <w:rsid w:val="00BB3068"/>
    <w:rsid w:val="00BB3C89"/>
    <w:rsid w:val="00BB52DB"/>
    <w:rsid w:val="00BB67B3"/>
    <w:rsid w:val="00BB7946"/>
    <w:rsid w:val="00BC3225"/>
    <w:rsid w:val="00BC52D0"/>
    <w:rsid w:val="00BC575C"/>
    <w:rsid w:val="00BC5D89"/>
    <w:rsid w:val="00BC5DE8"/>
    <w:rsid w:val="00BC67DB"/>
    <w:rsid w:val="00BC71AE"/>
    <w:rsid w:val="00BC7EE6"/>
    <w:rsid w:val="00BD0397"/>
    <w:rsid w:val="00BD053F"/>
    <w:rsid w:val="00BD0F04"/>
    <w:rsid w:val="00BD1782"/>
    <w:rsid w:val="00BD1971"/>
    <w:rsid w:val="00BD1C7F"/>
    <w:rsid w:val="00BD36B8"/>
    <w:rsid w:val="00BD5036"/>
    <w:rsid w:val="00BD542D"/>
    <w:rsid w:val="00BD6B45"/>
    <w:rsid w:val="00BE1143"/>
    <w:rsid w:val="00BE1F02"/>
    <w:rsid w:val="00BE27D3"/>
    <w:rsid w:val="00BE286D"/>
    <w:rsid w:val="00BE29A3"/>
    <w:rsid w:val="00BE5B9B"/>
    <w:rsid w:val="00BE6C90"/>
    <w:rsid w:val="00BE796D"/>
    <w:rsid w:val="00BE7DC8"/>
    <w:rsid w:val="00BF125C"/>
    <w:rsid w:val="00BF2E4F"/>
    <w:rsid w:val="00BF30D0"/>
    <w:rsid w:val="00BF3930"/>
    <w:rsid w:val="00BF3CC1"/>
    <w:rsid w:val="00BF4685"/>
    <w:rsid w:val="00BF4AB0"/>
    <w:rsid w:val="00BF74AB"/>
    <w:rsid w:val="00C01BE6"/>
    <w:rsid w:val="00C01C48"/>
    <w:rsid w:val="00C027D7"/>
    <w:rsid w:val="00C02A3A"/>
    <w:rsid w:val="00C04EC9"/>
    <w:rsid w:val="00C0634A"/>
    <w:rsid w:val="00C06A4C"/>
    <w:rsid w:val="00C077E5"/>
    <w:rsid w:val="00C106B0"/>
    <w:rsid w:val="00C10A00"/>
    <w:rsid w:val="00C10BF2"/>
    <w:rsid w:val="00C1183B"/>
    <w:rsid w:val="00C1214E"/>
    <w:rsid w:val="00C1293A"/>
    <w:rsid w:val="00C13268"/>
    <w:rsid w:val="00C1358C"/>
    <w:rsid w:val="00C1502E"/>
    <w:rsid w:val="00C161CB"/>
    <w:rsid w:val="00C167C1"/>
    <w:rsid w:val="00C16F27"/>
    <w:rsid w:val="00C17FB1"/>
    <w:rsid w:val="00C20CFE"/>
    <w:rsid w:val="00C2299F"/>
    <w:rsid w:val="00C22A7C"/>
    <w:rsid w:val="00C230C0"/>
    <w:rsid w:val="00C239B8"/>
    <w:rsid w:val="00C2416F"/>
    <w:rsid w:val="00C243BE"/>
    <w:rsid w:val="00C24F7E"/>
    <w:rsid w:val="00C251E8"/>
    <w:rsid w:val="00C26BCF"/>
    <w:rsid w:val="00C2706C"/>
    <w:rsid w:val="00C27E6D"/>
    <w:rsid w:val="00C300F5"/>
    <w:rsid w:val="00C326CE"/>
    <w:rsid w:val="00C32D29"/>
    <w:rsid w:val="00C33677"/>
    <w:rsid w:val="00C343FD"/>
    <w:rsid w:val="00C34DA8"/>
    <w:rsid w:val="00C356FD"/>
    <w:rsid w:val="00C358C8"/>
    <w:rsid w:val="00C35BBA"/>
    <w:rsid w:val="00C36727"/>
    <w:rsid w:val="00C409DA"/>
    <w:rsid w:val="00C40AA9"/>
    <w:rsid w:val="00C413E6"/>
    <w:rsid w:val="00C420F9"/>
    <w:rsid w:val="00C43BB1"/>
    <w:rsid w:val="00C44240"/>
    <w:rsid w:val="00C448BC"/>
    <w:rsid w:val="00C44C25"/>
    <w:rsid w:val="00C45A13"/>
    <w:rsid w:val="00C45D47"/>
    <w:rsid w:val="00C46C8A"/>
    <w:rsid w:val="00C47696"/>
    <w:rsid w:val="00C47ADE"/>
    <w:rsid w:val="00C47CDA"/>
    <w:rsid w:val="00C47D37"/>
    <w:rsid w:val="00C51E27"/>
    <w:rsid w:val="00C52C54"/>
    <w:rsid w:val="00C53F1F"/>
    <w:rsid w:val="00C54A07"/>
    <w:rsid w:val="00C5674E"/>
    <w:rsid w:val="00C56DFA"/>
    <w:rsid w:val="00C6024E"/>
    <w:rsid w:val="00C6082C"/>
    <w:rsid w:val="00C61589"/>
    <w:rsid w:val="00C6249F"/>
    <w:rsid w:val="00C62C96"/>
    <w:rsid w:val="00C651BF"/>
    <w:rsid w:val="00C65C91"/>
    <w:rsid w:val="00C65CBE"/>
    <w:rsid w:val="00C666DA"/>
    <w:rsid w:val="00C6706E"/>
    <w:rsid w:val="00C70051"/>
    <w:rsid w:val="00C701D8"/>
    <w:rsid w:val="00C7066C"/>
    <w:rsid w:val="00C707A3"/>
    <w:rsid w:val="00C73527"/>
    <w:rsid w:val="00C742B9"/>
    <w:rsid w:val="00C74912"/>
    <w:rsid w:val="00C76003"/>
    <w:rsid w:val="00C81469"/>
    <w:rsid w:val="00C829D7"/>
    <w:rsid w:val="00C82B10"/>
    <w:rsid w:val="00C83335"/>
    <w:rsid w:val="00C83A58"/>
    <w:rsid w:val="00C84338"/>
    <w:rsid w:val="00C84B38"/>
    <w:rsid w:val="00C854A4"/>
    <w:rsid w:val="00C85D2C"/>
    <w:rsid w:val="00C8613F"/>
    <w:rsid w:val="00C866EA"/>
    <w:rsid w:val="00C87849"/>
    <w:rsid w:val="00C87EFB"/>
    <w:rsid w:val="00C901B3"/>
    <w:rsid w:val="00C903C9"/>
    <w:rsid w:val="00C93E7C"/>
    <w:rsid w:val="00C94DEB"/>
    <w:rsid w:val="00C9521A"/>
    <w:rsid w:val="00C952E3"/>
    <w:rsid w:val="00CA2340"/>
    <w:rsid w:val="00CA317E"/>
    <w:rsid w:val="00CA5017"/>
    <w:rsid w:val="00CA66A5"/>
    <w:rsid w:val="00CA6946"/>
    <w:rsid w:val="00CA7CD5"/>
    <w:rsid w:val="00CB0DEA"/>
    <w:rsid w:val="00CB1262"/>
    <w:rsid w:val="00CB19CC"/>
    <w:rsid w:val="00CB1C46"/>
    <w:rsid w:val="00CB3587"/>
    <w:rsid w:val="00CB373D"/>
    <w:rsid w:val="00CB4356"/>
    <w:rsid w:val="00CB715E"/>
    <w:rsid w:val="00CB7C60"/>
    <w:rsid w:val="00CB7EBE"/>
    <w:rsid w:val="00CB7F2F"/>
    <w:rsid w:val="00CC0BD1"/>
    <w:rsid w:val="00CC0DEB"/>
    <w:rsid w:val="00CC0E8C"/>
    <w:rsid w:val="00CC185D"/>
    <w:rsid w:val="00CC2089"/>
    <w:rsid w:val="00CC2576"/>
    <w:rsid w:val="00CC3203"/>
    <w:rsid w:val="00CC363A"/>
    <w:rsid w:val="00CC4AC0"/>
    <w:rsid w:val="00CC55A0"/>
    <w:rsid w:val="00CC5B38"/>
    <w:rsid w:val="00CC5E86"/>
    <w:rsid w:val="00CC6BB3"/>
    <w:rsid w:val="00CC74CF"/>
    <w:rsid w:val="00CC79BA"/>
    <w:rsid w:val="00CD002E"/>
    <w:rsid w:val="00CD38A1"/>
    <w:rsid w:val="00CD4825"/>
    <w:rsid w:val="00CD49DB"/>
    <w:rsid w:val="00CD4C56"/>
    <w:rsid w:val="00CD520E"/>
    <w:rsid w:val="00CD5B7F"/>
    <w:rsid w:val="00CD5CAF"/>
    <w:rsid w:val="00CE04EE"/>
    <w:rsid w:val="00CE0F28"/>
    <w:rsid w:val="00CE1142"/>
    <w:rsid w:val="00CE24DB"/>
    <w:rsid w:val="00CE2D6B"/>
    <w:rsid w:val="00CE2F00"/>
    <w:rsid w:val="00CE5EA3"/>
    <w:rsid w:val="00CE6099"/>
    <w:rsid w:val="00CE6D2B"/>
    <w:rsid w:val="00CE73CC"/>
    <w:rsid w:val="00CF0EB8"/>
    <w:rsid w:val="00CF145F"/>
    <w:rsid w:val="00CF18CB"/>
    <w:rsid w:val="00CF2A70"/>
    <w:rsid w:val="00CF38D2"/>
    <w:rsid w:val="00CF3A62"/>
    <w:rsid w:val="00CF4661"/>
    <w:rsid w:val="00CF49F8"/>
    <w:rsid w:val="00CF4B04"/>
    <w:rsid w:val="00CF7DB3"/>
    <w:rsid w:val="00D00573"/>
    <w:rsid w:val="00D0327D"/>
    <w:rsid w:val="00D04054"/>
    <w:rsid w:val="00D053F7"/>
    <w:rsid w:val="00D05504"/>
    <w:rsid w:val="00D0579B"/>
    <w:rsid w:val="00D05E41"/>
    <w:rsid w:val="00D060AB"/>
    <w:rsid w:val="00D06675"/>
    <w:rsid w:val="00D06CA3"/>
    <w:rsid w:val="00D1119F"/>
    <w:rsid w:val="00D115F2"/>
    <w:rsid w:val="00D132D9"/>
    <w:rsid w:val="00D135EE"/>
    <w:rsid w:val="00D13B6A"/>
    <w:rsid w:val="00D141F0"/>
    <w:rsid w:val="00D15153"/>
    <w:rsid w:val="00D16B19"/>
    <w:rsid w:val="00D17B70"/>
    <w:rsid w:val="00D20371"/>
    <w:rsid w:val="00D20D41"/>
    <w:rsid w:val="00D22171"/>
    <w:rsid w:val="00D22C8A"/>
    <w:rsid w:val="00D24C87"/>
    <w:rsid w:val="00D2631A"/>
    <w:rsid w:val="00D266BB"/>
    <w:rsid w:val="00D26873"/>
    <w:rsid w:val="00D30BC4"/>
    <w:rsid w:val="00D314D8"/>
    <w:rsid w:val="00D32259"/>
    <w:rsid w:val="00D35220"/>
    <w:rsid w:val="00D35300"/>
    <w:rsid w:val="00D35E9C"/>
    <w:rsid w:val="00D36851"/>
    <w:rsid w:val="00D36C67"/>
    <w:rsid w:val="00D40381"/>
    <w:rsid w:val="00D41593"/>
    <w:rsid w:val="00D42595"/>
    <w:rsid w:val="00D4261A"/>
    <w:rsid w:val="00D43326"/>
    <w:rsid w:val="00D43F80"/>
    <w:rsid w:val="00D4581B"/>
    <w:rsid w:val="00D46F46"/>
    <w:rsid w:val="00D5097E"/>
    <w:rsid w:val="00D50AE4"/>
    <w:rsid w:val="00D50F8B"/>
    <w:rsid w:val="00D517D3"/>
    <w:rsid w:val="00D52653"/>
    <w:rsid w:val="00D53A9B"/>
    <w:rsid w:val="00D53B13"/>
    <w:rsid w:val="00D54AA1"/>
    <w:rsid w:val="00D55795"/>
    <w:rsid w:val="00D557C7"/>
    <w:rsid w:val="00D561E9"/>
    <w:rsid w:val="00D57A7F"/>
    <w:rsid w:val="00D62790"/>
    <w:rsid w:val="00D628A1"/>
    <w:rsid w:val="00D63D45"/>
    <w:rsid w:val="00D63E81"/>
    <w:rsid w:val="00D64B54"/>
    <w:rsid w:val="00D65ACC"/>
    <w:rsid w:val="00D66A93"/>
    <w:rsid w:val="00D67B48"/>
    <w:rsid w:val="00D712D8"/>
    <w:rsid w:val="00D715FC"/>
    <w:rsid w:val="00D71B4C"/>
    <w:rsid w:val="00D73B29"/>
    <w:rsid w:val="00D73FC7"/>
    <w:rsid w:val="00D7444E"/>
    <w:rsid w:val="00D759CE"/>
    <w:rsid w:val="00D766F1"/>
    <w:rsid w:val="00D805AB"/>
    <w:rsid w:val="00D8190F"/>
    <w:rsid w:val="00D83660"/>
    <w:rsid w:val="00D837C4"/>
    <w:rsid w:val="00D83F21"/>
    <w:rsid w:val="00D84219"/>
    <w:rsid w:val="00D8502A"/>
    <w:rsid w:val="00D90779"/>
    <w:rsid w:val="00D91644"/>
    <w:rsid w:val="00D93DF7"/>
    <w:rsid w:val="00D97082"/>
    <w:rsid w:val="00D978AC"/>
    <w:rsid w:val="00DA0F93"/>
    <w:rsid w:val="00DA186A"/>
    <w:rsid w:val="00DA1D5B"/>
    <w:rsid w:val="00DA1DC2"/>
    <w:rsid w:val="00DA254E"/>
    <w:rsid w:val="00DA2858"/>
    <w:rsid w:val="00DA3108"/>
    <w:rsid w:val="00DA3197"/>
    <w:rsid w:val="00DA3786"/>
    <w:rsid w:val="00DA38D7"/>
    <w:rsid w:val="00DA39FC"/>
    <w:rsid w:val="00DA4AE9"/>
    <w:rsid w:val="00DA4BEF"/>
    <w:rsid w:val="00DA618B"/>
    <w:rsid w:val="00DB0938"/>
    <w:rsid w:val="00DB0DAF"/>
    <w:rsid w:val="00DB115D"/>
    <w:rsid w:val="00DB4878"/>
    <w:rsid w:val="00DB556F"/>
    <w:rsid w:val="00DB67F6"/>
    <w:rsid w:val="00DB6B24"/>
    <w:rsid w:val="00DC07F5"/>
    <w:rsid w:val="00DC0A5F"/>
    <w:rsid w:val="00DC2149"/>
    <w:rsid w:val="00DC4C3A"/>
    <w:rsid w:val="00DC761B"/>
    <w:rsid w:val="00DC783F"/>
    <w:rsid w:val="00DD0854"/>
    <w:rsid w:val="00DD0D02"/>
    <w:rsid w:val="00DD0E15"/>
    <w:rsid w:val="00DD1441"/>
    <w:rsid w:val="00DD1715"/>
    <w:rsid w:val="00DD3CCC"/>
    <w:rsid w:val="00DD7F41"/>
    <w:rsid w:val="00DE0729"/>
    <w:rsid w:val="00DE2BEE"/>
    <w:rsid w:val="00DE5E6C"/>
    <w:rsid w:val="00DE7EBF"/>
    <w:rsid w:val="00DF0EFA"/>
    <w:rsid w:val="00DF1335"/>
    <w:rsid w:val="00DF16A7"/>
    <w:rsid w:val="00DF1D27"/>
    <w:rsid w:val="00DF2120"/>
    <w:rsid w:val="00DF2629"/>
    <w:rsid w:val="00DF3153"/>
    <w:rsid w:val="00DF34A0"/>
    <w:rsid w:val="00DF3E76"/>
    <w:rsid w:val="00DF41F4"/>
    <w:rsid w:val="00DF4597"/>
    <w:rsid w:val="00DF7828"/>
    <w:rsid w:val="00DF7EDB"/>
    <w:rsid w:val="00E00793"/>
    <w:rsid w:val="00E03169"/>
    <w:rsid w:val="00E041A6"/>
    <w:rsid w:val="00E04285"/>
    <w:rsid w:val="00E042B1"/>
    <w:rsid w:val="00E044D4"/>
    <w:rsid w:val="00E05121"/>
    <w:rsid w:val="00E06482"/>
    <w:rsid w:val="00E06D00"/>
    <w:rsid w:val="00E1031C"/>
    <w:rsid w:val="00E11B7C"/>
    <w:rsid w:val="00E11D2D"/>
    <w:rsid w:val="00E11DB7"/>
    <w:rsid w:val="00E11EB5"/>
    <w:rsid w:val="00E1373A"/>
    <w:rsid w:val="00E138F3"/>
    <w:rsid w:val="00E142C3"/>
    <w:rsid w:val="00E165AF"/>
    <w:rsid w:val="00E16E82"/>
    <w:rsid w:val="00E16E9E"/>
    <w:rsid w:val="00E21B0E"/>
    <w:rsid w:val="00E2249A"/>
    <w:rsid w:val="00E251D5"/>
    <w:rsid w:val="00E26DB1"/>
    <w:rsid w:val="00E30938"/>
    <w:rsid w:val="00E31610"/>
    <w:rsid w:val="00E31F6D"/>
    <w:rsid w:val="00E3236F"/>
    <w:rsid w:val="00E32AA0"/>
    <w:rsid w:val="00E32EDF"/>
    <w:rsid w:val="00E34501"/>
    <w:rsid w:val="00E34911"/>
    <w:rsid w:val="00E355D2"/>
    <w:rsid w:val="00E35E10"/>
    <w:rsid w:val="00E4021B"/>
    <w:rsid w:val="00E40CAD"/>
    <w:rsid w:val="00E410CD"/>
    <w:rsid w:val="00E41908"/>
    <w:rsid w:val="00E42B6C"/>
    <w:rsid w:val="00E42B9B"/>
    <w:rsid w:val="00E4334D"/>
    <w:rsid w:val="00E43551"/>
    <w:rsid w:val="00E449C6"/>
    <w:rsid w:val="00E46DAE"/>
    <w:rsid w:val="00E5226D"/>
    <w:rsid w:val="00E52ACA"/>
    <w:rsid w:val="00E53393"/>
    <w:rsid w:val="00E534BE"/>
    <w:rsid w:val="00E5386D"/>
    <w:rsid w:val="00E55EE2"/>
    <w:rsid w:val="00E5701F"/>
    <w:rsid w:val="00E60784"/>
    <w:rsid w:val="00E60C88"/>
    <w:rsid w:val="00E61491"/>
    <w:rsid w:val="00E634EA"/>
    <w:rsid w:val="00E638B4"/>
    <w:rsid w:val="00E64EA1"/>
    <w:rsid w:val="00E65DB5"/>
    <w:rsid w:val="00E660B6"/>
    <w:rsid w:val="00E66C1D"/>
    <w:rsid w:val="00E66CAB"/>
    <w:rsid w:val="00E67042"/>
    <w:rsid w:val="00E6762D"/>
    <w:rsid w:val="00E678DA"/>
    <w:rsid w:val="00E70A98"/>
    <w:rsid w:val="00E74024"/>
    <w:rsid w:val="00E74194"/>
    <w:rsid w:val="00E751A8"/>
    <w:rsid w:val="00E753B7"/>
    <w:rsid w:val="00E76338"/>
    <w:rsid w:val="00E77095"/>
    <w:rsid w:val="00E8049C"/>
    <w:rsid w:val="00E810E0"/>
    <w:rsid w:val="00E815F7"/>
    <w:rsid w:val="00E82BDF"/>
    <w:rsid w:val="00E83024"/>
    <w:rsid w:val="00E85513"/>
    <w:rsid w:val="00E86965"/>
    <w:rsid w:val="00E86C28"/>
    <w:rsid w:val="00E91F17"/>
    <w:rsid w:val="00E94AA0"/>
    <w:rsid w:val="00E955A7"/>
    <w:rsid w:val="00E95665"/>
    <w:rsid w:val="00E95F8D"/>
    <w:rsid w:val="00E963D2"/>
    <w:rsid w:val="00E9641B"/>
    <w:rsid w:val="00E9678B"/>
    <w:rsid w:val="00E97C27"/>
    <w:rsid w:val="00EA0157"/>
    <w:rsid w:val="00EA290B"/>
    <w:rsid w:val="00EA2CDB"/>
    <w:rsid w:val="00EA2E66"/>
    <w:rsid w:val="00EA36DC"/>
    <w:rsid w:val="00EA4F43"/>
    <w:rsid w:val="00EA75F1"/>
    <w:rsid w:val="00EB162F"/>
    <w:rsid w:val="00EB1EA3"/>
    <w:rsid w:val="00EB2DB2"/>
    <w:rsid w:val="00EB302A"/>
    <w:rsid w:val="00EB4201"/>
    <w:rsid w:val="00EB5400"/>
    <w:rsid w:val="00EB7641"/>
    <w:rsid w:val="00EB7A6C"/>
    <w:rsid w:val="00EC0170"/>
    <w:rsid w:val="00EC0A01"/>
    <w:rsid w:val="00EC0A4F"/>
    <w:rsid w:val="00EC0AF4"/>
    <w:rsid w:val="00EC0BBB"/>
    <w:rsid w:val="00EC2898"/>
    <w:rsid w:val="00EC39CB"/>
    <w:rsid w:val="00EC3B7C"/>
    <w:rsid w:val="00EC51A5"/>
    <w:rsid w:val="00EC623B"/>
    <w:rsid w:val="00EC6A64"/>
    <w:rsid w:val="00ED0FFC"/>
    <w:rsid w:val="00ED195D"/>
    <w:rsid w:val="00ED1A7B"/>
    <w:rsid w:val="00ED1B5A"/>
    <w:rsid w:val="00ED1B94"/>
    <w:rsid w:val="00ED27BC"/>
    <w:rsid w:val="00ED2F75"/>
    <w:rsid w:val="00ED337E"/>
    <w:rsid w:val="00ED3A6B"/>
    <w:rsid w:val="00ED42AB"/>
    <w:rsid w:val="00ED51DC"/>
    <w:rsid w:val="00ED55A3"/>
    <w:rsid w:val="00ED5CAD"/>
    <w:rsid w:val="00ED765D"/>
    <w:rsid w:val="00EE11A1"/>
    <w:rsid w:val="00EE1A0B"/>
    <w:rsid w:val="00EE2F3B"/>
    <w:rsid w:val="00EE333D"/>
    <w:rsid w:val="00EE4CE0"/>
    <w:rsid w:val="00EE54D2"/>
    <w:rsid w:val="00EE7558"/>
    <w:rsid w:val="00EE7CFE"/>
    <w:rsid w:val="00EE7DB5"/>
    <w:rsid w:val="00EF00C2"/>
    <w:rsid w:val="00EF0169"/>
    <w:rsid w:val="00EF03CD"/>
    <w:rsid w:val="00EF08E8"/>
    <w:rsid w:val="00EF2596"/>
    <w:rsid w:val="00EF5744"/>
    <w:rsid w:val="00EF738A"/>
    <w:rsid w:val="00F00CDD"/>
    <w:rsid w:val="00F02D1E"/>
    <w:rsid w:val="00F03939"/>
    <w:rsid w:val="00F045A2"/>
    <w:rsid w:val="00F04EFF"/>
    <w:rsid w:val="00F05E09"/>
    <w:rsid w:val="00F068A2"/>
    <w:rsid w:val="00F06928"/>
    <w:rsid w:val="00F07078"/>
    <w:rsid w:val="00F076D7"/>
    <w:rsid w:val="00F07F6E"/>
    <w:rsid w:val="00F1035A"/>
    <w:rsid w:val="00F10F47"/>
    <w:rsid w:val="00F12968"/>
    <w:rsid w:val="00F12ADA"/>
    <w:rsid w:val="00F13986"/>
    <w:rsid w:val="00F13ACF"/>
    <w:rsid w:val="00F13C67"/>
    <w:rsid w:val="00F146C4"/>
    <w:rsid w:val="00F1526F"/>
    <w:rsid w:val="00F1627B"/>
    <w:rsid w:val="00F17463"/>
    <w:rsid w:val="00F17D9E"/>
    <w:rsid w:val="00F17F7D"/>
    <w:rsid w:val="00F2012E"/>
    <w:rsid w:val="00F20524"/>
    <w:rsid w:val="00F207D4"/>
    <w:rsid w:val="00F21F9D"/>
    <w:rsid w:val="00F2533D"/>
    <w:rsid w:val="00F2542B"/>
    <w:rsid w:val="00F25F62"/>
    <w:rsid w:val="00F27510"/>
    <w:rsid w:val="00F32154"/>
    <w:rsid w:val="00F3416D"/>
    <w:rsid w:val="00F347FD"/>
    <w:rsid w:val="00F352BC"/>
    <w:rsid w:val="00F36E56"/>
    <w:rsid w:val="00F376C7"/>
    <w:rsid w:val="00F37744"/>
    <w:rsid w:val="00F37818"/>
    <w:rsid w:val="00F44B7E"/>
    <w:rsid w:val="00F45F05"/>
    <w:rsid w:val="00F46273"/>
    <w:rsid w:val="00F46372"/>
    <w:rsid w:val="00F46B51"/>
    <w:rsid w:val="00F50F90"/>
    <w:rsid w:val="00F5167E"/>
    <w:rsid w:val="00F51902"/>
    <w:rsid w:val="00F530FA"/>
    <w:rsid w:val="00F53119"/>
    <w:rsid w:val="00F531A8"/>
    <w:rsid w:val="00F550FE"/>
    <w:rsid w:val="00F554EE"/>
    <w:rsid w:val="00F5628C"/>
    <w:rsid w:val="00F56E84"/>
    <w:rsid w:val="00F605E9"/>
    <w:rsid w:val="00F60D9F"/>
    <w:rsid w:val="00F6139D"/>
    <w:rsid w:val="00F61776"/>
    <w:rsid w:val="00F65D50"/>
    <w:rsid w:val="00F66AE8"/>
    <w:rsid w:val="00F66DDA"/>
    <w:rsid w:val="00F67999"/>
    <w:rsid w:val="00F67BDD"/>
    <w:rsid w:val="00F70755"/>
    <w:rsid w:val="00F70CF0"/>
    <w:rsid w:val="00F7368C"/>
    <w:rsid w:val="00F73C05"/>
    <w:rsid w:val="00F73D9A"/>
    <w:rsid w:val="00F7533E"/>
    <w:rsid w:val="00F7621F"/>
    <w:rsid w:val="00F773AD"/>
    <w:rsid w:val="00F7792F"/>
    <w:rsid w:val="00F807B6"/>
    <w:rsid w:val="00F8152A"/>
    <w:rsid w:val="00F81FF5"/>
    <w:rsid w:val="00F825D2"/>
    <w:rsid w:val="00F8289C"/>
    <w:rsid w:val="00F82E39"/>
    <w:rsid w:val="00F839F0"/>
    <w:rsid w:val="00F83D0A"/>
    <w:rsid w:val="00F842D3"/>
    <w:rsid w:val="00F874D4"/>
    <w:rsid w:val="00F87E3D"/>
    <w:rsid w:val="00F92591"/>
    <w:rsid w:val="00F92A5C"/>
    <w:rsid w:val="00F93569"/>
    <w:rsid w:val="00F93C7D"/>
    <w:rsid w:val="00F94A77"/>
    <w:rsid w:val="00F974E9"/>
    <w:rsid w:val="00F97EC1"/>
    <w:rsid w:val="00F97FBD"/>
    <w:rsid w:val="00FA00B2"/>
    <w:rsid w:val="00FA0BED"/>
    <w:rsid w:val="00FA0F32"/>
    <w:rsid w:val="00FA0FA8"/>
    <w:rsid w:val="00FA0FCB"/>
    <w:rsid w:val="00FA2010"/>
    <w:rsid w:val="00FA4B13"/>
    <w:rsid w:val="00FA5609"/>
    <w:rsid w:val="00FA7272"/>
    <w:rsid w:val="00FB22DB"/>
    <w:rsid w:val="00FB41E9"/>
    <w:rsid w:val="00FB49DC"/>
    <w:rsid w:val="00FB5029"/>
    <w:rsid w:val="00FB5A8A"/>
    <w:rsid w:val="00FB6859"/>
    <w:rsid w:val="00FB7293"/>
    <w:rsid w:val="00FB7F85"/>
    <w:rsid w:val="00FC1013"/>
    <w:rsid w:val="00FC1FA3"/>
    <w:rsid w:val="00FC3752"/>
    <w:rsid w:val="00FC39C2"/>
    <w:rsid w:val="00FC3D74"/>
    <w:rsid w:val="00FC453A"/>
    <w:rsid w:val="00FC55C0"/>
    <w:rsid w:val="00FC66FC"/>
    <w:rsid w:val="00FC67E8"/>
    <w:rsid w:val="00FC7889"/>
    <w:rsid w:val="00FD0701"/>
    <w:rsid w:val="00FD09D3"/>
    <w:rsid w:val="00FD18CD"/>
    <w:rsid w:val="00FD1F32"/>
    <w:rsid w:val="00FD3336"/>
    <w:rsid w:val="00FD384B"/>
    <w:rsid w:val="00FD3EFB"/>
    <w:rsid w:val="00FD4EDD"/>
    <w:rsid w:val="00FD646F"/>
    <w:rsid w:val="00FD6501"/>
    <w:rsid w:val="00FD6779"/>
    <w:rsid w:val="00FE079C"/>
    <w:rsid w:val="00FE0A2B"/>
    <w:rsid w:val="00FE1613"/>
    <w:rsid w:val="00FE2882"/>
    <w:rsid w:val="00FE5A79"/>
    <w:rsid w:val="00FE6138"/>
    <w:rsid w:val="00FE6351"/>
    <w:rsid w:val="00FF2CC5"/>
    <w:rsid w:val="00FF484B"/>
    <w:rsid w:val="00FF5C61"/>
    <w:rsid w:val="00FF6D69"/>
    <w:rsid w:val="00FF704B"/>
    <w:rsid w:val="00FF713E"/>
    <w:rsid w:val="00FF7F1D"/>
    <w:rsid w:val="010363A8"/>
    <w:rsid w:val="011B3037"/>
    <w:rsid w:val="013251AC"/>
    <w:rsid w:val="0142411F"/>
    <w:rsid w:val="01460CBE"/>
    <w:rsid w:val="01754F34"/>
    <w:rsid w:val="018E78EC"/>
    <w:rsid w:val="019E6A39"/>
    <w:rsid w:val="01B80337"/>
    <w:rsid w:val="01BB6C97"/>
    <w:rsid w:val="01E2733A"/>
    <w:rsid w:val="01FC3904"/>
    <w:rsid w:val="01FF044D"/>
    <w:rsid w:val="021341CA"/>
    <w:rsid w:val="0254169F"/>
    <w:rsid w:val="026C4FFB"/>
    <w:rsid w:val="026E08F2"/>
    <w:rsid w:val="027E147A"/>
    <w:rsid w:val="02990C98"/>
    <w:rsid w:val="02C715C4"/>
    <w:rsid w:val="02DB583A"/>
    <w:rsid w:val="02E8023E"/>
    <w:rsid w:val="0306074B"/>
    <w:rsid w:val="03456F13"/>
    <w:rsid w:val="037C67E5"/>
    <w:rsid w:val="038B0C51"/>
    <w:rsid w:val="039C3BFB"/>
    <w:rsid w:val="03B629ED"/>
    <w:rsid w:val="03C716F9"/>
    <w:rsid w:val="03E707AC"/>
    <w:rsid w:val="03FB3F3C"/>
    <w:rsid w:val="0446568E"/>
    <w:rsid w:val="04DD1E01"/>
    <w:rsid w:val="04F41A1E"/>
    <w:rsid w:val="05420CD7"/>
    <w:rsid w:val="05761C86"/>
    <w:rsid w:val="0585343F"/>
    <w:rsid w:val="059951C7"/>
    <w:rsid w:val="05AE30E2"/>
    <w:rsid w:val="05B0299E"/>
    <w:rsid w:val="05B05224"/>
    <w:rsid w:val="060954F1"/>
    <w:rsid w:val="0617663F"/>
    <w:rsid w:val="06182F7E"/>
    <w:rsid w:val="062C057D"/>
    <w:rsid w:val="067B1DF2"/>
    <w:rsid w:val="06DD59A5"/>
    <w:rsid w:val="06E87984"/>
    <w:rsid w:val="07040143"/>
    <w:rsid w:val="071C648C"/>
    <w:rsid w:val="076C7E4D"/>
    <w:rsid w:val="077B2F1D"/>
    <w:rsid w:val="077D289A"/>
    <w:rsid w:val="079B088B"/>
    <w:rsid w:val="07B47280"/>
    <w:rsid w:val="07B9134C"/>
    <w:rsid w:val="07BC430B"/>
    <w:rsid w:val="07CA795E"/>
    <w:rsid w:val="07DF4A92"/>
    <w:rsid w:val="080A6EBF"/>
    <w:rsid w:val="082D5AB5"/>
    <w:rsid w:val="08741E64"/>
    <w:rsid w:val="08B13621"/>
    <w:rsid w:val="08D13F4A"/>
    <w:rsid w:val="08FD1E8A"/>
    <w:rsid w:val="090231AD"/>
    <w:rsid w:val="09441414"/>
    <w:rsid w:val="0944560B"/>
    <w:rsid w:val="09AD5637"/>
    <w:rsid w:val="09CF4FE8"/>
    <w:rsid w:val="09D74F34"/>
    <w:rsid w:val="09D836B0"/>
    <w:rsid w:val="09E4799C"/>
    <w:rsid w:val="09EE094B"/>
    <w:rsid w:val="0A17498C"/>
    <w:rsid w:val="0A260617"/>
    <w:rsid w:val="0AAA5050"/>
    <w:rsid w:val="0AC236ED"/>
    <w:rsid w:val="0AF461A2"/>
    <w:rsid w:val="0B080F5B"/>
    <w:rsid w:val="0B1A015E"/>
    <w:rsid w:val="0B355355"/>
    <w:rsid w:val="0B9D0332"/>
    <w:rsid w:val="0BA57A93"/>
    <w:rsid w:val="0BBE1E5B"/>
    <w:rsid w:val="0BE75582"/>
    <w:rsid w:val="0BEA0EB3"/>
    <w:rsid w:val="0BF05469"/>
    <w:rsid w:val="0C062483"/>
    <w:rsid w:val="0C2575B6"/>
    <w:rsid w:val="0C511333"/>
    <w:rsid w:val="0C69593C"/>
    <w:rsid w:val="0C6F0A09"/>
    <w:rsid w:val="0C9B351A"/>
    <w:rsid w:val="0CE04931"/>
    <w:rsid w:val="0D0819DD"/>
    <w:rsid w:val="0D341A2B"/>
    <w:rsid w:val="0D4A6CCA"/>
    <w:rsid w:val="0D5B283C"/>
    <w:rsid w:val="0D790FB3"/>
    <w:rsid w:val="0D824FA1"/>
    <w:rsid w:val="0D991929"/>
    <w:rsid w:val="0DB20C23"/>
    <w:rsid w:val="0DB4060F"/>
    <w:rsid w:val="0DD57ECE"/>
    <w:rsid w:val="0DDD4D77"/>
    <w:rsid w:val="0DE80CD2"/>
    <w:rsid w:val="0E38779A"/>
    <w:rsid w:val="0E4E37FC"/>
    <w:rsid w:val="0E565F89"/>
    <w:rsid w:val="0E7753EB"/>
    <w:rsid w:val="0E970AA0"/>
    <w:rsid w:val="0E984FC9"/>
    <w:rsid w:val="0EB3642D"/>
    <w:rsid w:val="0EE14354"/>
    <w:rsid w:val="0EE50565"/>
    <w:rsid w:val="0F26149D"/>
    <w:rsid w:val="0F382BB4"/>
    <w:rsid w:val="0F405DAB"/>
    <w:rsid w:val="0F50452B"/>
    <w:rsid w:val="0F656846"/>
    <w:rsid w:val="0F690DBB"/>
    <w:rsid w:val="0F6A13A7"/>
    <w:rsid w:val="0FAF448A"/>
    <w:rsid w:val="0FB02359"/>
    <w:rsid w:val="0FC54845"/>
    <w:rsid w:val="0FE21216"/>
    <w:rsid w:val="0FF67F38"/>
    <w:rsid w:val="10101DE4"/>
    <w:rsid w:val="1058500A"/>
    <w:rsid w:val="10712DD2"/>
    <w:rsid w:val="10807A6C"/>
    <w:rsid w:val="10967D3A"/>
    <w:rsid w:val="10C82BAD"/>
    <w:rsid w:val="10E123A2"/>
    <w:rsid w:val="10FC2FBD"/>
    <w:rsid w:val="1111236A"/>
    <w:rsid w:val="112E0AA2"/>
    <w:rsid w:val="114511A5"/>
    <w:rsid w:val="11714819"/>
    <w:rsid w:val="11754286"/>
    <w:rsid w:val="11795817"/>
    <w:rsid w:val="11B31050"/>
    <w:rsid w:val="11C72E5D"/>
    <w:rsid w:val="12182BAD"/>
    <w:rsid w:val="121D794E"/>
    <w:rsid w:val="123E63A4"/>
    <w:rsid w:val="124C7CC4"/>
    <w:rsid w:val="12510847"/>
    <w:rsid w:val="126C42E6"/>
    <w:rsid w:val="12825CED"/>
    <w:rsid w:val="129E2031"/>
    <w:rsid w:val="12B84A1F"/>
    <w:rsid w:val="12D9523C"/>
    <w:rsid w:val="12EB26D9"/>
    <w:rsid w:val="12F65F5C"/>
    <w:rsid w:val="12FF2998"/>
    <w:rsid w:val="13000DF0"/>
    <w:rsid w:val="130E2639"/>
    <w:rsid w:val="132E01F2"/>
    <w:rsid w:val="132F69F5"/>
    <w:rsid w:val="13353296"/>
    <w:rsid w:val="1347793F"/>
    <w:rsid w:val="13EE11A7"/>
    <w:rsid w:val="142328E5"/>
    <w:rsid w:val="146E41B0"/>
    <w:rsid w:val="14804D5B"/>
    <w:rsid w:val="14C32E02"/>
    <w:rsid w:val="14ED74F7"/>
    <w:rsid w:val="150051C1"/>
    <w:rsid w:val="151D42CC"/>
    <w:rsid w:val="151D7709"/>
    <w:rsid w:val="155F5693"/>
    <w:rsid w:val="156B0824"/>
    <w:rsid w:val="15A22D8F"/>
    <w:rsid w:val="15C87AE7"/>
    <w:rsid w:val="15E22937"/>
    <w:rsid w:val="161B115F"/>
    <w:rsid w:val="16244814"/>
    <w:rsid w:val="16372556"/>
    <w:rsid w:val="168176BF"/>
    <w:rsid w:val="16CB67DF"/>
    <w:rsid w:val="16D92EA2"/>
    <w:rsid w:val="16EF6255"/>
    <w:rsid w:val="17054EDC"/>
    <w:rsid w:val="171054B4"/>
    <w:rsid w:val="17117FCA"/>
    <w:rsid w:val="1717370D"/>
    <w:rsid w:val="172B5421"/>
    <w:rsid w:val="17391480"/>
    <w:rsid w:val="17661775"/>
    <w:rsid w:val="17801FCD"/>
    <w:rsid w:val="179801DC"/>
    <w:rsid w:val="17A91C0C"/>
    <w:rsid w:val="17C63B84"/>
    <w:rsid w:val="17E43BF0"/>
    <w:rsid w:val="1803606B"/>
    <w:rsid w:val="18295B06"/>
    <w:rsid w:val="18471883"/>
    <w:rsid w:val="18612AD4"/>
    <w:rsid w:val="187D1E98"/>
    <w:rsid w:val="18D878B8"/>
    <w:rsid w:val="18E34A24"/>
    <w:rsid w:val="18F85093"/>
    <w:rsid w:val="18FF107B"/>
    <w:rsid w:val="190D0662"/>
    <w:rsid w:val="19357EA8"/>
    <w:rsid w:val="19617ACB"/>
    <w:rsid w:val="197B5D3E"/>
    <w:rsid w:val="19A91531"/>
    <w:rsid w:val="19B230F7"/>
    <w:rsid w:val="19D3009E"/>
    <w:rsid w:val="19D92C74"/>
    <w:rsid w:val="19DA5B36"/>
    <w:rsid w:val="19E513E4"/>
    <w:rsid w:val="1A05657C"/>
    <w:rsid w:val="1A632C03"/>
    <w:rsid w:val="1A744755"/>
    <w:rsid w:val="1A76280F"/>
    <w:rsid w:val="1A805723"/>
    <w:rsid w:val="1ABB484E"/>
    <w:rsid w:val="1AD96A32"/>
    <w:rsid w:val="1AEB621D"/>
    <w:rsid w:val="1B2C548E"/>
    <w:rsid w:val="1B464569"/>
    <w:rsid w:val="1B4806A6"/>
    <w:rsid w:val="1B7244AD"/>
    <w:rsid w:val="1B843650"/>
    <w:rsid w:val="1BA97494"/>
    <w:rsid w:val="1BB53797"/>
    <w:rsid w:val="1C0833F5"/>
    <w:rsid w:val="1C4A1417"/>
    <w:rsid w:val="1C6207A9"/>
    <w:rsid w:val="1C632753"/>
    <w:rsid w:val="1C771FF7"/>
    <w:rsid w:val="1C840E30"/>
    <w:rsid w:val="1CAD0A46"/>
    <w:rsid w:val="1CC202B4"/>
    <w:rsid w:val="1CC76377"/>
    <w:rsid w:val="1CCB19D3"/>
    <w:rsid w:val="1D1711CB"/>
    <w:rsid w:val="1D1D4C1B"/>
    <w:rsid w:val="1D313008"/>
    <w:rsid w:val="1D3F2F2F"/>
    <w:rsid w:val="1D703FD6"/>
    <w:rsid w:val="1DB74B06"/>
    <w:rsid w:val="1DCE439F"/>
    <w:rsid w:val="1DDB425D"/>
    <w:rsid w:val="1E157547"/>
    <w:rsid w:val="1E1C7A28"/>
    <w:rsid w:val="1E24499F"/>
    <w:rsid w:val="1E331510"/>
    <w:rsid w:val="1E477938"/>
    <w:rsid w:val="1E4F232D"/>
    <w:rsid w:val="1E5E45FA"/>
    <w:rsid w:val="1E786EB4"/>
    <w:rsid w:val="1EF136FF"/>
    <w:rsid w:val="1EFB4506"/>
    <w:rsid w:val="1F0B7E5C"/>
    <w:rsid w:val="1F1C6293"/>
    <w:rsid w:val="1F353AFB"/>
    <w:rsid w:val="1F3B22B8"/>
    <w:rsid w:val="1F4573F6"/>
    <w:rsid w:val="1F7D151B"/>
    <w:rsid w:val="1FAA0C11"/>
    <w:rsid w:val="1FBA73B3"/>
    <w:rsid w:val="1FC638EC"/>
    <w:rsid w:val="1FD74BF3"/>
    <w:rsid w:val="203044C6"/>
    <w:rsid w:val="20337402"/>
    <w:rsid w:val="20831FB9"/>
    <w:rsid w:val="20A7666D"/>
    <w:rsid w:val="20AA7345"/>
    <w:rsid w:val="20CF55CD"/>
    <w:rsid w:val="20F91ADE"/>
    <w:rsid w:val="211164A2"/>
    <w:rsid w:val="214F5BCE"/>
    <w:rsid w:val="2154217C"/>
    <w:rsid w:val="215C5312"/>
    <w:rsid w:val="216564E5"/>
    <w:rsid w:val="21712521"/>
    <w:rsid w:val="218C38A1"/>
    <w:rsid w:val="21983A1D"/>
    <w:rsid w:val="21A552AD"/>
    <w:rsid w:val="21B36CE9"/>
    <w:rsid w:val="21BB4EF8"/>
    <w:rsid w:val="21DC15AA"/>
    <w:rsid w:val="21E141A5"/>
    <w:rsid w:val="21FE44DD"/>
    <w:rsid w:val="2211137B"/>
    <w:rsid w:val="22113874"/>
    <w:rsid w:val="22524B25"/>
    <w:rsid w:val="227E50C0"/>
    <w:rsid w:val="22805C48"/>
    <w:rsid w:val="22936036"/>
    <w:rsid w:val="22BB56E8"/>
    <w:rsid w:val="22DA57C0"/>
    <w:rsid w:val="22DD049F"/>
    <w:rsid w:val="22E94E95"/>
    <w:rsid w:val="22F02A8D"/>
    <w:rsid w:val="232D2552"/>
    <w:rsid w:val="236917EB"/>
    <w:rsid w:val="236B1F79"/>
    <w:rsid w:val="2372708E"/>
    <w:rsid w:val="237311DB"/>
    <w:rsid w:val="239171D7"/>
    <w:rsid w:val="23C6424A"/>
    <w:rsid w:val="23CD58C8"/>
    <w:rsid w:val="23F71BBB"/>
    <w:rsid w:val="23F8182C"/>
    <w:rsid w:val="24002C51"/>
    <w:rsid w:val="241A7BC4"/>
    <w:rsid w:val="2486397F"/>
    <w:rsid w:val="24922C78"/>
    <w:rsid w:val="24DA65AD"/>
    <w:rsid w:val="24E448C5"/>
    <w:rsid w:val="250035C2"/>
    <w:rsid w:val="252D28DD"/>
    <w:rsid w:val="252E34FD"/>
    <w:rsid w:val="256209F9"/>
    <w:rsid w:val="257802C2"/>
    <w:rsid w:val="258F2AF2"/>
    <w:rsid w:val="25BD0673"/>
    <w:rsid w:val="25C550F7"/>
    <w:rsid w:val="25EF26C2"/>
    <w:rsid w:val="26091F84"/>
    <w:rsid w:val="26577A92"/>
    <w:rsid w:val="26580DDA"/>
    <w:rsid w:val="2663282F"/>
    <w:rsid w:val="266350A9"/>
    <w:rsid w:val="26874B50"/>
    <w:rsid w:val="268C4C73"/>
    <w:rsid w:val="26A93E6C"/>
    <w:rsid w:val="26D91084"/>
    <w:rsid w:val="26E05C30"/>
    <w:rsid w:val="27086CF5"/>
    <w:rsid w:val="27507A41"/>
    <w:rsid w:val="27564AA5"/>
    <w:rsid w:val="2761026D"/>
    <w:rsid w:val="27706898"/>
    <w:rsid w:val="27935D60"/>
    <w:rsid w:val="27B65173"/>
    <w:rsid w:val="27D10D8A"/>
    <w:rsid w:val="27DD66D3"/>
    <w:rsid w:val="28115F77"/>
    <w:rsid w:val="28382558"/>
    <w:rsid w:val="28426C3E"/>
    <w:rsid w:val="286E427A"/>
    <w:rsid w:val="286F1880"/>
    <w:rsid w:val="28910F6E"/>
    <w:rsid w:val="289A68B1"/>
    <w:rsid w:val="28D27811"/>
    <w:rsid w:val="28E574EE"/>
    <w:rsid w:val="28E654CB"/>
    <w:rsid w:val="29054AF5"/>
    <w:rsid w:val="2908309F"/>
    <w:rsid w:val="291E7042"/>
    <w:rsid w:val="29573B4B"/>
    <w:rsid w:val="29B21F53"/>
    <w:rsid w:val="29D56985"/>
    <w:rsid w:val="29F84962"/>
    <w:rsid w:val="29FE2778"/>
    <w:rsid w:val="2A077209"/>
    <w:rsid w:val="2A1D4318"/>
    <w:rsid w:val="2A4D13A1"/>
    <w:rsid w:val="2A870029"/>
    <w:rsid w:val="2A972E9B"/>
    <w:rsid w:val="2AAD5FA1"/>
    <w:rsid w:val="2AC622F8"/>
    <w:rsid w:val="2ACE1B3F"/>
    <w:rsid w:val="2AE83FCB"/>
    <w:rsid w:val="2B123548"/>
    <w:rsid w:val="2B203595"/>
    <w:rsid w:val="2B395D64"/>
    <w:rsid w:val="2B421228"/>
    <w:rsid w:val="2B5E78AD"/>
    <w:rsid w:val="2B6D61AE"/>
    <w:rsid w:val="2B8561E2"/>
    <w:rsid w:val="2B871B42"/>
    <w:rsid w:val="2BA175FA"/>
    <w:rsid w:val="2BA93651"/>
    <w:rsid w:val="2BB42F92"/>
    <w:rsid w:val="2BDD6942"/>
    <w:rsid w:val="2BE62893"/>
    <w:rsid w:val="2BE84BB6"/>
    <w:rsid w:val="2C02144A"/>
    <w:rsid w:val="2C1178FD"/>
    <w:rsid w:val="2C2653FD"/>
    <w:rsid w:val="2C2840CA"/>
    <w:rsid w:val="2C5B2623"/>
    <w:rsid w:val="2D90636A"/>
    <w:rsid w:val="2D9761E8"/>
    <w:rsid w:val="2DBC330D"/>
    <w:rsid w:val="2DD87A7F"/>
    <w:rsid w:val="2DF8147A"/>
    <w:rsid w:val="2E085038"/>
    <w:rsid w:val="2E0E2234"/>
    <w:rsid w:val="2E2B0CDB"/>
    <w:rsid w:val="2E303216"/>
    <w:rsid w:val="2E311143"/>
    <w:rsid w:val="2E806B9A"/>
    <w:rsid w:val="2E940AF8"/>
    <w:rsid w:val="2E985A4C"/>
    <w:rsid w:val="2E992868"/>
    <w:rsid w:val="2EC732D0"/>
    <w:rsid w:val="2EC90B7E"/>
    <w:rsid w:val="2ED276C7"/>
    <w:rsid w:val="2EF67A7B"/>
    <w:rsid w:val="2F120330"/>
    <w:rsid w:val="2F374CCD"/>
    <w:rsid w:val="2F582336"/>
    <w:rsid w:val="2FB84694"/>
    <w:rsid w:val="2FB86562"/>
    <w:rsid w:val="2FDF6DE7"/>
    <w:rsid w:val="2FF2054B"/>
    <w:rsid w:val="30104239"/>
    <w:rsid w:val="304C2760"/>
    <w:rsid w:val="305E2B8E"/>
    <w:rsid w:val="3069600B"/>
    <w:rsid w:val="308A70BC"/>
    <w:rsid w:val="3132689D"/>
    <w:rsid w:val="31441F0B"/>
    <w:rsid w:val="31454662"/>
    <w:rsid w:val="314F0D1D"/>
    <w:rsid w:val="31C9673E"/>
    <w:rsid w:val="31CB0D71"/>
    <w:rsid w:val="31DB316D"/>
    <w:rsid w:val="31EB0561"/>
    <w:rsid w:val="31F71772"/>
    <w:rsid w:val="321F799F"/>
    <w:rsid w:val="32470B5A"/>
    <w:rsid w:val="32803954"/>
    <w:rsid w:val="32913020"/>
    <w:rsid w:val="329A1C07"/>
    <w:rsid w:val="32C13E12"/>
    <w:rsid w:val="32D0544B"/>
    <w:rsid w:val="32E12DD1"/>
    <w:rsid w:val="32E4758A"/>
    <w:rsid w:val="32FC0D47"/>
    <w:rsid w:val="336B307A"/>
    <w:rsid w:val="336B4F62"/>
    <w:rsid w:val="337F50CD"/>
    <w:rsid w:val="338C3B6C"/>
    <w:rsid w:val="33F02BCE"/>
    <w:rsid w:val="33FD53F9"/>
    <w:rsid w:val="34404CF6"/>
    <w:rsid w:val="34AF5E9D"/>
    <w:rsid w:val="34B72F5E"/>
    <w:rsid w:val="34CE223B"/>
    <w:rsid w:val="34CF6A54"/>
    <w:rsid w:val="34CF77FB"/>
    <w:rsid w:val="352B421A"/>
    <w:rsid w:val="353B4C13"/>
    <w:rsid w:val="35792DD8"/>
    <w:rsid w:val="358A79AB"/>
    <w:rsid w:val="358F56C5"/>
    <w:rsid w:val="35BC0D08"/>
    <w:rsid w:val="35C35FAA"/>
    <w:rsid w:val="35E323AB"/>
    <w:rsid w:val="35ED4D08"/>
    <w:rsid w:val="361C34A4"/>
    <w:rsid w:val="361C601A"/>
    <w:rsid w:val="366040F8"/>
    <w:rsid w:val="36AB7EAB"/>
    <w:rsid w:val="36B11EB4"/>
    <w:rsid w:val="36C45B55"/>
    <w:rsid w:val="36C56C98"/>
    <w:rsid w:val="36D05EF2"/>
    <w:rsid w:val="36E91396"/>
    <w:rsid w:val="3711165C"/>
    <w:rsid w:val="37271B04"/>
    <w:rsid w:val="37364E95"/>
    <w:rsid w:val="373F3A2A"/>
    <w:rsid w:val="375317A1"/>
    <w:rsid w:val="376A6887"/>
    <w:rsid w:val="37C146FC"/>
    <w:rsid w:val="37D4542D"/>
    <w:rsid w:val="381B5FE4"/>
    <w:rsid w:val="382B4251"/>
    <w:rsid w:val="38382B54"/>
    <w:rsid w:val="38662BD4"/>
    <w:rsid w:val="3885327F"/>
    <w:rsid w:val="3897223E"/>
    <w:rsid w:val="38FA4569"/>
    <w:rsid w:val="39137625"/>
    <w:rsid w:val="3921182E"/>
    <w:rsid w:val="39237243"/>
    <w:rsid w:val="39337B4D"/>
    <w:rsid w:val="39607F6B"/>
    <w:rsid w:val="39D4777C"/>
    <w:rsid w:val="39D85D3D"/>
    <w:rsid w:val="3A2C0BAB"/>
    <w:rsid w:val="3A410C9D"/>
    <w:rsid w:val="3A4121AC"/>
    <w:rsid w:val="3A507183"/>
    <w:rsid w:val="3A5447CA"/>
    <w:rsid w:val="3A55495D"/>
    <w:rsid w:val="3A647757"/>
    <w:rsid w:val="3A7E12D0"/>
    <w:rsid w:val="3AA356A6"/>
    <w:rsid w:val="3AB3788C"/>
    <w:rsid w:val="3AD73D94"/>
    <w:rsid w:val="3ADC0904"/>
    <w:rsid w:val="3B1E45F6"/>
    <w:rsid w:val="3B311075"/>
    <w:rsid w:val="3B462CB8"/>
    <w:rsid w:val="3B573B05"/>
    <w:rsid w:val="3B5E33C8"/>
    <w:rsid w:val="3B7140FB"/>
    <w:rsid w:val="3B750785"/>
    <w:rsid w:val="3B84152A"/>
    <w:rsid w:val="3B8B239F"/>
    <w:rsid w:val="3BA04BDF"/>
    <w:rsid w:val="3BB47794"/>
    <w:rsid w:val="3BC54CBA"/>
    <w:rsid w:val="3BCF7DF0"/>
    <w:rsid w:val="3BEC5C2F"/>
    <w:rsid w:val="3C2B56C7"/>
    <w:rsid w:val="3C381E51"/>
    <w:rsid w:val="3C5114AB"/>
    <w:rsid w:val="3C936D60"/>
    <w:rsid w:val="3CB563F5"/>
    <w:rsid w:val="3CC13497"/>
    <w:rsid w:val="3CCD5C3C"/>
    <w:rsid w:val="3CF33E76"/>
    <w:rsid w:val="3CF97852"/>
    <w:rsid w:val="3D3142F2"/>
    <w:rsid w:val="3D3702A2"/>
    <w:rsid w:val="3D5E5894"/>
    <w:rsid w:val="3D671542"/>
    <w:rsid w:val="3D6F23B4"/>
    <w:rsid w:val="3D8A2F70"/>
    <w:rsid w:val="3DD44224"/>
    <w:rsid w:val="3DDB2C74"/>
    <w:rsid w:val="3DFC0F0D"/>
    <w:rsid w:val="3E0E3EE7"/>
    <w:rsid w:val="3E19401D"/>
    <w:rsid w:val="3E27409A"/>
    <w:rsid w:val="3E3F582B"/>
    <w:rsid w:val="3E465D9D"/>
    <w:rsid w:val="3E98075D"/>
    <w:rsid w:val="3ED07075"/>
    <w:rsid w:val="3EDA723B"/>
    <w:rsid w:val="3F045776"/>
    <w:rsid w:val="3F060128"/>
    <w:rsid w:val="3F407515"/>
    <w:rsid w:val="3F4B3E6F"/>
    <w:rsid w:val="3F4D74D6"/>
    <w:rsid w:val="3F507AB5"/>
    <w:rsid w:val="3F7B4535"/>
    <w:rsid w:val="3F877574"/>
    <w:rsid w:val="3FA22F65"/>
    <w:rsid w:val="3FB61B5E"/>
    <w:rsid w:val="3FE33137"/>
    <w:rsid w:val="3FEC57ED"/>
    <w:rsid w:val="404B6635"/>
    <w:rsid w:val="40734AB0"/>
    <w:rsid w:val="40AE2046"/>
    <w:rsid w:val="40D057DF"/>
    <w:rsid w:val="40D47C00"/>
    <w:rsid w:val="41095E83"/>
    <w:rsid w:val="413069D1"/>
    <w:rsid w:val="4134317F"/>
    <w:rsid w:val="4138735C"/>
    <w:rsid w:val="41A1130E"/>
    <w:rsid w:val="41BF7EB7"/>
    <w:rsid w:val="4258046B"/>
    <w:rsid w:val="42612FCC"/>
    <w:rsid w:val="42636B0B"/>
    <w:rsid w:val="426B10E5"/>
    <w:rsid w:val="426B4677"/>
    <w:rsid w:val="42AD58DF"/>
    <w:rsid w:val="42F7558A"/>
    <w:rsid w:val="43157275"/>
    <w:rsid w:val="431E4C22"/>
    <w:rsid w:val="4320564E"/>
    <w:rsid w:val="43262B5C"/>
    <w:rsid w:val="432C6699"/>
    <w:rsid w:val="43377D2E"/>
    <w:rsid w:val="434F2055"/>
    <w:rsid w:val="436116BD"/>
    <w:rsid w:val="438B2430"/>
    <w:rsid w:val="43B07264"/>
    <w:rsid w:val="43B441BA"/>
    <w:rsid w:val="43C24043"/>
    <w:rsid w:val="441D3D50"/>
    <w:rsid w:val="44302EED"/>
    <w:rsid w:val="443317CE"/>
    <w:rsid w:val="44536604"/>
    <w:rsid w:val="44BF549A"/>
    <w:rsid w:val="44E45566"/>
    <w:rsid w:val="45022766"/>
    <w:rsid w:val="45182D67"/>
    <w:rsid w:val="45312907"/>
    <w:rsid w:val="4563640F"/>
    <w:rsid w:val="4563700C"/>
    <w:rsid w:val="45896D84"/>
    <w:rsid w:val="45940D92"/>
    <w:rsid w:val="45A739BD"/>
    <w:rsid w:val="45AB1642"/>
    <w:rsid w:val="45BB543F"/>
    <w:rsid w:val="45CC2B64"/>
    <w:rsid w:val="45D644B7"/>
    <w:rsid w:val="45DA4C45"/>
    <w:rsid w:val="45E26B81"/>
    <w:rsid w:val="462A290D"/>
    <w:rsid w:val="462B0556"/>
    <w:rsid w:val="46BA53EC"/>
    <w:rsid w:val="46E943D8"/>
    <w:rsid w:val="46F048E9"/>
    <w:rsid w:val="46F6324B"/>
    <w:rsid w:val="471F7CD8"/>
    <w:rsid w:val="472D6360"/>
    <w:rsid w:val="47377145"/>
    <w:rsid w:val="4742326A"/>
    <w:rsid w:val="477F414E"/>
    <w:rsid w:val="47807B50"/>
    <w:rsid w:val="47857A19"/>
    <w:rsid w:val="47DE66AD"/>
    <w:rsid w:val="47EB6225"/>
    <w:rsid w:val="480230B1"/>
    <w:rsid w:val="480E1984"/>
    <w:rsid w:val="48263CC6"/>
    <w:rsid w:val="483516FF"/>
    <w:rsid w:val="483708D8"/>
    <w:rsid w:val="484315B6"/>
    <w:rsid w:val="485E44F4"/>
    <w:rsid w:val="4896543E"/>
    <w:rsid w:val="48BE49C5"/>
    <w:rsid w:val="48CA189D"/>
    <w:rsid w:val="49243268"/>
    <w:rsid w:val="49343F7D"/>
    <w:rsid w:val="493B43F5"/>
    <w:rsid w:val="49586B1C"/>
    <w:rsid w:val="4987386D"/>
    <w:rsid w:val="49AB06B0"/>
    <w:rsid w:val="49B51230"/>
    <w:rsid w:val="49E15976"/>
    <w:rsid w:val="49F649F1"/>
    <w:rsid w:val="4A4164CC"/>
    <w:rsid w:val="4A812A86"/>
    <w:rsid w:val="4AA437F2"/>
    <w:rsid w:val="4AC852C9"/>
    <w:rsid w:val="4ACA3EA1"/>
    <w:rsid w:val="4AE54DDD"/>
    <w:rsid w:val="4B6B504E"/>
    <w:rsid w:val="4BA0432E"/>
    <w:rsid w:val="4BB02283"/>
    <w:rsid w:val="4BB44A44"/>
    <w:rsid w:val="4BBC358D"/>
    <w:rsid w:val="4BCA5979"/>
    <w:rsid w:val="4BF71457"/>
    <w:rsid w:val="4BF958C5"/>
    <w:rsid w:val="4BF97385"/>
    <w:rsid w:val="4C3242AF"/>
    <w:rsid w:val="4C405FBE"/>
    <w:rsid w:val="4C6E3D3C"/>
    <w:rsid w:val="4C735E89"/>
    <w:rsid w:val="4C7A2FBB"/>
    <w:rsid w:val="4C7E24EB"/>
    <w:rsid w:val="4C7F477C"/>
    <w:rsid w:val="4CBE6EAF"/>
    <w:rsid w:val="4D0F1AB9"/>
    <w:rsid w:val="4D326FCD"/>
    <w:rsid w:val="4D451160"/>
    <w:rsid w:val="4D574791"/>
    <w:rsid w:val="4D9B01B8"/>
    <w:rsid w:val="4DA46948"/>
    <w:rsid w:val="4DC473A3"/>
    <w:rsid w:val="4DC519D1"/>
    <w:rsid w:val="4E021465"/>
    <w:rsid w:val="4E914EAF"/>
    <w:rsid w:val="4EBE6105"/>
    <w:rsid w:val="4EE44BE0"/>
    <w:rsid w:val="4EFA3E8F"/>
    <w:rsid w:val="4F080B63"/>
    <w:rsid w:val="4F1E1A1B"/>
    <w:rsid w:val="4F3C0A3C"/>
    <w:rsid w:val="4F545401"/>
    <w:rsid w:val="4F5B4F2E"/>
    <w:rsid w:val="4F9B397A"/>
    <w:rsid w:val="4FAD3BFF"/>
    <w:rsid w:val="4FDD0D75"/>
    <w:rsid w:val="503E48D3"/>
    <w:rsid w:val="5046006A"/>
    <w:rsid w:val="506F0C2C"/>
    <w:rsid w:val="507D5C51"/>
    <w:rsid w:val="509335EB"/>
    <w:rsid w:val="50C8005B"/>
    <w:rsid w:val="50FA709D"/>
    <w:rsid w:val="51126483"/>
    <w:rsid w:val="511E76C0"/>
    <w:rsid w:val="51304FBE"/>
    <w:rsid w:val="51347A5E"/>
    <w:rsid w:val="51556599"/>
    <w:rsid w:val="51580709"/>
    <w:rsid w:val="516E1798"/>
    <w:rsid w:val="516E5E6D"/>
    <w:rsid w:val="517D1B6E"/>
    <w:rsid w:val="518F2623"/>
    <w:rsid w:val="51B07B40"/>
    <w:rsid w:val="51D71F47"/>
    <w:rsid w:val="52311F20"/>
    <w:rsid w:val="52433EF1"/>
    <w:rsid w:val="524C03B6"/>
    <w:rsid w:val="526A1417"/>
    <w:rsid w:val="526A32AE"/>
    <w:rsid w:val="52DA66E9"/>
    <w:rsid w:val="52F43242"/>
    <w:rsid w:val="533564B3"/>
    <w:rsid w:val="53406E95"/>
    <w:rsid w:val="534F63FF"/>
    <w:rsid w:val="538735DA"/>
    <w:rsid w:val="53BC2A97"/>
    <w:rsid w:val="53BE5758"/>
    <w:rsid w:val="53EB2C65"/>
    <w:rsid w:val="53F24775"/>
    <w:rsid w:val="540C148E"/>
    <w:rsid w:val="540E2BF2"/>
    <w:rsid w:val="541A6CEE"/>
    <w:rsid w:val="541C5144"/>
    <w:rsid w:val="54747CCF"/>
    <w:rsid w:val="54757980"/>
    <w:rsid w:val="548B508D"/>
    <w:rsid w:val="54934BB9"/>
    <w:rsid w:val="54AF1383"/>
    <w:rsid w:val="54C1651E"/>
    <w:rsid w:val="54D15E88"/>
    <w:rsid w:val="55021A93"/>
    <w:rsid w:val="55236950"/>
    <w:rsid w:val="5534332F"/>
    <w:rsid w:val="5565715E"/>
    <w:rsid w:val="55865561"/>
    <w:rsid w:val="55872DDF"/>
    <w:rsid w:val="558D5CD6"/>
    <w:rsid w:val="55AB4A99"/>
    <w:rsid w:val="55DC588E"/>
    <w:rsid w:val="5601021C"/>
    <w:rsid w:val="56197D89"/>
    <w:rsid w:val="564751B3"/>
    <w:rsid w:val="56922866"/>
    <w:rsid w:val="56967363"/>
    <w:rsid w:val="56A52B29"/>
    <w:rsid w:val="56B76B6A"/>
    <w:rsid w:val="56D435B0"/>
    <w:rsid w:val="56E678AE"/>
    <w:rsid w:val="56EB1074"/>
    <w:rsid w:val="56FF49B6"/>
    <w:rsid w:val="57033596"/>
    <w:rsid w:val="57327C76"/>
    <w:rsid w:val="57880969"/>
    <w:rsid w:val="57D6409E"/>
    <w:rsid w:val="57E566D3"/>
    <w:rsid w:val="57E954F6"/>
    <w:rsid w:val="58082542"/>
    <w:rsid w:val="583D7B55"/>
    <w:rsid w:val="58676F42"/>
    <w:rsid w:val="58B908F8"/>
    <w:rsid w:val="58C13AFE"/>
    <w:rsid w:val="58CF2EFD"/>
    <w:rsid w:val="58D232EC"/>
    <w:rsid w:val="58D81BED"/>
    <w:rsid w:val="59127EDD"/>
    <w:rsid w:val="59C15E61"/>
    <w:rsid w:val="59C91C6E"/>
    <w:rsid w:val="59EC1546"/>
    <w:rsid w:val="5A057568"/>
    <w:rsid w:val="5A344A5E"/>
    <w:rsid w:val="5A4E5A21"/>
    <w:rsid w:val="5A4F7BAA"/>
    <w:rsid w:val="5A6B5717"/>
    <w:rsid w:val="5A82661E"/>
    <w:rsid w:val="5A8D4A52"/>
    <w:rsid w:val="5AA20582"/>
    <w:rsid w:val="5AB84473"/>
    <w:rsid w:val="5AFC7B96"/>
    <w:rsid w:val="5B200805"/>
    <w:rsid w:val="5B4B658C"/>
    <w:rsid w:val="5B581327"/>
    <w:rsid w:val="5B94059B"/>
    <w:rsid w:val="5BDE06E4"/>
    <w:rsid w:val="5BEF62BC"/>
    <w:rsid w:val="5BF36FD9"/>
    <w:rsid w:val="5C9E332F"/>
    <w:rsid w:val="5CAC7B15"/>
    <w:rsid w:val="5CB04803"/>
    <w:rsid w:val="5CD046EA"/>
    <w:rsid w:val="5CDA7D9C"/>
    <w:rsid w:val="5D197E46"/>
    <w:rsid w:val="5D283AF1"/>
    <w:rsid w:val="5D6B5689"/>
    <w:rsid w:val="5D7E5355"/>
    <w:rsid w:val="5D8B08D9"/>
    <w:rsid w:val="5D9E3878"/>
    <w:rsid w:val="5DBF70F5"/>
    <w:rsid w:val="5EB52ED9"/>
    <w:rsid w:val="5EC85077"/>
    <w:rsid w:val="5EDB40ED"/>
    <w:rsid w:val="5F244EFD"/>
    <w:rsid w:val="5FA67BF2"/>
    <w:rsid w:val="5FD03348"/>
    <w:rsid w:val="5FE03CFE"/>
    <w:rsid w:val="5FFF2377"/>
    <w:rsid w:val="6045126D"/>
    <w:rsid w:val="606011F4"/>
    <w:rsid w:val="606760A0"/>
    <w:rsid w:val="60820826"/>
    <w:rsid w:val="608D2D8E"/>
    <w:rsid w:val="608E5DFC"/>
    <w:rsid w:val="60AA0313"/>
    <w:rsid w:val="60C500A2"/>
    <w:rsid w:val="60C60E09"/>
    <w:rsid w:val="60D0496A"/>
    <w:rsid w:val="612A186C"/>
    <w:rsid w:val="61650A54"/>
    <w:rsid w:val="61757A96"/>
    <w:rsid w:val="618E1D52"/>
    <w:rsid w:val="61AC64B0"/>
    <w:rsid w:val="61CA05DB"/>
    <w:rsid w:val="61FD3A87"/>
    <w:rsid w:val="62873D10"/>
    <w:rsid w:val="628B36F1"/>
    <w:rsid w:val="62CD3212"/>
    <w:rsid w:val="62D16385"/>
    <w:rsid w:val="62DA432F"/>
    <w:rsid w:val="62F71AB1"/>
    <w:rsid w:val="630C692D"/>
    <w:rsid w:val="63226E35"/>
    <w:rsid w:val="632B05E0"/>
    <w:rsid w:val="632B4D9B"/>
    <w:rsid w:val="634D6B09"/>
    <w:rsid w:val="637D3373"/>
    <w:rsid w:val="638504EA"/>
    <w:rsid w:val="638B0529"/>
    <w:rsid w:val="63A02656"/>
    <w:rsid w:val="63CA0C97"/>
    <w:rsid w:val="63D23F64"/>
    <w:rsid w:val="63F45431"/>
    <w:rsid w:val="640E68F3"/>
    <w:rsid w:val="642E243A"/>
    <w:rsid w:val="643E592F"/>
    <w:rsid w:val="6440693C"/>
    <w:rsid w:val="64924EA4"/>
    <w:rsid w:val="64EA3B48"/>
    <w:rsid w:val="64FA39AF"/>
    <w:rsid w:val="64FB1788"/>
    <w:rsid w:val="65513A73"/>
    <w:rsid w:val="657C0622"/>
    <w:rsid w:val="65C81623"/>
    <w:rsid w:val="65F2543C"/>
    <w:rsid w:val="66265FF2"/>
    <w:rsid w:val="662B72CD"/>
    <w:rsid w:val="663D37FC"/>
    <w:rsid w:val="66CB05A8"/>
    <w:rsid w:val="66F31CF7"/>
    <w:rsid w:val="66F40CEC"/>
    <w:rsid w:val="66F64EF9"/>
    <w:rsid w:val="66FA2658"/>
    <w:rsid w:val="66FC3569"/>
    <w:rsid w:val="670D72F1"/>
    <w:rsid w:val="673C67F5"/>
    <w:rsid w:val="674B762F"/>
    <w:rsid w:val="678229C7"/>
    <w:rsid w:val="67C102BD"/>
    <w:rsid w:val="67C55B41"/>
    <w:rsid w:val="67EB2960"/>
    <w:rsid w:val="67FB1020"/>
    <w:rsid w:val="681E2376"/>
    <w:rsid w:val="681F0B32"/>
    <w:rsid w:val="68472A53"/>
    <w:rsid w:val="68572762"/>
    <w:rsid w:val="68885CC4"/>
    <w:rsid w:val="68AB5F47"/>
    <w:rsid w:val="68AD4855"/>
    <w:rsid w:val="68B46425"/>
    <w:rsid w:val="68C27E0B"/>
    <w:rsid w:val="68CB2670"/>
    <w:rsid w:val="68F1315D"/>
    <w:rsid w:val="69201D58"/>
    <w:rsid w:val="69263725"/>
    <w:rsid w:val="6936080D"/>
    <w:rsid w:val="693A2EBA"/>
    <w:rsid w:val="694A7034"/>
    <w:rsid w:val="69716E30"/>
    <w:rsid w:val="69A201C7"/>
    <w:rsid w:val="69A8084D"/>
    <w:rsid w:val="69B516D1"/>
    <w:rsid w:val="69E56AE7"/>
    <w:rsid w:val="69F672C9"/>
    <w:rsid w:val="6A00663F"/>
    <w:rsid w:val="6A4475F0"/>
    <w:rsid w:val="6AE7710F"/>
    <w:rsid w:val="6B0D4832"/>
    <w:rsid w:val="6B162682"/>
    <w:rsid w:val="6B3F5AB3"/>
    <w:rsid w:val="6B774BBC"/>
    <w:rsid w:val="6BAB7ACB"/>
    <w:rsid w:val="6BC23C37"/>
    <w:rsid w:val="6BD3488D"/>
    <w:rsid w:val="6BE54DAB"/>
    <w:rsid w:val="6BE5625F"/>
    <w:rsid w:val="6C2F47F0"/>
    <w:rsid w:val="6C4C5E3E"/>
    <w:rsid w:val="6CA550E1"/>
    <w:rsid w:val="6CCF3717"/>
    <w:rsid w:val="6CE47858"/>
    <w:rsid w:val="6D024160"/>
    <w:rsid w:val="6D1219C2"/>
    <w:rsid w:val="6D2B50AA"/>
    <w:rsid w:val="6D6C289A"/>
    <w:rsid w:val="6D900058"/>
    <w:rsid w:val="6D93014C"/>
    <w:rsid w:val="6DA63F52"/>
    <w:rsid w:val="6DA80AD3"/>
    <w:rsid w:val="6DF270CC"/>
    <w:rsid w:val="6E062843"/>
    <w:rsid w:val="6E240965"/>
    <w:rsid w:val="6E532919"/>
    <w:rsid w:val="6E5557AD"/>
    <w:rsid w:val="6E6C6970"/>
    <w:rsid w:val="6E713D69"/>
    <w:rsid w:val="6E730E1F"/>
    <w:rsid w:val="6EB7083D"/>
    <w:rsid w:val="6ECA0703"/>
    <w:rsid w:val="6F075012"/>
    <w:rsid w:val="6F122055"/>
    <w:rsid w:val="6F6A36D7"/>
    <w:rsid w:val="6F6A7364"/>
    <w:rsid w:val="6F755623"/>
    <w:rsid w:val="6F7D7500"/>
    <w:rsid w:val="6F7E1CD5"/>
    <w:rsid w:val="6FB577CB"/>
    <w:rsid w:val="70180A8A"/>
    <w:rsid w:val="7025465E"/>
    <w:rsid w:val="70285E1A"/>
    <w:rsid w:val="703541AA"/>
    <w:rsid w:val="70566821"/>
    <w:rsid w:val="706C4879"/>
    <w:rsid w:val="706F3690"/>
    <w:rsid w:val="70DF3D0E"/>
    <w:rsid w:val="70F935D7"/>
    <w:rsid w:val="710E0F7D"/>
    <w:rsid w:val="710E11D1"/>
    <w:rsid w:val="715B01F2"/>
    <w:rsid w:val="716555A3"/>
    <w:rsid w:val="716837FB"/>
    <w:rsid w:val="71892D00"/>
    <w:rsid w:val="719154DD"/>
    <w:rsid w:val="719501F8"/>
    <w:rsid w:val="71983BA9"/>
    <w:rsid w:val="71983BEF"/>
    <w:rsid w:val="71A36366"/>
    <w:rsid w:val="71BC0216"/>
    <w:rsid w:val="71BD17A5"/>
    <w:rsid w:val="72150DC7"/>
    <w:rsid w:val="72182915"/>
    <w:rsid w:val="721F1C04"/>
    <w:rsid w:val="72477FCF"/>
    <w:rsid w:val="72525D81"/>
    <w:rsid w:val="726A594F"/>
    <w:rsid w:val="728A37A0"/>
    <w:rsid w:val="729653E8"/>
    <w:rsid w:val="72A560A3"/>
    <w:rsid w:val="72C456B8"/>
    <w:rsid w:val="72E603B2"/>
    <w:rsid w:val="72F77D2F"/>
    <w:rsid w:val="730D3FBB"/>
    <w:rsid w:val="73181610"/>
    <w:rsid w:val="731D73E2"/>
    <w:rsid w:val="732933E1"/>
    <w:rsid w:val="73325F81"/>
    <w:rsid w:val="7353471C"/>
    <w:rsid w:val="7368758E"/>
    <w:rsid w:val="737B21C8"/>
    <w:rsid w:val="73AF4DCC"/>
    <w:rsid w:val="73B65737"/>
    <w:rsid w:val="73C922F4"/>
    <w:rsid w:val="73DB6710"/>
    <w:rsid w:val="73F05795"/>
    <w:rsid w:val="744C3802"/>
    <w:rsid w:val="74B13B80"/>
    <w:rsid w:val="74E97A1C"/>
    <w:rsid w:val="74F57D2F"/>
    <w:rsid w:val="750253B4"/>
    <w:rsid w:val="750723EA"/>
    <w:rsid w:val="753F46B3"/>
    <w:rsid w:val="756F4B27"/>
    <w:rsid w:val="75BB5152"/>
    <w:rsid w:val="75D25BAC"/>
    <w:rsid w:val="75EA4C21"/>
    <w:rsid w:val="760501AD"/>
    <w:rsid w:val="762B2E66"/>
    <w:rsid w:val="762C2EA1"/>
    <w:rsid w:val="765C4380"/>
    <w:rsid w:val="767428DE"/>
    <w:rsid w:val="767745CE"/>
    <w:rsid w:val="76A7447F"/>
    <w:rsid w:val="76F45EA0"/>
    <w:rsid w:val="76FB5EA9"/>
    <w:rsid w:val="7741596B"/>
    <w:rsid w:val="774C5E01"/>
    <w:rsid w:val="775C1899"/>
    <w:rsid w:val="776B0888"/>
    <w:rsid w:val="77707FAA"/>
    <w:rsid w:val="7784400C"/>
    <w:rsid w:val="778B79F8"/>
    <w:rsid w:val="77A64060"/>
    <w:rsid w:val="77AF3081"/>
    <w:rsid w:val="77BC4E35"/>
    <w:rsid w:val="77CF194E"/>
    <w:rsid w:val="77D41605"/>
    <w:rsid w:val="77FC1CEC"/>
    <w:rsid w:val="78072246"/>
    <w:rsid w:val="780C17B6"/>
    <w:rsid w:val="78154202"/>
    <w:rsid w:val="78171400"/>
    <w:rsid w:val="782B2BA7"/>
    <w:rsid w:val="784129DA"/>
    <w:rsid w:val="78480FEC"/>
    <w:rsid w:val="78603721"/>
    <w:rsid w:val="78750825"/>
    <w:rsid w:val="787678A6"/>
    <w:rsid w:val="78946C01"/>
    <w:rsid w:val="78966DA5"/>
    <w:rsid w:val="78977049"/>
    <w:rsid w:val="79175D1F"/>
    <w:rsid w:val="7963509C"/>
    <w:rsid w:val="79646F6B"/>
    <w:rsid w:val="79747285"/>
    <w:rsid w:val="79753908"/>
    <w:rsid w:val="799254CB"/>
    <w:rsid w:val="79A23686"/>
    <w:rsid w:val="79B20DC5"/>
    <w:rsid w:val="79F7366B"/>
    <w:rsid w:val="7A017D73"/>
    <w:rsid w:val="7A3945A9"/>
    <w:rsid w:val="7A4252F0"/>
    <w:rsid w:val="7A444115"/>
    <w:rsid w:val="7A6075DB"/>
    <w:rsid w:val="7A6B193B"/>
    <w:rsid w:val="7A7A4FC6"/>
    <w:rsid w:val="7A994A7F"/>
    <w:rsid w:val="7AC174AF"/>
    <w:rsid w:val="7AD2066F"/>
    <w:rsid w:val="7ADB675B"/>
    <w:rsid w:val="7B027167"/>
    <w:rsid w:val="7B2335C6"/>
    <w:rsid w:val="7B30172D"/>
    <w:rsid w:val="7B356AB7"/>
    <w:rsid w:val="7B4376AC"/>
    <w:rsid w:val="7B7452EC"/>
    <w:rsid w:val="7B925A8A"/>
    <w:rsid w:val="7BA11C11"/>
    <w:rsid w:val="7BD02EFB"/>
    <w:rsid w:val="7BF2757F"/>
    <w:rsid w:val="7C2F6A72"/>
    <w:rsid w:val="7C5872A1"/>
    <w:rsid w:val="7C787C05"/>
    <w:rsid w:val="7C8A643E"/>
    <w:rsid w:val="7CB34413"/>
    <w:rsid w:val="7CC27C54"/>
    <w:rsid w:val="7D032D97"/>
    <w:rsid w:val="7D500545"/>
    <w:rsid w:val="7D526083"/>
    <w:rsid w:val="7D5536DC"/>
    <w:rsid w:val="7D5A3DB7"/>
    <w:rsid w:val="7D821FAB"/>
    <w:rsid w:val="7DB9535D"/>
    <w:rsid w:val="7DCD5654"/>
    <w:rsid w:val="7DE1696D"/>
    <w:rsid w:val="7DE36E5B"/>
    <w:rsid w:val="7DE44180"/>
    <w:rsid w:val="7DEA7E88"/>
    <w:rsid w:val="7E147B43"/>
    <w:rsid w:val="7E9237E9"/>
    <w:rsid w:val="7EAD4387"/>
    <w:rsid w:val="7EDF3EAD"/>
    <w:rsid w:val="7F0A0FB6"/>
    <w:rsid w:val="7F296AF0"/>
    <w:rsid w:val="7F38531E"/>
    <w:rsid w:val="7F60699F"/>
    <w:rsid w:val="7F9C2760"/>
    <w:rsid w:val="7FB73BEC"/>
    <w:rsid w:val="7FC8691C"/>
    <w:rsid w:val="7FEC4D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uiPriority="99" w:name="index 2"/>
    <w:lsdException w:qFormat="1" w:uiPriority="0"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nhideWhenUsed="0" w:uiPriority="0" w:semiHidden="0" w:name="Normal Indent"/>
    <w:lsdException w:qFormat="1" w:uiPriority="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0" w:name="caption"/>
    <w:lsdException w:qFormat="1" w:uiPriority="0"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qFormat="1" w:unhideWhenUsed="0" w:uiPriority="0" w:semiHidden="0" w:name="page number"/>
    <w:lsdException w:qFormat="1" w:uiPriority="0" w:name="endnote reference"/>
    <w:lsdException w:qFormat="1" w:uiPriority="0"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iPriority="99" w:name="List 2"/>
    <w:lsdException w:qFormat="1" w:unhideWhenUsed="0" w:uiPriority="0" w:semiHidden="0" w:name="List 3"/>
    <w:lsdException w:uiPriority="99" w:name="List 4"/>
    <w:lsdException w:uiPriority="99" w:name="List 5"/>
    <w:lsdException w:qFormat="1" w:uiPriority="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0" w:name="Message Header"/>
    <w:lsdException w:qFormat="1" w:unhideWhenUsed="0" w:uiPriority="0" w:semiHidden="0" w:name="Subtitle"/>
    <w:lsdException w:qFormat="1"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qFormat="1" w:uiPriority="0" w:name="Note Heading"/>
    <w:lsdException w:qFormat="1" w:uiPriority="0" w:name="Body Text 2"/>
    <w:lsdException w:qFormat="1" w:uiPriority="0" w:name="Body Text 3"/>
    <w:lsdException w:uiPriority="99" w:name="Body Text Indent 2"/>
    <w:lsdException w:qFormat="1" w:uiPriority="0" w:name="Body Text Indent 3"/>
    <w:lsdException w:qFormat="1" w:uiPriority="0" w:name="Block Text"/>
    <w:lsdException w:qFormat="1"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qFormat="1" w:uiPriority="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iPriority="0" w:name="Table Grid 1"/>
    <w:lsdException w:uiPriority="99" w:name="Table Grid 2"/>
    <w:lsdException w:uiPriority="99" w:name="Table Grid 3"/>
    <w:lsdException w:uiPriority="99" w:name="Table Grid 4"/>
    <w:lsdException w:qFormat="1" w:uiPriority="0" w:name="Table Grid 5"/>
    <w:lsdException w:uiPriority="99" w:name="Table Grid 6"/>
    <w:lsdException w:qFormat="1" w:uiPriority="0" w:name="Table Grid 7"/>
    <w:lsdException w:uiPriority="99" w:name="Table Grid 8"/>
    <w:lsdException w:uiPriority="99" w:name="Table List 1"/>
    <w:lsdException w:uiPriority="99" w:name="Table List 2"/>
    <w:lsdException w:qFormat="1" w:uiPriority="0"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qFormat="1"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36"/>
    <w:qFormat/>
    <w:uiPriority w:val="0"/>
    <w:pPr>
      <w:adjustRightInd w:val="0"/>
      <w:snapToGrid w:val="0"/>
      <w:spacing w:line="480" w:lineRule="exact"/>
      <w:jc w:val="center"/>
      <w:outlineLvl w:val="0"/>
    </w:pPr>
    <w:rPr>
      <w:b/>
      <w:bCs/>
      <w:kern w:val="44"/>
      <w:sz w:val="32"/>
      <w:szCs w:val="32"/>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Courier New"/>
      <w:b/>
      <w:bCs/>
      <w:sz w:val="32"/>
      <w:szCs w:val="32"/>
    </w:rPr>
  </w:style>
  <w:style w:type="paragraph" w:styleId="4">
    <w:name w:val="heading 3"/>
    <w:basedOn w:val="1"/>
    <w:next w:val="1"/>
    <w:link w:val="38"/>
    <w:qFormat/>
    <w:uiPriority w:val="9"/>
    <w:pPr>
      <w:keepNext/>
      <w:keepLines/>
      <w:spacing w:before="260" w:after="260" w:line="416" w:lineRule="auto"/>
      <w:outlineLvl w:val="2"/>
    </w:pPr>
    <w:rPr>
      <w:b/>
      <w:bCs/>
      <w:sz w:val="32"/>
      <w:szCs w:val="32"/>
    </w:rPr>
  </w:style>
  <w:style w:type="paragraph" w:styleId="5">
    <w:name w:val="heading 4"/>
    <w:basedOn w:val="1"/>
    <w:next w:val="1"/>
    <w:link w:val="39"/>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0"/>
    <w:qFormat/>
    <w:uiPriority w:val="9"/>
    <w:pPr>
      <w:keepNext/>
      <w:keepLines/>
      <w:adjustRightInd w:val="0"/>
      <w:spacing w:before="280" w:after="290" w:line="376" w:lineRule="atLeast"/>
      <w:textAlignment w:val="baseline"/>
      <w:outlineLvl w:val="4"/>
    </w:pPr>
    <w:rPr>
      <w:b/>
      <w:kern w:val="0"/>
      <w:sz w:val="28"/>
      <w:szCs w:val="20"/>
    </w:rPr>
  </w:style>
  <w:style w:type="paragraph" w:styleId="7">
    <w:name w:val="heading 6"/>
    <w:basedOn w:val="1"/>
    <w:next w:val="1"/>
    <w:link w:val="41"/>
    <w:qFormat/>
    <w:uiPriority w:val="9"/>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42"/>
    <w:qFormat/>
    <w:uiPriority w:val="0"/>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4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44"/>
    <w:qFormat/>
    <w:uiPriority w:val="0"/>
    <w:pPr>
      <w:keepNext/>
      <w:keepLines/>
      <w:numPr>
        <w:ilvl w:val="8"/>
        <w:numId w:val="1"/>
      </w:numPr>
      <w:spacing w:before="240" w:after="64" w:line="320" w:lineRule="auto"/>
      <w:ind w:firstLine="0"/>
      <w:outlineLvl w:val="8"/>
    </w:pPr>
    <w:rPr>
      <w:rFonts w:ascii="Arial" w:hAnsi="Arial" w:eastAsia="黑体"/>
      <w:szCs w:val="20"/>
    </w:rPr>
  </w:style>
  <w:style w:type="character" w:default="1" w:styleId="31">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styleId="11">
    <w:name w:val="List 3"/>
    <w:basedOn w:val="1"/>
    <w:next w:val="1"/>
    <w:qFormat/>
    <w:uiPriority w:val="0"/>
    <w:pPr>
      <w:spacing w:line="460" w:lineRule="exact"/>
      <w:ind w:left="100" w:leftChars="400" w:hanging="200" w:hangingChars="200"/>
    </w:pPr>
    <w:rPr>
      <w:sz w:val="26"/>
      <w:szCs w:val="26"/>
    </w:rPr>
  </w:style>
  <w:style w:type="paragraph" w:styleId="12">
    <w:name w:val="Normal Indent"/>
    <w:basedOn w:val="1"/>
    <w:link w:val="45"/>
    <w:qFormat/>
    <w:uiPriority w:val="0"/>
    <w:pPr>
      <w:ind w:firstLine="420" w:firstLineChars="200"/>
    </w:pPr>
  </w:style>
  <w:style w:type="paragraph" w:styleId="13">
    <w:name w:val="annotation text"/>
    <w:basedOn w:val="1"/>
    <w:link w:val="46"/>
    <w:unhideWhenUsed/>
    <w:qFormat/>
    <w:uiPriority w:val="0"/>
    <w:pPr>
      <w:jc w:val="left"/>
    </w:pPr>
  </w:style>
  <w:style w:type="paragraph" w:styleId="14">
    <w:name w:val="Salutation"/>
    <w:basedOn w:val="1"/>
    <w:next w:val="1"/>
    <w:link w:val="47"/>
    <w:qFormat/>
    <w:uiPriority w:val="0"/>
    <w:pPr>
      <w:adjustRightInd w:val="0"/>
      <w:spacing w:line="360" w:lineRule="auto"/>
      <w:jc w:val="left"/>
      <w:textAlignment w:val="baseline"/>
    </w:pPr>
    <w:rPr>
      <w:rFonts w:ascii="Arial" w:hAnsi="Arial" w:eastAsia="仿宋_GB2312" w:cs="Arial"/>
      <w:kern w:val="0"/>
      <w:sz w:val="28"/>
      <w:szCs w:val="20"/>
    </w:rPr>
  </w:style>
  <w:style w:type="paragraph" w:styleId="15">
    <w:name w:val="Body Text"/>
    <w:basedOn w:val="1"/>
    <w:link w:val="48"/>
    <w:qFormat/>
    <w:uiPriority w:val="0"/>
    <w:pPr>
      <w:spacing w:line="600" w:lineRule="exact"/>
      <w:ind w:right="235" w:rightChars="112"/>
    </w:pPr>
    <w:rPr>
      <w:rFonts w:ascii="Arial" w:hAnsi="Arial" w:eastAsia="仿宋_GB2312" w:cs="Arial"/>
      <w:sz w:val="28"/>
    </w:rPr>
  </w:style>
  <w:style w:type="paragraph" w:styleId="16">
    <w:name w:val="Body Text Indent"/>
    <w:basedOn w:val="1"/>
    <w:qFormat/>
    <w:uiPriority w:val="99"/>
    <w:pPr>
      <w:spacing w:after="120"/>
      <w:ind w:left="420" w:leftChars="200"/>
    </w:pPr>
    <w:rPr>
      <w:snapToGrid w:val="0"/>
      <w:kern w:val="0"/>
      <w:sz w:val="28"/>
    </w:rPr>
  </w:style>
  <w:style w:type="paragraph" w:styleId="17">
    <w:name w:val="Plain Text"/>
    <w:basedOn w:val="1"/>
    <w:link w:val="49"/>
    <w:qFormat/>
    <w:uiPriority w:val="0"/>
    <w:rPr>
      <w:rFonts w:ascii="ˎ̥" w:hAnsi="Courier New" w:cs="Times New Roman"/>
      <w:sz w:val="28"/>
      <w:szCs w:val="22"/>
    </w:rPr>
  </w:style>
  <w:style w:type="paragraph" w:styleId="18">
    <w:name w:val="Date"/>
    <w:basedOn w:val="1"/>
    <w:next w:val="1"/>
    <w:link w:val="50"/>
    <w:unhideWhenUsed/>
    <w:qFormat/>
    <w:uiPriority w:val="99"/>
    <w:pPr>
      <w:ind w:left="100" w:leftChars="2500"/>
    </w:pPr>
  </w:style>
  <w:style w:type="paragraph" w:styleId="19">
    <w:name w:val="Balloon Text"/>
    <w:basedOn w:val="1"/>
    <w:link w:val="51"/>
    <w:semiHidden/>
    <w:qFormat/>
    <w:uiPriority w:val="99"/>
    <w:rPr>
      <w:sz w:val="18"/>
      <w:szCs w:val="18"/>
    </w:rPr>
  </w:style>
  <w:style w:type="paragraph" w:styleId="20">
    <w:name w:val="footer"/>
    <w:basedOn w:val="1"/>
    <w:link w:val="52"/>
    <w:unhideWhenUsed/>
    <w:qFormat/>
    <w:uiPriority w:val="99"/>
    <w:pPr>
      <w:tabs>
        <w:tab w:val="center" w:pos="4153"/>
        <w:tab w:val="right" w:pos="8306"/>
      </w:tabs>
      <w:snapToGrid w:val="0"/>
      <w:jc w:val="left"/>
    </w:pPr>
    <w:rPr>
      <w:sz w:val="18"/>
      <w:szCs w:val="18"/>
    </w:rPr>
  </w:style>
  <w:style w:type="paragraph" w:styleId="21">
    <w:name w:val="header"/>
    <w:basedOn w:val="1"/>
    <w:link w:val="5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style>
  <w:style w:type="paragraph" w:styleId="23">
    <w:name w:val="toc 2"/>
    <w:basedOn w:val="1"/>
    <w:next w:val="1"/>
    <w:unhideWhenUsed/>
    <w:qFormat/>
    <w:uiPriority w:val="39"/>
    <w:pPr>
      <w:ind w:left="420" w:leftChars="200"/>
    </w:pPr>
  </w:style>
  <w:style w:type="paragraph" w:styleId="24">
    <w:name w:val="Normal (Web)"/>
    <w:basedOn w:val="1"/>
    <w:unhideWhenUsed/>
    <w:qFormat/>
    <w:uiPriority w:val="0"/>
    <w:pPr>
      <w:spacing w:before="100" w:beforeAutospacing="1" w:after="100" w:afterAutospacing="1"/>
      <w:ind w:left="0" w:right="0"/>
      <w:jc w:val="left"/>
    </w:pPr>
    <w:rPr>
      <w:kern w:val="0"/>
      <w:sz w:val="24"/>
      <w:lang w:val="en-US" w:eastAsia="zh-CN" w:bidi="ar"/>
    </w:rPr>
  </w:style>
  <w:style w:type="paragraph" w:styleId="25">
    <w:name w:val="Title"/>
    <w:basedOn w:val="1"/>
    <w:next w:val="1"/>
    <w:link w:val="54"/>
    <w:qFormat/>
    <w:uiPriority w:val="0"/>
    <w:pPr>
      <w:spacing w:before="240" w:after="60"/>
      <w:jc w:val="center"/>
      <w:outlineLvl w:val="0"/>
    </w:pPr>
    <w:rPr>
      <w:rFonts w:ascii="等线 Light" w:hAnsi="等线 Light" w:cs="Times New Roman"/>
      <w:b/>
      <w:bCs/>
      <w:sz w:val="32"/>
      <w:szCs w:val="32"/>
    </w:rPr>
  </w:style>
  <w:style w:type="paragraph" w:styleId="26">
    <w:name w:val="annotation subject"/>
    <w:basedOn w:val="13"/>
    <w:next w:val="13"/>
    <w:link w:val="55"/>
    <w:unhideWhenUsed/>
    <w:qFormat/>
    <w:uiPriority w:val="99"/>
    <w:rPr>
      <w:b/>
      <w:bCs/>
    </w:rPr>
  </w:style>
  <w:style w:type="paragraph" w:styleId="27">
    <w:name w:val="Body Text First Indent"/>
    <w:basedOn w:val="15"/>
    <w:qFormat/>
    <w:uiPriority w:val="0"/>
    <w:pPr>
      <w:ind w:firstLine="420" w:firstLineChars="100"/>
    </w:pPr>
  </w:style>
  <w:style w:type="paragraph" w:styleId="28">
    <w:name w:val="Body Text First Indent 2"/>
    <w:basedOn w:val="16"/>
    <w:qFormat/>
    <w:uiPriority w:val="0"/>
    <w:pPr>
      <w:spacing w:line="360" w:lineRule="auto"/>
      <w:ind w:firstLine="210" w:firstLineChars="200"/>
    </w:pPr>
    <w:rPr>
      <w:kern w:val="2"/>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rPr>
  </w:style>
  <w:style w:type="character" w:styleId="33">
    <w:name w:val="page number"/>
    <w:basedOn w:val="31"/>
    <w:qFormat/>
    <w:uiPriority w:val="0"/>
  </w:style>
  <w:style w:type="character" w:styleId="34">
    <w:name w:val="Hyperlink"/>
    <w:basedOn w:val="31"/>
    <w:unhideWhenUsed/>
    <w:qFormat/>
    <w:uiPriority w:val="99"/>
    <w:rPr>
      <w:color w:val="0000FF"/>
      <w:u w:val="single"/>
    </w:rPr>
  </w:style>
  <w:style w:type="character" w:styleId="35">
    <w:name w:val="annotation reference"/>
    <w:unhideWhenUsed/>
    <w:qFormat/>
    <w:uiPriority w:val="0"/>
    <w:rPr>
      <w:sz w:val="21"/>
      <w:szCs w:val="21"/>
    </w:rPr>
  </w:style>
  <w:style w:type="character" w:customStyle="1" w:styleId="36">
    <w:name w:val="标题 1 字符"/>
    <w:link w:val="2"/>
    <w:qFormat/>
    <w:uiPriority w:val="0"/>
    <w:rPr>
      <w:rFonts w:ascii="Times New Roman" w:hAnsi="Times New Roman" w:eastAsia="宋体" w:cs="Times New Roman"/>
      <w:b/>
      <w:bCs/>
      <w:kern w:val="44"/>
      <w:sz w:val="32"/>
      <w:szCs w:val="32"/>
    </w:rPr>
  </w:style>
  <w:style w:type="character" w:customStyle="1" w:styleId="37">
    <w:name w:val="标题 2 字符"/>
    <w:link w:val="3"/>
    <w:qFormat/>
    <w:uiPriority w:val="9"/>
    <w:rPr>
      <w:rFonts w:ascii="Arial" w:hAnsi="Arial" w:eastAsia="Courier New" w:cs="Times New Roman"/>
      <w:b/>
      <w:bCs/>
      <w:sz w:val="32"/>
      <w:szCs w:val="32"/>
    </w:rPr>
  </w:style>
  <w:style w:type="character" w:customStyle="1" w:styleId="38">
    <w:name w:val="标题 3 字符"/>
    <w:link w:val="4"/>
    <w:qFormat/>
    <w:uiPriority w:val="9"/>
    <w:rPr>
      <w:rFonts w:ascii="Times New Roman" w:hAnsi="Times New Roman" w:eastAsia="宋体" w:cs="Times New Roman"/>
      <w:b/>
      <w:bCs/>
      <w:sz w:val="32"/>
      <w:szCs w:val="32"/>
    </w:rPr>
  </w:style>
  <w:style w:type="character" w:customStyle="1" w:styleId="39">
    <w:name w:val="标题 4 字符"/>
    <w:link w:val="5"/>
    <w:qFormat/>
    <w:uiPriority w:val="0"/>
    <w:rPr>
      <w:rFonts w:ascii="Arial" w:hAnsi="Arial" w:eastAsia="黑体" w:cs="Times New Roman"/>
      <w:b/>
      <w:bCs/>
      <w:sz w:val="28"/>
      <w:szCs w:val="28"/>
    </w:rPr>
  </w:style>
  <w:style w:type="character" w:customStyle="1" w:styleId="40">
    <w:name w:val="标题 5 字符"/>
    <w:link w:val="6"/>
    <w:qFormat/>
    <w:uiPriority w:val="0"/>
    <w:rPr>
      <w:rFonts w:ascii="Times New Roman" w:hAnsi="Times New Roman" w:eastAsia="宋体" w:cs="Times New Roman"/>
      <w:b/>
      <w:kern w:val="0"/>
      <w:sz w:val="28"/>
      <w:szCs w:val="20"/>
    </w:rPr>
  </w:style>
  <w:style w:type="character" w:customStyle="1" w:styleId="41">
    <w:name w:val="标题 6 字符"/>
    <w:link w:val="7"/>
    <w:qFormat/>
    <w:uiPriority w:val="0"/>
    <w:rPr>
      <w:rFonts w:ascii="Arial" w:hAnsi="Arial" w:eastAsia="黑体" w:cs="Times New Roman"/>
      <w:b/>
      <w:kern w:val="0"/>
      <w:sz w:val="24"/>
      <w:szCs w:val="20"/>
    </w:rPr>
  </w:style>
  <w:style w:type="character" w:customStyle="1" w:styleId="42">
    <w:name w:val="标题 7 字符"/>
    <w:link w:val="8"/>
    <w:qFormat/>
    <w:uiPriority w:val="0"/>
    <w:rPr>
      <w:rFonts w:ascii="Times New Roman" w:hAnsi="Times New Roman" w:eastAsia="宋体" w:cs="Times New Roman"/>
      <w:b/>
      <w:kern w:val="0"/>
      <w:sz w:val="24"/>
      <w:szCs w:val="20"/>
    </w:rPr>
  </w:style>
  <w:style w:type="character" w:customStyle="1" w:styleId="43">
    <w:name w:val="标题 8 字符"/>
    <w:link w:val="9"/>
    <w:qFormat/>
    <w:uiPriority w:val="0"/>
    <w:rPr>
      <w:rFonts w:ascii="Arial" w:hAnsi="Arial" w:eastAsia="黑体" w:cs="Times New Roman"/>
      <w:kern w:val="0"/>
      <w:sz w:val="24"/>
      <w:szCs w:val="20"/>
    </w:rPr>
  </w:style>
  <w:style w:type="character" w:customStyle="1" w:styleId="44">
    <w:name w:val="标题 9 字符"/>
    <w:link w:val="10"/>
    <w:qFormat/>
    <w:uiPriority w:val="0"/>
    <w:rPr>
      <w:rFonts w:ascii="Arial" w:hAnsi="Arial" w:eastAsia="黑体" w:cs="Times New Roman"/>
      <w:szCs w:val="20"/>
    </w:rPr>
  </w:style>
  <w:style w:type="character" w:customStyle="1" w:styleId="45">
    <w:name w:val="正文缩进 字符"/>
    <w:link w:val="12"/>
    <w:qFormat/>
    <w:uiPriority w:val="0"/>
    <w:rPr>
      <w:kern w:val="2"/>
      <w:sz w:val="21"/>
      <w:szCs w:val="24"/>
    </w:rPr>
  </w:style>
  <w:style w:type="character" w:customStyle="1" w:styleId="46">
    <w:name w:val="批注文字 字符2"/>
    <w:link w:val="13"/>
    <w:semiHidden/>
    <w:qFormat/>
    <w:uiPriority w:val="99"/>
    <w:rPr>
      <w:kern w:val="2"/>
      <w:sz w:val="21"/>
      <w:szCs w:val="24"/>
    </w:rPr>
  </w:style>
  <w:style w:type="character" w:customStyle="1" w:styleId="47">
    <w:name w:val="称呼 字符"/>
    <w:link w:val="14"/>
    <w:qFormat/>
    <w:uiPriority w:val="0"/>
    <w:rPr>
      <w:rFonts w:ascii="Arial" w:hAnsi="Arial" w:eastAsia="仿宋_GB2312" w:cs="Arial"/>
      <w:sz w:val="28"/>
    </w:rPr>
  </w:style>
  <w:style w:type="character" w:customStyle="1" w:styleId="48">
    <w:name w:val="正文文本 字符"/>
    <w:link w:val="15"/>
    <w:qFormat/>
    <w:uiPriority w:val="0"/>
    <w:rPr>
      <w:rFonts w:ascii="Arial" w:hAnsi="Arial" w:eastAsia="仿宋_GB2312" w:cs="Arial"/>
      <w:kern w:val="2"/>
      <w:sz w:val="28"/>
      <w:szCs w:val="24"/>
    </w:rPr>
  </w:style>
  <w:style w:type="character" w:customStyle="1" w:styleId="49">
    <w:name w:val="纯文本 字符"/>
    <w:link w:val="17"/>
    <w:qFormat/>
    <w:uiPriority w:val="0"/>
    <w:rPr>
      <w:rFonts w:ascii="ˎ̥" w:hAnsi="Courier New" w:cs="Times New Roman"/>
      <w:kern w:val="2"/>
      <w:sz w:val="28"/>
      <w:szCs w:val="22"/>
    </w:rPr>
  </w:style>
  <w:style w:type="character" w:customStyle="1" w:styleId="50">
    <w:name w:val="日期 字符"/>
    <w:link w:val="18"/>
    <w:semiHidden/>
    <w:qFormat/>
    <w:uiPriority w:val="99"/>
    <w:rPr>
      <w:rFonts w:ascii="宋体" w:hAnsi="宋体" w:cs="宋体"/>
      <w:sz w:val="24"/>
      <w:szCs w:val="24"/>
    </w:rPr>
  </w:style>
  <w:style w:type="character" w:customStyle="1" w:styleId="51">
    <w:name w:val="批注框文本 字符"/>
    <w:link w:val="19"/>
    <w:semiHidden/>
    <w:qFormat/>
    <w:uiPriority w:val="99"/>
    <w:rPr>
      <w:kern w:val="2"/>
      <w:sz w:val="18"/>
      <w:szCs w:val="18"/>
    </w:rPr>
  </w:style>
  <w:style w:type="character" w:customStyle="1" w:styleId="52">
    <w:name w:val="页脚 字符"/>
    <w:link w:val="20"/>
    <w:qFormat/>
    <w:uiPriority w:val="99"/>
    <w:rPr>
      <w:kern w:val="2"/>
      <w:sz w:val="18"/>
      <w:szCs w:val="18"/>
    </w:rPr>
  </w:style>
  <w:style w:type="character" w:customStyle="1" w:styleId="53">
    <w:name w:val="页眉 字符1"/>
    <w:link w:val="21"/>
    <w:qFormat/>
    <w:uiPriority w:val="0"/>
    <w:rPr>
      <w:kern w:val="2"/>
      <w:sz w:val="18"/>
      <w:szCs w:val="18"/>
    </w:rPr>
  </w:style>
  <w:style w:type="character" w:customStyle="1" w:styleId="54">
    <w:name w:val="标题 字符"/>
    <w:link w:val="25"/>
    <w:qFormat/>
    <w:uiPriority w:val="0"/>
    <w:rPr>
      <w:rFonts w:ascii="等线 Light" w:hAnsi="等线 Light" w:cs="Times New Roman"/>
      <w:b/>
      <w:bCs/>
      <w:kern w:val="2"/>
      <w:sz w:val="32"/>
      <w:szCs w:val="32"/>
    </w:rPr>
  </w:style>
  <w:style w:type="character" w:customStyle="1" w:styleId="55">
    <w:name w:val="批注主题 字符"/>
    <w:link w:val="26"/>
    <w:semiHidden/>
    <w:qFormat/>
    <w:uiPriority w:val="99"/>
    <w:rPr>
      <w:b/>
      <w:bCs/>
      <w:kern w:val="2"/>
      <w:sz w:val="21"/>
      <w:szCs w:val="24"/>
    </w:rPr>
  </w:style>
  <w:style w:type="paragraph" w:customStyle="1" w:styleId="56">
    <w:name w:val="zm--正文"/>
    <w:basedOn w:val="1"/>
    <w:link w:val="57"/>
    <w:qFormat/>
    <w:uiPriority w:val="0"/>
    <w:pPr>
      <w:adjustRightInd w:val="0"/>
      <w:snapToGrid w:val="0"/>
      <w:spacing w:line="480" w:lineRule="exact"/>
      <w:ind w:firstLine="520" w:firstLineChars="200"/>
    </w:pPr>
    <w:rPr>
      <w:color w:val="7030A0"/>
      <w:sz w:val="26"/>
      <w:szCs w:val="26"/>
    </w:rPr>
  </w:style>
  <w:style w:type="character" w:customStyle="1" w:styleId="57">
    <w:name w:val="zm--正文 Char"/>
    <w:link w:val="56"/>
    <w:qFormat/>
    <w:uiPriority w:val="0"/>
    <w:rPr>
      <w:color w:val="7030A0"/>
      <w:kern w:val="2"/>
      <w:sz w:val="26"/>
      <w:szCs w:val="26"/>
    </w:rPr>
  </w:style>
  <w:style w:type="paragraph" w:customStyle="1" w:styleId="58">
    <w:name w:val="zm--表头"/>
    <w:basedOn w:val="1"/>
    <w:link w:val="59"/>
    <w:qFormat/>
    <w:uiPriority w:val="0"/>
    <w:pPr>
      <w:adjustRightInd w:val="0"/>
      <w:snapToGrid w:val="0"/>
      <w:jc w:val="center"/>
    </w:pPr>
    <w:rPr>
      <w:rFonts w:eastAsia="宋体"/>
      <w:b/>
      <w:sz w:val="26"/>
      <w:szCs w:val="26"/>
    </w:rPr>
  </w:style>
  <w:style w:type="character" w:customStyle="1" w:styleId="59">
    <w:name w:val="zm--表头 Char"/>
    <w:link w:val="58"/>
    <w:qFormat/>
    <w:uiPriority w:val="0"/>
    <w:rPr>
      <w:rFonts w:eastAsia="宋体"/>
      <w:b/>
      <w:kern w:val="2"/>
      <w:sz w:val="26"/>
      <w:szCs w:val="26"/>
    </w:rPr>
  </w:style>
  <w:style w:type="paragraph" w:customStyle="1" w:styleId="60">
    <w:name w:val="zm--表内"/>
    <w:basedOn w:val="1"/>
    <w:link w:val="61"/>
    <w:qFormat/>
    <w:uiPriority w:val="0"/>
    <w:pPr>
      <w:adjustRightInd w:val="0"/>
      <w:snapToGrid w:val="0"/>
      <w:jc w:val="center"/>
    </w:pPr>
    <w:rPr>
      <w:rFonts w:eastAsia="宋体"/>
      <w:sz w:val="22"/>
      <w:szCs w:val="22"/>
    </w:rPr>
  </w:style>
  <w:style w:type="character" w:customStyle="1" w:styleId="61">
    <w:name w:val="zm--表内 Char"/>
    <w:link w:val="60"/>
    <w:qFormat/>
    <w:uiPriority w:val="0"/>
    <w:rPr>
      <w:rFonts w:eastAsia="宋体"/>
      <w:kern w:val="2"/>
      <w:sz w:val="22"/>
      <w:szCs w:val="22"/>
    </w:rPr>
  </w:style>
  <w:style w:type="paragraph" w:customStyle="1" w:styleId="6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3">
    <w:name w:val="修订2"/>
    <w:semiHidden/>
    <w:qFormat/>
    <w:uiPriority w:val="0"/>
    <w:rPr>
      <w:rFonts w:ascii="Times New Roman" w:hAnsi="Times New Roman" w:eastAsia="宋体" w:cs="Times New Roman"/>
      <w:kern w:val="2"/>
      <w:sz w:val="21"/>
      <w:szCs w:val="24"/>
      <w:lang w:val="en-US" w:eastAsia="zh-CN" w:bidi="ar-SA"/>
    </w:rPr>
  </w:style>
  <w:style w:type="paragraph" w:customStyle="1" w:styleId="64">
    <w:name w:val="zm--四级标题"/>
    <w:basedOn w:val="1"/>
    <w:link w:val="65"/>
    <w:qFormat/>
    <w:uiPriority w:val="0"/>
    <w:pPr>
      <w:spacing w:line="480" w:lineRule="exact"/>
      <w:ind w:firstLine="522" w:firstLineChars="200"/>
    </w:pPr>
    <w:rPr>
      <w:rFonts w:eastAsia="宋体"/>
      <w:b/>
      <w:sz w:val="26"/>
      <w:szCs w:val="26"/>
    </w:rPr>
  </w:style>
  <w:style w:type="character" w:customStyle="1" w:styleId="65">
    <w:name w:val="zm--四级标题 Char"/>
    <w:link w:val="64"/>
    <w:qFormat/>
    <w:uiPriority w:val="0"/>
    <w:rPr>
      <w:rFonts w:eastAsia="宋体"/>
      <w:b/>
      <w:kern w:val="2"/>
      <w:sz w:val="26"/>
      <w:szCs w:val="26"/>
    </w:rPr>
  </w:style>
  <w:style w:type="character" w:customStyle="1" w:styleId="66">
    <w:name w:val="纯文本 Char"/>
    <w:semiHidden/>
    <w:qFormat/>
    <w:uiPriority w:val="0"/>
    <w:rPr>
      <w:rFonts w:ascii="宋体" w:hAnsi="Courier New" w:cs="Courier New"/>
      <w:kern w:val="2"/>
      <w:sz w:val="21"/>
      <w:szCs w:val="21"/>
    </w:rPr>
  </w:style>
  <w:style w:type="paragraph" w:styleId="67">
    <w:name w:val="List Paragraph"/>
    <w:basedOn w:val="1"/>
    <w:link w:val="68"/>
    <w:qFormat/>
    <w:uiPriority w:val="0"/>
    <w:pPr>
      <w:ind w:firstLine="420" w:firstLineChars="200"/>
    </w:pPr>
  </w:style>
  <w:style w:type="character" w:customStyle="1" w:styleId="68">
    <w:name w:val="列表段落 字符"/>
    <w:link w:val="67"/>
    <w:qFormat/>
    <w:uiPriority w:val="0"/>
    <w:rPr>
      <w:kern w:val="2"/>
      <w:sz w:val="21"/>
      <w:szCs w:val="24"/>
    </w:rPr>
  </w:style>
  <w:style w:type="paragraph" w:customStyle="1" w:styleId="6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70">
    <w:name w:val="Table Grid_0"/>
    <w:basedOn w:val="29"/>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批注文字 Char4"/>
    <w:qFormat/>
    <w:uiPriority w:val="0"/>
    <w:rPr>
      <w:rFonts w:ascii="Times New Roman" w:hAnsi="Times New Roman" w:eastAsia="宋体" w:cs="Times New Roman"/>
      <w:szCs w:val="24"/>
    </w:rPr>
  </w:style>
  <w:style w:type="paragraph" w:customStyle="1" w:styleId="72">
    <w:name w:val="zm-表头"/>
    <w:basedOn w:val="1"/>
    <w:link w:val="73"/>
    <w:qFormat/>
    <w:uiPriority w:val="0"/>
    <w:pPr>
      <w:adjustRightInd w:val="0"/>
      <w:snapToGrid w:val="0"/>
      <w:jc w:val="center"/>
    </w:pPr>
    <w:rPr>
      <w:b/>
      <w:bCs/>
      <w:color w:val="0070C0"/>
      <w:sz w:val="26"/>
      <w:szCs w:val="26"/>
    </w:rPr>
  </w:style>
  <w:style w:type="character" w:customStyle="1" w:styleId="73">
    <w:name w:val="zm-表头 字符"/>
    <w:link w:val="72"/>
    <w:qFormat/>
    <w:uiPriority w:val="0"/>
    <w:rPr>
      <w:b/>
      <w:bCs/>
      <w:color w:val="0070C0"/>
      <w:kern w:val="2"/>
      <w:sz w:val="26"/>
      <w:szCs w:val="26"/>
    </w:rPr>
  </w:style>
  <w:style w:type="paragraph" w:customStyle="1" w:styleId="74">
    <w:name w:val="1-5"/>
    <w:qFormat/>
    <w:uiPriority w:val="0"/>
    <w:pPr>
      <w:keepNext/>
      <w:spacing w:line="360" w:lineRule="auto"/>
      <w:jc w:val="center"/>
    </w:pPr>
    <w:rPr>
      <w:rFonts w:ascii="Arial" w:hAnsi="Arial" w:eastAsia="宋体" w:cs="Times New Roman"/>
      <w:kern w:val="2"/>
      <w:sz w:val="24"/>
      <w:szCs w:val="28"/>
      <w:lang w:val="en-US" w:eastAsia="zh-CN" w:bidi="ar-SA"/>
    </w:rPr>
  </w:style>
  <w:style w:type="character" w:customStyle="1" w:styleId="75">
    <w:name w:val="批注文字 字符"/>
    <w:qFormat/>
    <w:uiPriority w:val="0"/>
    <w:rPr>
      <w:rFonts w:ascii="Arial" w:hAnsi="Arial" w:eastAsia="仿宋_GB2312" w:cs="Arial"/>
      <w:kern w:val="2"/>
      <w:sz w:val="21"/>
      <w:szCs w:val="24"/>
      <w:lang w:val="en-US" w:eastAsia="zh-CN" w:bidi="ar-SA"/>
    </w:rPr>
  </w:style>
  <w:style w:type="character" w:customStyle="1" w:styleId="76">
    <w:name w:val="页眉 字符"/>
    <w:qFormat/>
    <w:uiPriority w:val="0"/>
    <w:rPr>
      <w:rFonts w:eastAsia="宋体"/>
      <w:kern w:val="2"/>
      <w:sz w:val="21"/>
      <w:szCs w:val="18"/>
      <w:lang w:val="en-US" w:eastAsia="zh-CN" w:bidi="ar-SA"/>
    </w:rPr>
  </w:style>
  <w:style w:type="character" w:customStyle="1" w:styleId="77">
    <w:name w:val="表格字体（科宏） Char"/>
    <w:link w:val="78"/>
    <w:qFormat/>
    <w:uiPriority w:val="0"/>
    <w:rPr>
      <w:rFonts w:ascii="Arial" w:hAnsi="Arial" w:eastAsia="仿宋_GB2312" w:cs="Arial"/>
      <w:sz w:val="21"/>
    </w:rPr>
  </w:style>
  <w:style w:type="paragraph" w:customStyle="1" w:styleId="78">
    <w:name w:val="表格字体（科宏）"/>
    <w:basedOn w:val="79"/>
    <w:link w:val="77"/>
    <w:qFormat/>
    <w:uiPriority w:val="0"/>
    <w:pPr>
      <w:widowControl/>
      <w:jc w:val="center"/>
    </w:pPr>
    <w:rPr>
      <w:rFonts w:ascii="Arial" w:hAnsi="Arial" w:eastAsia="仿宋_GB2312" w:cs="Arial"/>
      <w:kern w:val="0"/>
      <w:szCs w:val="20"/>
    </w:rPr>
  </w:style>
  <w:style w:type="paragraph" w:customStyle="1" w:styleId="79">
    <w:name w:val="正文（科宏）"/>
    <w:qFormat/>
    <w:uiPriority w:val="0"/>
    <w:rPr>
      <w:rFonts w:ascii="Arial" w:hAnsi="Arial" w:eastAsia="仿宋_GB2312" w:cs="Times New Roman"/>
      <w:sz w:val="21"/>
      <w:lang w:val="en-US" w:eastAsia="zh-CN" w:bidi="ar-SA"/>
    </w:rPr>
  </w:style>
  <w:style w:type="paragraph" w:customStyle="1" w:styleId="80">
    <w:name w:val="zm环评表头"/>
    <w:basedOn w:val="1"/>
    <w:link w:val="81"/>
    <w:qFormat/>
    <w:uiPriority w:val="0"/>
    <w:pPr>
      <w:topLinePunct/>
      <w:adjustRightInd w:val="0"/>
      <w:snapToGrid w:val="0"/>
      <w:jc w:val="center"/>
    </w:pPr>
    <w:rPr>
      <w:b/>
      <w:color w:val="00B0F0"/>
      <w:sz w:val="26"/>
      <w:szCs w:val="26"/>
    </w:rPr>
  </w:style>
  <w:style w:type="character" w:customStyle="1" w:styleId="81">
    <w:name w:val="zm环评表头 Char"/>
    <w:link w:val="80"/>
    <w:qFormat/>
    <w:uiPriority w:val="0"/>
    <w:rPr>
      <w:b/>
      <w:color w:val="00B0F0"/>
      <w:kern w:val="2"/>
      <w:sz w:val="26"/>
      <w:szCs w:val="26"/>
    </w:rPr>
  </w:style>
  <w:style w:type="paragraph" w:customStyle="1" w:styleId="82">
    <w:name w:val="zm环评表内"/>
    <w:basedOn w:val="1"/>
    <w:link w:val="83"/>
    <w:qFormat/>
    <w:uiPriority w:val="0"/>
    <w:pPr>
      <w:adjustRightInd w:val="0"/>
      <w:snapToGrid w:val="0"/>
      <w:jc w:val="center"/>
    </w:pPr>
    <w:rPr>
      <w:color w:val="00B0F0"/>
      <w:sz w:val="22"/>
      <w:szCs w:val="22"/>
    </w:rPr>
  </w:style>
  <w:style w:type="character" w:customStyle="1" w:styleId="83">
    <w:name w:val="zm环评表内 Char"/>
    <w:link w:val="82"/>
    <w:qFormat/>
    <w:uiPriority w:val="0"/>
    <w:rPr>
      <w:color w:val="00B0F0"/>
      <w:kern w:val="2"/>
      <w:sz w:val="22"/>
      <w:szCs w:val="22"/>
    </w:rPr>
  </w:style>
  <w:style w:type="character" w:customStyle="1" w:styleId="84">
    <w:name w:val="！表头 字符"/>
    <w:link w:val="85"/>
    <w:qFormat/>
    <w:locked/>
    <w:uiPriority w:val="0"/>
    <w:rPr>
      <w:b/>
      <w:sz w:val="26"/>
    </w:rPr>
  </w:style>
  <w:style w:type="paragraph" w:customStyle="1" w:styleId="85">
    <w:name w:val="！表头"/>
    <w:link w:val="84"/>
    <w:qFormat/>
    <w:uiPriority w:val="0"/>
    <w:pPr>
      <w:adjustRightInd w:val="0"/>
      <w:snapToGrid w:val="0"/>
      <w:spacing w:line="480" w:lineRule="exact"/>
      <w:jc w:val="center"/>
    </w:pPr>
    <w:rPr>
      <w:rFonts w:ascii="Times New Roman" w:hAnsi="Times New Roman" w:eastAsia="宋体" w:cs="Times New Roman"/>
      <w:b/>
      <w:sz w:val="26"/>
      <w:lang w:val="en-US" w:eastAsia="zh-CN" w:bidi="ar-SA"/>
    </w:rPr>
  </w:style>
  <w:style w:type="character" w:customStyle="1" w:styleId="86">
    <w:name w:val="!表内 字符"/>
    <w:link w:val="87"/>
    <w:qFormat/>
    <w:uiPriority w:val="0"/>
    <w:rPr>
      <w:sz w:val="22"/>
    </w:rPr>
  </w:style>
  <w:style w:type="paragraph" w:customStyle="1" w:styleId="87">
    <w:name w:val="!表内"/>
    <w:link w:val="86"/>
    <w:qFormat/>
    <w:uiPriority w:val="0"/>
    <w:pPr>
      <w:adjustRightInd w:val="0"/>
      <w:snapToGrid w:val="0"/>
      <w:jc w:val="center"/>
    </w:pPr>
    <w:rPr>
      <w:rFonts w:ascii="Times New Roman" w:hAnsi="Times New Roman" w:eastAsia="宋体" w:cs="Times New Roman"/>
      <w:sz w:val="22"/>
      <w:lang w:val="en-US" w:eastAsia="zh-CN" w:bidi="ar-SA"/>
    </w:rPr>
  </w:style>
  <w:style w:type="paragraph" w:customStyle="1" w:styleId="88">
    <w:name w:val="！表前"/>
    <w:basedOn w:val="1"/>
    <w:qFormat/>
    <w:uiPriority w:val="0"/>
    <w:pPr>
      <w:widowControl/>
      <w:adjustRightInd w:val="0"/>
      <w:snapToGrid w:val="0"/>
      <w:jc w:val="center"/>
    </w:pPr>
    <w:rPr>
      <w:kern w:val="0"/>
      <w:sz w:val="26"/>
      <w:szCs w:val="26"/>
    </w:rPr>
  </w:style>
  <w:style w:type="character" w:customStyle="1" w:styleId="89">
    <w:name w:val="font61"/>
    <w:qFormat/>
    <w:uiPriority w:val="0"/>
    <w:rPr>
      <w:rFonts w:hint="eastAsia" w:ascii="仿宋" w:hAnsi="仿宋" w:eastAsia="仿宋" w:cs="仿宋"/>
      <w:color w:val="000000"/>
      <w:sz w:val="28"/>
      <w:szCs w:val="28"/>
      <w:u w:val="none"/>
    </w:rPr>
  </w:style>
  <w:style w:type="character" w:customStyle="1" w:styleId="90">
    <w:name w:val="font51"/>
    <w:qFormat/>
    <w:uiPriority w:val="0"/>
    <w:rPr>
      <w:rFonts w:hint="eastAsia" w:ascii="仿宋" w:hAnsi="仿宋" w:eastAsia="仿宋" w:cs="仿宋"/>
      <w:color w:val="000000"/>
      <w:sz w:val="28"/>
      <w:szCs w:val="28"/>
      <w:u w:val="none"/>
    </w:rPr>
  </w:style>
  <w:style w:type="character" w:customStyle="1" w:styleId="91">
    <w:name w:val="表格文字 Char"/>
    <w:link w:val="92"/>
    <w:qFormat/>
    <w:uiPriority w:val="0"/>
    <w:rPr>
      <w:kern w:val="2"/>
      <w:sz w:val="24"/>
    </w:rPr>
  </w:style>
  <w:style w:type="paragraph" w:customStyle="1" w:styleId="92">
    <w:name w:val="表格文字"/>
    <w:basedOn w:val="1"/>
    <w:link w:val="91"/>
    <w:qFormat/>
    <w:uiPriority w:val="0"/>
    <w:pPr>
      <w:adjustRightInd w:val="0"/>
      <w:snapToGrid w:val="0"/>
      <w:jc w:val="center"/>
      <w:textAlignment w:val="center"/>
    </w:pPr>
    <w:rPr>
      <w:sz w:val="24"/>
      <w:szCs w:val="20"/>
    </w:rPr>
  </w:style>
  <w:style w:type="paragraph" w:customStyle="1" w:styleId="93">
    <w:name w:val="!正文"/>
    <w:next w:val="1"/>
    <w:qFormat/>
    <w:uiPriority w:val="0"/>
    <w:pPr>
      <w:adjustRightInd w:val="0"/>
      <w:snapToGrid w:val="0"/>
      <w:spacing w:line="480" w:lineRule="exact"/>
      <w:ind w:firstLine="200" w:firstLineChars="200"/>
      <w:jc w:val="both"/>
    </w:pPr>
    <w:rPr>
      <w:rFonts w:ascii="Times New Roman" w:hAnsi="Times New Roman" w:eastAsia="宋体" w:cs="Times New Roman"/>
      <w:sz w:val="26"/>
      <w:lang w:val="en-US" w:eastAsia="zh-CN" w:bidi="ar-SA"/>
    </w:rPr>
  </w:style>
  <w:style w:type="character" w:customStyle="1" w:styleId="94">
    <w:name w:val="表名-中煤 Char"/>
    <w:link w:val="95"/>
    <w:qFormat/>
    <w:uiPriority w:val="0"/>
    <w:rPr>
      <w:color w:val="000000"/>
      <w:sz w:val="26"/>
      <w:szCs w:val="21"/>
      <w:lang w:val="zh-CN"/>
    </w:rPr>
  </w:style>
  <w:style w:type="paragraph" w:customStyle="1" w:styleId="95">
    <w:name w:val="表名-中煤"/>
    <w:basedOn w:val="1"/>
    <w:link w:val="94"/>
    <w:qFormat/>
    <w:uiPriority w:val="0"/>
    <w:pPr>
      <w:autoSpaceDE w:val="0"/>
      <w:autoSpaceDN w:val="0"/>
      <w:adjustRightInd w:val="0"/>
      <w:snapToGrid w:val="0"/>
      <w:ind w:firstLine="520"/>
      <w:jc w:val="center"/>
    </w:pPr>
    <w:rPr>
      <w:color w:val="000000"/>
      <w:kern w:val="0"/>
      <w:sz w:val="26"/>
      <w:szCs w:val="21"/>
      <w:lang w:val="zh-CN"/>
    </w:rPr>
  </w:style>
  <w:style w:type="character" w:customStyle="1" w:styleId="96">
    <w:name w:val="表文字 Char1"/>
    <w:link w:val="97"/>
    <w:qFormat/>
    <w:uiPriority w:val="0"/>
    <w:rPr>
      <w:szCs w:val="21"/>
    </w:rPr>
  </w:style>
  <w:style w:type="paragraph" w:customStyle="1" w:styleId="97">
    <w:name w:val="表文字"/>
    <w:link w:val="96"/>
    <w:qFormat/>
    <w:uiPriority w:val="0"/>
    <w:pPr>
      <w:widowControl w:val="0"/>
      <w:adjustRightInd w:val="0"/>
      <w:spacing w:line="240" w:lineRule="exact"/>
      <w:jc w:val="center"/>
      <w:textAlignment w:val="baseline"/>
    </w:pPr>
    <w:rPr>
      <w:rFonts w:ascii="Times New Roman" w:hAnsi="Times New Roman" w:eastAsia="宋体" w:cs="Times New Roman"/>
      <w:szCs w:val="21"/>
      <w:lang w:val="en-US" w:eastAsia="zh-CN" w:bidi="ar-SA"/>
    </w:rPr>
  </w:style>
  <w:style w:type="paragraph" w:customStyle="1" w:styleId="98">
    <w:name w:val="zm正文"/>
    <w:basedOn w:val="1"/>
    <w:qFormat/>
    <w:uiPriority w:val="0"/>
    <w:pPr>
      <w:adjustRightInd w:val="0"/>
      <w:snapToGrid w:val="0"/>
      <w:spacing w:line="480" w:lineRule="exact"/>
      <w:ind w:firstLine="520" w:firstLineChars="200"/>
    </w:pPr>
    <w:rPr>
      <w:rFonts w:ascii="宋体"/>
      <w:color w:val="0070C0"/>
      <w:kern w:val="0"/>
      <w:sz w:val="26"/>
      <w:szCs w:val="26"/>
    </w:rPr>
  </w:style>
  <w:style w:type="character" w:customStyle="1" w:styleId="99">
    <w:name w:val="马学海内容 Char"/>
    <w:link w:val="100"/>
    <w:qFormat/>
    <w:uiPriority w:val="0"/>
    <w:rPr>
      <w:rFonts w:ascii="新宋体" w:hAnsi="新宋体"/>
      <w:kern w:val="44"/>
      <w:sz w:val="24"/>
      <w:szCs w:val="24"/>
    </w:rPr>
  </w:style>
  <w:style w:type="paragraph" w:customStyle="1" w:styleId="100">
    <w:name w:val="马学海内容"/>
    <w:basedOn w:val="1"/>
    <w:link w:val="99"/>
    <w:qFormat/>
    <w:uiPriority w:val="0"/>
    <w:pPr>
      <w:tabs>
        <w:tab w:val="left" w:pos="5725"/>
        <w:tab w:val="left" w:pos="5880"/>
      </w:tabs>
      <w:spacing w:line="360" w:lineRule="auto"/>
      <w:ind w:firstLine="200" w:firstLineChars="200"/>
    </w:pPr>
    <w:rPr>
      <w:rFonts w:ascii="新宋体" w:hAnsi="新宋体"/>
      <w:kern w:val="44"/>
      <w:sz w:val="24"/>
    </w:rPr>
  </w:style>
  <w:style w:type="character" w:customStyle="1" w:styleId="101">
    <w:name w:val="批注文字 字符1"/>
    <w:qFormat/>
    <w:uiPriority w:val="0"/>
    <w:rPr>
      <w:kern w:val="2"/>
      <w:sz w:val="21"/>
      <w:szCs w:val="24"/>
    </w:rPr>
  </w:style>
  <w:style w:type="paragraph" w:customStyle="1" w:styleId="102">
    <w:name w:val="0正文"/>
    <w:basedOn w:val="1"/>
    <w:qFormat/>
    <w:uiPriority w:val="0"/>
    <w:pPr>
      <w:spacing w:line="460" w:lineRule="exact"/>
      <w:ind w:firstLine="200" w:firstLineChars="200"/>
    </w:pPr>
    <w:rPr>
      <w:rFonts w:cs="宋体"/>
      <w:kern w:val="0"/>
      <w:sz w:val="26"/>
      <w:szCs w:val="20"/>
    </w:rPr>
  </w:style>
  <w:style w:type="paragraph" w:customStyle="1" w:styleId="103">
    <w:name w:val="表中文字"/>
    <w:basedOn w:val="104"/>
    <w:qFormat/>
    <w:uiPriority w:val="0"/>
    <w:pPr>
      <w:keepNext/>
      <w:keepLines/>
      <w:spacing w:before="0" w:after="0" w:line="360" w:lineRule="exact"/>
      <w:ind w:firstLine="0"/>
      <w:jc w:val="center"/>
    </w:pPr>
    <w:rPr>
      <w:sz w:val="21"/>
      <w:szCs w:val="44"/>
    </w:rPr>
  </w:style>
  <w:style w:type="paragraph" w:customStyle="1" w:styleId="104">
    <w:name w:val="环评正文"/>
    <w:basedOn w:val="2"/>
    <w:qFormat/>
    <w:uiPriority w:val="0"/>
    <w:pPr>
      <w:adjustRightInd/>
      <w:snapToGrid/>
      <w:spacing w:before="60" w:after="60" w:line="400" w:lineRule="exact"/>
      <w:ind w:firstLine="484"/>
      <w:jc w:val="both"/>
      <w:outlineLvl w:val="9"/>
    </w:pPr>
    <w:rPr>
      <w:rFonts w:eastAsia="仿宋_GB2312"/>
      <w:b w:val="0"/>
      <w:sz w:val="24"/>
      <w:szCs w:val="28"/>
    </w:rPr>
  </w:style>
  <w:style w:type="paragraph" w:customStyle="1" w:styleId="105">
    <w:name w:val="正文样式 Char"/>
    <w:basedOn w:val="1"/>
    <w:qFormat/>
    <w:uiPriority w:val="0"/>
    <w:pPr>
      <w:adjustRightInd w:val="0"/>
      <w:snapToGrid w:val="0"/>
      <w:spacing w:line="480" w:lineRule="exact"/>
      <w:ind w:firstLine="200" w:firstLineChars="200"/>
    </w:pPr>
    <w:rPr>
      <w:color w:val="000000"/>
      <w:sz w:val="26"/>
      <w:szCs w:val="26"/>
    </w:rPr>
  </w:style>
  <w:style w:type="paragraph" w:customStyle="1" w:styleId="106">
    <w:name w:val="+1表格标题"/>
    <w:basedOn w:val="1"/>
    <w:qFormat/>
    <w:uiPriority w:val="0"/>
    <w:pPr>
      <w:tabs>
        <w:tab w:val="right" w:pos="8730"/>
      </w:tabs>
      <w:adjustRightInd w:val="0"/>
      <w:snapToGrid w:val="0"/>
      <w:jc w:val="center"/>
    </w:pPr>
    <w:rPr>
      <w:sz w:val="26"/>
      <w:szCs w:val="26"/>
    </w:rPr>
  </w:style>
  <w:style w:type="character" w:customStyle="1" w:styleId="107">
    <w:name w:val="font41"/>
    <w:basedOn w:val="31"/>
    <w:qFormat/>
    <w:uiPriority w:val="0"/>
    <w:rPr>
      <w:rFonts w:hint="default" w:ascii="Times New Roman" w:hAnsi="Times New Roman" w:cs="Times New Roman"/>
      <w:b/>
      <w:bCs/>
      <w:color w:val="000000"/>
      <w:sz w:val="21"/>
      <w:szCs w:val="21"/>
      <w:u w:val="none"/>
    </w:rPr>
  </w:style>
  <w:style w:type="paragraph" w:customStyle="1" w:styleId="108">
    <w:name w:val="+3单倍行距"/>
    <w:basedOn w:val="1"/>
    <w:qFormat/>
    <w:uiPriority w:val="0"/>
    <w:pPr>
      <w:adjustRightInd w:val="0"/>
      <w:snapToGrid w:val="0"/>
      <w:ind w:firstLine="200" w:firstLineChars="200"/>
    </w:pPr>
    <w:rPr>
      <w:rFonts w:cs="宋体"/>
      <w:snapToGrid w:val="0"/>
      <w:kern w:val="0"/>
      <w:sz w:val="26"/>
      <w:szCs w:val="20"/>
    </w:rPr>
  </w:style>
  <w:style w:type="paragraph" w:customStyle="1" w:styleId="109">
    <w:name w:val="+3正文"/>
    <w:basedOn w:val="1"/>
    <w:qFormat/>
    <w:uiPriority w:val="0"/>
    <w:pPr>
      <w:spacing w:line="460" w:lineRule="exact"/>
      <w:ind w:firstLine="200" w:firstLineChars="200"/>
    </w:pPr>
    <w:rPr>
      <w:rFonts w:cs="Calibri"/>
      <w:sz w:val="26"/>
      <w:szCs w:val="20"/>
    </w:rPr>
  </w:style>
  <w:style w:type="character" w:customStyle="1" w:styleId="110">
    <w:name w:val="font11"/>
    <w:basedOn w:val="31"/>
    <w:qFormat/>
    <w:uiPriority w:val="0"/>
    <w:rPr>
      <w:rFonts w:hint="eastAsia" w:ascii="宋体" w:hAnsi="宋体" w:eastAsia="宋体" w:cs="宋体"/>
      <w:b/>
      <w:bCs/>
      <w:color w:val="000000"/>
      <w:sz w:val="22"/>
      <w:szCs w:val="22"/>
      <w:u w:val="none"/>
    </w:rPr>
  </w:style>
  <w:style w:type="character" w:customStyle="1" w:styleId="111">
    <w:name w:val="font01"/>
    <w:basedOn w:val="31"/>
    <w:qFormat/>
    <w:uiPriority w:val="0"/>
    <w:rPr>
      <w:rFonts w:hint="eastAsia" w:ascii="宋体" w:hAnsi="宋体" w:eastAsia="宋体" w:cs="宋体"/>
      <w:color w:val="000000"/>
      <w:sz w:val="22"/>
      <w:szCs w:val="22"/>
      <w:u w:val="none"/>
    </w:rPr>
  </w:style>
  <w:style w:type="paragraph" w:customStyle="1" w:styleId="112">
    <w:name w:val="二级无标题条"/>
    <w:basedOn w:val="1"/>
    <w:qFormat/>
    <w:uiPriority w:val="0"/>
  </w:style>
  <w:style w:type="paragraph" w:customStyle="1" w:styleId="113">
    <w:name w:val="Table Text"/>
    <w:basedOn w:val="1"/>
    <w:semiHidden/>
    <w:qFormat/>
    <w:uiPriority w:val="0"/>
    <w:rPr>
      <w:rFonts w:ascii="宋体" w:hAnsi="宋体" w:eastAsia="宋体" w:cs="宋体"/>
      <w:sz w:val="21"/>
      <w:szCs w:val="21"/>
      <w:lang w:val="en-US" w:eastAsia="en-US" w:bidi="ar-SA"/>
    </w:rPr>
  </w:style>
  <w:style w:type="paragraph" w:customStyle="1" w:styleId="114">
    <w:name w:val="表格文字-中煤"/>
    <w:basedOn w:val="1"/>
    <w:next w:val="1"/>
    <w:qFormat/>
    <w:uiPriority w:val="0"/>
    <w:pPr>
      <w:widowControl/>
      <w:autoSpaceDE w:val="0"/>
      <w:autoSpaceDN w:val="0"/>
      <w:adjustRightInd w:val="0"/>
      <w:snapToGrid w:val="0"/>
      <w:jc w:val="center"/>
    </w:pPr>
    <w:rPr>
      <w:rFonts w:eastAsia="Times New Roman"/>
      <w:kern w:val="0"/>
      <w:sz w:val="22"/>
      <w:szCs w:val="21"/>
      <w:lang w:val="zh-CN"/>
    </w:rPr>
  </w:style>
  <w:style w:type="character" w:customStyle="1" w:styleId="115">
    <w:name w:val="font31"/>
    <w:basedOn w:val="31"/>
    <w:qFormat/>
    <w:uiPriority w:val="0"/>
    <w:rPr>
      <w:rFonts w:hint="default" w:ascii="Times New Roman" w:hAnsi="Times New Roman" w:cs="Times New Roman"/>
      <w:color w:val="000000"/>
      <w:sz w:val="28"/>
      <w:szCs w:val="28"/>
      <w:u w:val="none"/>
      <w:vertAlign w:val="superscript"/>
    </w:rPr>
  </w:style>
  <w:style w:type="character" w:customStyle="1" w:styleId="116">
    <w:name w:val="font21"/>
    <w:basedOn w:val="31"/>
    <w:qFormat/>
    <w:uiPriority w:val="0"/>
    <w:rPr>
      <w:rFonts w:ascii="仿宋" w:hAnsi="仿宋" w:eastAsia="仿宋" w:cs="仿宋"/>
      <w:color w:val="000000"/>
      <w:sz w:val="28"/>
      <w:szCs w:val="28"/>
      <w:u w:val="none"/>
    </w:rPr>
  </w:style>
  <w:style w:type="paragraph" w:customStyle="1" w:styleId="117">
    <w:name w:val="表格样式"/>
    <w:basedOn w:val="1"/>
    <w:qFormat/>
    <w:uiPriority w:val="0"/>
    <w:pPr>
      <w:tabs>
        <w:tab w:val="left" w:pos="7755"/>
      </w:tabs>
      <w:adjustRightInd/>
      <w:spacing w:line="240" w:lineRule="auto"/>
      <w:jc w:val="center"/>
      <w:textAlignment w:val="auto"/>
    </w:pPr>
    <w:rPr>
      <w:rFonts w:cs="宋体"/>
      <w:kern w:val="2"/>
      <w:sz w:val="21"/>
      <w:szCs w:val="24"/>
    </w:rPr>
  </w:style>
  <w:style w:type="paragraph" w:customStyle="1" w:styleId="118">
    <w:name w:val="样式9"/>
    <w:basedOn w:val="1"/>
    <w:qFormat/>
    <w:uiPriority w:val="0"/>
    <w:pPr>
      <w:spacing w:line="480" w:lineRule="exact"/>
      <w:ind w:firstLine="200" w:firstLineChars="200"/>
    </w:pPr>
    <w:rPr>
      <w:rFonts w:ascii="Calibri" w:hAnsi="Calibri" w:cs="Times New Roman"/>
      <w:sz w:val="26"/>
      <w:szCs w:val="26"/>
    </w:rPr>
  </w:style>
  <w:style w:type="paragraph" w:customStyle="1" w:styleId="119">
    <w:name w:val="表格字体（）"/>
    <w:basedOn w:val="1"/>
    <w:qFormat/>
    <w:uiPriority w:val="0"/>
    <w:pPr>
      <w:widowControl/>
      <w:jc w:val="center"/>
    </w:pPr>
    <w:rPr>
      <w:rFonts w:ascii="Arial" w:hAnsi="Arial" w:eastAsia="仿宋_GB2312"/>
      <w:kern w:val="0"/>
      <w:szCs w:val="20"/>
    </w:rPr>
  </w:style>
  <w:style w:type="paragraph" w:customStyle="1" w:styleId="120">
    <w:name w:val="5表标题"/>
    <w:qFormat/>
    <w:uiPriority w:val="0"/>
    <w:pPr>
      <w:adjustRightInd w:val="0"/>
      <w:snapToGrid w:val="0"/>
      <w:jc w:val="center"/>
    </w:pPr>
    <w:rPr>
      <w:rFonts w:ascii="Calibri" w:hAnsi="Calibri" w:eastAsia="宋体" w:cs="宋体"/>
      <w:b/>
      <w:bCs/>
      <w:kern w:val="2"/>
      <w:sz w:val="26"/>
      <w:szCs w:val="22"/>
      <w:lang w:val="en-US" w:eastAsia="zh-CN" w:bidi="ar-SA"/>
    </w:rPr>
  </w:style>
  <w:style w:type="paragraph" w:customStyle="1" w:styleId="121">
    <w:name w:val="+5三级标题"/>
    <w:basedOn w:val="102"/>
    <w:qFormat/>
    <w:uiPriority w:val="0"/>
    <w:pPr>
      <w:ind w:firstLine="522"/>
      <w:outlineLvl w:val="2"/>
    </w:pPr>
    <w:rPr>
      <w:b/>
    </w:rPr>
  </w:style>
  <w:style w:type="paragraph" w:customStyle="1" w:styleId="122">
    <w:name w:val="+2表内"/>
    <w:basedOn w:val="1"/>
    <w:qFormat/>
    <w:uiPriority w:val="0"/>
    <w:pPr>
      <w:jc w:val="center"/>
    </w:pPr>
    <w:rPr>
      <w:sz w:val="22"/>
    </w:rPr>
  </w:style>
  <w:style w:type="character" w:customStyle="1" w:styleId="123">
    <w:name w:val="font12"/>
    <w:basedOn w:val="31"/>
    <w:qFormat/>
    <w:uiPriority w:val="0"/>
    <w:rPr>
      <w:rFonts w:hint="eastAsia" w:ascii="宋体" w:hAnsi="宋体" w:eastAsia="宋体" w:cs="宋体"/>
      <w:b/>
      <w:bCs/>
      <w:color w:val="000000"/>
      <w:sz w:val="21"/>
      <w:szCs w:val="21"/>
      <w:u w:val="none"/>
    </w:rPr>
  </w:style>
  <w:style w:type="character" w:customStyle="1" w:styleId="124">
    <w:name w:val="font71"/>
    <w:basedOn w:val="31"/>
    <w:qFormat/>
    <w:uiPriority w:val="0"/>
    <w:rPr>
      <w:rFonts w:hint="default" w:ascii="Times New Roman" w:hAnsi="Times New Roman" w:cs="Times New Roman"/>
      <w:b/>
      <w:bCs/>
      <w:color w:val="000000"/>
      <w:sz w:val="22"/>
      <w:szCs w:val="22"/>
      <w:u w:val="none"/>
    </w:rPr>
  </w:style>
  <w:style w:type="character" w:customStyle="1" w:styleId="125">
    <w:name w:val="font81"/>
    <w:basedOn w:val="31"/>
    <w:qFormat/>
    <w:uiPriority w:val="0"/>
    <w:rPr>
      <w:rFonts w:hint="default" w:ascii="Times New Roman" w:hAnsi="Times New Roman" w:cs="Times New Roman"/>
      <w:b/>
      <w:bCs/>
      <w:color w:val="000000"/>
      <w:sz w:val="22"/>
      <w:szCs w:val="22"/>
      <w:u w:val="none"/>
      <w:vertAlign w:val="superscript"/>
    </w:rPr>
  </w:style>
  <w:style w:type="character" w:customStyle="1" w:styleId="126">
    <w:name w:val="font91"/>
    <w:basedOn w:val="31"/>
    <w:qFormat/>
    <w:uiPriority w:val="0"/>
    <w:rPr>
      <w:rFonts w:hint="default" w:ascii="Times New Roman" w:hAnsi="Times New Roman" w:cs="Times New Roman"/>
      <w:b/>
      <w:bCs/>
      <w:color w:val="000000"/>
      <w:sz w:val="21"/>
      <w:szCs w:val="21"/>
      <w:u w:val="none"/>
    </w:rPr>
  </w:style>
  <w:style w:type="character" w:customStyle="1" w:styleId="127">
    <w:name w:val="font101"/>
    <w:basedOn w:val="31"/>
    <w:qFormat/>
    <w:uiPriority w:val="0"/>
    <w:rPr>
      <w:rFonts w:hint="default" w:ascii="Times New Roman" w:hAnsi="Times New Roman" w:cs="Times New Roman"/>
      <w:color w:val="000000"/>
      <w:sz w:val="22"/>
      <w:szCs w:val="22"/>
      <w:u w:val="none"/>
      <w:vertAlign w:val="superscript"/>
    </w:rPr>
  </w:style>
  <w:style w:type="character" w:customStyle="1" w:styleId="128">
    <w:name w:val="font111"/>
    <w:basedOn w:val="31"/>
    <w:qFormat/>
    <w:uiPriority w:val="0"/>
    <w:rPr>
      <w:rFonts w:hint="default" w:ascii="Times New Roman" w:hAnsi="Times New Roman" w:cs="Times New Roman"/>
      <w:color w:val="000000"/>
      <w:sz w:val="22"/>
      <w:szCs w:val="22"/>
      <w:u w:val="none"/>
      <w:vertAlign w:val="superscript"/>
    </w:rPr>
  </w:style>
  <w:style w:type="paragraph" w:customStyle="1" w:styleId="129">
    <w:name w:val="样式15"/>
    <w:basedOn w:val="1"/>
    <w:qFormat/>
    <w:uiPriority w:val="0"/>
    <w:pPr>
      <w:spacing w:line="480" w:lineRule="exact"/>
      <w:ind w:firstLine="520" w:firstLineChars="200"/>
    </w:pPr>
    <w:rPr>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wmf"/><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wmf"/><Relationship Id="rId25" Type="http://schemas.openxmlformats.org/officeDocument/2006/relationships/oleObject" Target="embeddings/oleObject2.bin"/><Relationship Id="rId24" Type="http://schemas.openxmlformats.org/officeDocument/2006/relationships/image" Target="media/image17.png"/><Relationship Id="rId23" Type="http://schemas.openxmlformats.org/officeDocument/2006/relationships/image" Target="media/image16.wmf"/><Relationship Id="rId22" Type="http://schemas.openxmlformats.org/officeDocument/2006/relationships/oleObject" Target="embeddings/oleObject1.bin"/><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161</Pages>
  <Words>10251</Words>
  <Characters>11310</Characters>
  <Lines>722</Lines>
  <Paragraphs>203</Paragraphs>
  <TotalTime>11</TotalTime>
  <ScaleCrop>false</ScaleCrop>
  <LinksUpToDate>false</LinksUpToDate>
  <CharactersWithSpaces>11471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2023-06-23T08:26:00Z</dcterms:created>
  <dc:creator>Administrator</dc:creator>
  <cp:lastModifiedBy>水墨荷衣</cp:lastModifiedBy>
  <cp:lastPrinted>2020-12-20T18:57:00Z</cp:lastPrinted>
  <dcterms:modified xsi:type="dcterms:W3CDTF">2025-11-11T12:00:58Z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F1DCEDC18E464D71A5E7820503FE1156_13</vt:lpwstr>
  </property>
  <property fmtid="{D5CDD505-2E9C-101B-9397-08002B2CF9AE}" pid="4" name="KSOTemplateDocerSaveRecord">
    <vt:lpwstr>eyJoZGlkIjoiNGIzZjIzYzljNWUwODE0MGQ1NzY5YWQ3OGNjOWU2MzYiLCJ1c2VySWQiOiIzNzAxNzkwNTYifQ==</vt:lpwstr>
  </property>
  <property fmtid="{D5CDD505-2E9C-101B-9397-08002B2CF9AE}" pid="5" name="hmcheck_markmode">
    <vt:i4>0</vt:i4>
  </property>
  <property fmtid="{D5CDD505-2E9C-101B-9397-08002B2CF9AE}" pid="6" name="hmcheck_taskpanetype">
    <vt:i4>1</vt:i4>
  </property>
</Properties>
</file>