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80" w:lineRule="exact"/>
        <w:jc w:val="left"/>
        <w:rPr>
          <w:rFonts w:hint="eastAsia" w:eastAsia="方正黑体_GBK" w:cs="方正黑体_GBK"/>
        </w:rPr>
      </w:pPr>
      <w:bookmarkStart w:id="0" w:name="_GoBack"/>
      <w:bookmarkEnd w:id="0"/>
    </w:p>
    <w:p>
      <w:pPr>
        <w:spacing w:before="0" w:after="0" w:line="580" w:lineRule="exact"/>
        <w:jc w:val="center"/>
        <w:rPr>
          <w:rFonts w:hint="eastAsia" w:eastAsia="方正小标宋_GBK"/>
          <w:sz w:val="44"/>
          <w:szCs w:val="44"/>
        </w:rPr>
      </w:pPr>
      <w:r>
        <w:rPr>
          <w:rFonts w:hint="eastAsia" w:eastAsia="方正小标宋_GBK"/>
          <w:sz w:val="44"/>
          <w:szCs w:val="44"/>
        </w:rPr>
        <w:t>重庆市</w:t>
      </w:r>
      <w:r>
        <w:rPr>
          <w:rFonts w:hint="eastAsia" w:eastAsia="方正小标宋_GBK"/>
          <w:sz w:val="44"/>
          <w:szCs w:val="44"/>
          <w:lang w:val="en-US" w:eastAsia="zh-CN"/>
        </w:rPr>
        <w:t>綦江区</w:t>
      </w:r>
      <w:r>
        <w:rPr>
          <w:rFonts w:hint="eastAsia" w:eastAsia="方正小标宋_GBK"/>
          <w:sz w:val="44"/>
          <w:szCs w:val="44"/>
        </w:rPr>
        <w:t>公共资源交易领域基层政务公开标准目录</w:t>
      </w:r>
    </w:p>
    <w:p>
      <w:pPr>
        <w:spacing w:before="0" w:after="0" w:line="580" w:lineRule="exact"/>
        <w:jc w:val="center"/>
        <w:rPr>
          <w:rFonts w:eastAsia="方正小标宋_GBK"/>
          <w:sz w:val="44"/>
          <w:szCs w:val="44"/>
        </w:rPr>
      </w:pPr>
    </w:p>
    <w:tbl>
      <w:tblPr>
        <w:tblStyle w:val="7"/>
        <w:tblW w:w="223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5" w:hRule="atLeast"/>
          <w:tblHeader/>
          <w:jc w:val="center"/>
        </w:trPr>
        <w:tc>
          <w:tcPr>
            <w:tcW w:w="1207"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序号</w:t>
            </w:r>
          </w:p>
        </w:tc>
        <w:tc>
          <w:tcPr>
            <w:tcW w:w="2823"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公开事项</w:t>
            </w:r>
          </w:p>
        </w:tc>
        <w:tc>
          <w:tcPr>
            <w:tcW w:w="3061"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公开内容（要素）</w:t>
            </w:r>
          </w:p>
        </w:tc>
        <w:tc>
          <w:tcPr>
            <w:tcW w:w="3083"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公开依据</w:t>
            </w:r>
          </w:p>
        </w:tc>
        <w:tc>
          <w:tcPr>
            <w:tcW w:w="1674"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公开时限</w:t>
            </w:r>
          </w:p>
        </w:tc>
        <w:tc>
          <w:tcPr>
            <w:tcW w:w="1942"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公开主体</w:t>
            </w:r>
          </w:p>
        </w:tc>
        <w:tc>
          <w:tcPr>
            <w:tcW w:w="3756"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公开渠道和载体</w:t>
            </w:r>
          </w:p>
        </w:tc>
        <w:tc>
          <w:tcPr>
            <w:tcW w:w="228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公开对象</w:t>
            </w:r>
          </w:p>
        </w:tc>
        <w:tc>
          <w:tcPr>
            <w:tcW w:w="250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tblHeader/>
          <w:jc w:val="center"/>
        </w:trPr>
        <w:tc>
          <w:tcPr>
            <w:tcW w:w="1207"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50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一级事项</w:t>
            </w:r>
          </w:p>
        </w:tc>
        <w:tc>
          <w:tcPr>
            <w:tcW w:w="132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二级事项</w:t>
            </w:r>
          </w:p>
        </w:tc>
        <w:tc>
          <w:tcPr>
            <w:tcW w:w="3061"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083"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674"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942"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756"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01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全社会</w:t>
            </w:r>
          </w:p>
        </w:tc>
        <w:tc>
          <w:tcPr>
            <w:tcW w:w="1274"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特定群体（写明）</w:t>
            </w:r>
          </w:p>
        </w:tc>
        <w:tc>
          <w:tcPr>
            <w:tcW w:w="1077"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主动</w:t>
            </w:r>
          </w:p>
        </w:tc>
        <w:tc>
          <w:tcPr>
            <w:tcW w:w="143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政策法规</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有关法律、法规、规章、规范性文件等全文。</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《国务院办公厅关于印发政府网站发展指引的通知》《国务院办公厅关于加强政府网站信息内容建设的意见》《中华人民共和国政府信息公开条例》</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 xml:space="preserve">精准推送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审批核准信息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招标内容、招标范围、招标组织形式、招标方式、招标估算金额、招标事项审核或核准部门。</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《招标投标法实施条例》、《中华人民共和国政府信息公开条例》《国务院办公厅关于推进公共资源配置领域政府信息公开的意见》（国办发〔2017〕97号）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相关项目审批部门</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入户</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社区</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企事业单位</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管理部门网站</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违反招标投标法律法规行为的行政执法</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行政执法依据，行政处罚自由裁量基准，</w:t>
            </w:r>
            <w:r>
              <w:rPr>
                <w:rFonts w:hint="eastAsia" w:ascii="方正仿宋_GBK" w:hAnsi="方正仿宋_GBK" w:cs="方正仿宋_GBK"/>
                <w:bCs/>
                <w:sz w:val="24"/>
                <w:szCs w:val="24"/>
              </w:rPr>
              <w:t>具有一定的社会影响的行政处罚决定书。</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《中华人民共和国行政处罚法》、《重庆市全面推行行政执法公示制度执法全过程记录制度重大执法决定法制审核制度实施方案》等</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处罚决定7个工作日内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w:t>
            </w:r>
            <w:r>
              <w:rPr>
                <w:rFonts w:hint="default" w:ascii="方正仿宋_GBK" w:hAnsi="方正仿宋_GBK" w:cs="方正仿宋_GBK"/>
                <w:bCs/>
                <w:kern w:val="2"/>
                <w:sz w:val="24"/>
                <w:szCs w:val="24"/>
              </w:rPr>
              <w:t>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4</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市场主体信用信息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          □精准推送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      ■交易监督网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5</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6</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9"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7</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招标公告、招标文件、资格预审文件澄清或修改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 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澄清或者修改的内容可能影响资格预审申请文件或者投标文件编制的，在提交资格预审申请文件截止时间至少3日前，或者投标截止时间至少15日前</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 xml:space="preserve">■公共资源交易平台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8</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中标候选人公示</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依法必须进行招标的项目，招标人应当自收到评标报告之日起3日内公示中标候选人，公示期不得少于3日</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9</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中标结果</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招标项目名称、中标人名称、中标价、工期、项目负责人、中标内容。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3"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10</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公示、公告信息澄清、修改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6"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11</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暂停、终止招标</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招标人名称、招标项目名称、招标项目编号、本项目首次公告日期、招标暂停或终止原因、联系方式、其他事项。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12</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合同订立信息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包括项目名称、合同双方名称、合同价款、签约时间、合同期限。</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2"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合同履行及变更信息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项目名称、标段名称、建设单位、承包人、项目完成质量、期限、结算金额、合同发生的变更、解除合同通知书、违约行为的处理结果。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展改革委等八部委2013年第20号令）</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11"/>
                <w:kern w:val="2"/>
                <w:sz w:val="24"/>
                <w:szCs w:val="24"/>
              </w:rPr>
              <w:t>鼓励及时公开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w:t>
            </w:r>
            <w:r>
              <w:rPr>
                <w:rFonts w:hint="eastAsia" w:ascii="方正仿宋_GBK" w:hAnsi="方正仿宋_GBK" w:cs="方正仿宋_GBK"/>
                <w:bCs/>
                <w:spacing w:val="-11"/>
                <w:kern w:val="2"/>
                <w:sz w:val="24"/>
                <w:szCs w:val="24"/>
              </w:rPr>
              <w:t>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政府采购意向公告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采购意向公开的内容应当包括采购项目名称、采购需求概况、预算金额、预计采购时间等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关于开展政府采购意向公开工作的通知（财库〔2020〕10号）</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原则上不得晚于采购活动开始前30日公开采购意向</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竞争性谈判公告、竞争性磋商公告和询价公告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及时公开，公告期限为3个工作日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采购项目预算金额</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随采购公告、采购文件公开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采购文件</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招标文件、竞争性谈判文件、竞争性磋商文件和询价通知书。</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随中标、成交结果同时公告。中标、成交结果公告前采购文件已公告的，不再重复公告</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采购信息更正公告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采购人和采购代理机构名称、地址、联系方式；原公告的采购项目名称及首次公告日期；更正事项、内容及日期；采购项目联系人和电话。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3"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单一来源公示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《国务院办公厅关于推进公共资源配置领域政府信息公开的意见》、《财政部关于做好政府采购信息公开工作的通知》《重庆市单一来源采购申报及审批管理规定》（渝财采购〔2016〕56号）</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及时公开，公示期限不得少于5个工作日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协议供货和定点采购的具体成交记录</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采购人和成交供应商的名称、成交金额以及成交标的的名称、规格型号、数量、单价等。电子卖场、电子商城、网上超市等的具体成交记录，也应当予以公开。</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《关于进一步做好政府采购信息公开工作有关事项的通知》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区公共资源综合交易中心</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■中国政府采购网及其省级分网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■省级（含计划单列市）财政部门指定的媒体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中标、成交结果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自中标、成交供应商确定之日起2个工作日内公告，公告期限为1个工作日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采购合同</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w:t>
            </w:r>
            <w:r>
              <w:rPr>
                <w:rFonts w:hint="eastAsia" w:ascii="方正仿宋_GBK" w:hAnsi="方正仿宋_GBK" w:cs="方正仿宋_GBK"/>
                <w:bCs/>
                <w:spacing w:val="-11"/>
                <w:kern w:val="2"/>
                <w:sz w:val="24"/>
                <w:szCs w:val="24"/>
              </w:rPr>
              <w:t>购人和采购代理机构名称、地址、联系方式；采购项目名称、编号，合同编号；供应商名称；合同内容。</w:t>
            </w:r>
            <w:r>
              <w:rPr>
                <w:rFonts w:hint="eastAsia" w:ascii="方正仿宋_GBK" w:hAnsi="方正仿宋_GBK" w:cs="方正仿宋_GBK"/>
                <w:bCs/>
                <w:spacing w:val="-11"/>
                <w:kern w:val="2"/>
                <w:sz w:val="24"/>
                <w:szCs w:val="24"/>
              </w:rPr>
              <w:br w:type="textWrapping"/>
            </w:r>
            <w:r>
              <w:rPr>
                <w:rFonts w:hint="eastAsia" w:ascii="方正仿宋_GBK" w:hAnsi="方正仿宋_GBK" w:cs="方正仿宋_GBK"/>
                <w:bCs/>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eastAsia" w:ascii="方正仿宋_GBK" w:hAnsi="方正仿宋_GBK" w:cs="方正仿宋_GBK"/>
                <w:bCs/>
                <w:kern w:val="2"/>
                <w:sz w:val="24"/>
                <w:szCs w:val="24"/>
              </w:rPr>
              <w:t>个人隐私的姓名、联系方式等内容，除征得权利人同意外，不得对外公告。批量集中采购项目应当公告框架协议。</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kern w:val="2"/>
                <w:sz w:val="24"/>
                <w:szCs w:val="24"/>
              </w:rPr>
            </w:pPr>
            <w:r>
              <w:rPr>
                <w:rFonts w:hint="eastAsia" w:ascii="方正仿宋_GBK" w:hAnsi="方正仿宋_GBK" w:cs="方正仿宋_GBK"/>
                <w:bCs/>
                <w:spacing w:val="-10"/>
                <w:kern w:val="2"/>
                <w:sz w:val="24"/>
                <w:szCs w:val="24"/>
              </w:rPr>
              <w:t>合同签订之日起2个工作日内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终止公告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采购人和采购代理机构名称、地址、联系方式；采购项目名称、采购编号，采购方式；采购项目终止原因；公告期限；采购项目联系人和电话。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9"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公共服务项目采购需求</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采购对象需实现的功能或者目标，满足项目需要的所有技术、服务、安全等要求，采购对象的数量、交付或实施的时间和地</w:t>
            </w:r>
            <w:r>
              <w:rPr>
                <w:rFonts w:hint="eastAsia" w:ascii="方正仿宋_GBK" w:hAnsi="方正仿宋_GBK" w:cs="方正仿宋_GBK"/>
                <w:bCs/>
                <w:spacing w:val="-10"/>
                <w:kern w:val="2"/>
                <w:sz w:val="24"/>
                <w:szCs w:val="24"/>
              </w:rPr>
              <w:t>点，采购对象的验收标准等。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《财政部关于做好政府采购信息公开工作的通知》、《关于进一步加强政府采购需求和履约验收管理的指导意见》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eastAsia="方正仿宋_GBK" w:cs="方正仿宋_GBK"/>
                <w:bCs/>
                <w:kern w:val="2"/>
                <w:sz w:val="24"/>
                <w:szCs w:val="24"/>
                <w:lang w:eastAsia="en-US"/>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公共服务项目验收结果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采购人和采购代理机构名称、地址、联系方式；采购项目名称、编号，合同编号；履约供应商名称；验收单位；验收结果；验收人员。</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验收结束之日起2个工作日内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相关当事人名称及地址、投诉涉及采购项目名称、投诉事项或监督检查主要事项、处理依据、处理结果、执法机关名称、公告日期等。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相关当事人名称及地址、投诉涉及采购项目名称、投诉事项或监督检查主要事项、处罚依据、处罚结果、执法机关名称、公告日期等。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集中采购机构的考核结果公告（涉及到处罚的）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土地出让计划</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《国务院办公厅关于推进公共资源配置领域政府信息公开的意见》、《招标拍卖挂牌出让国有建设用地使用权规定》、《国有建设用地供应计划编制规范</w:t>
            </w:r>
            <w:r>
              <w:rPr>
                <w:rFonts w:hint="eastAsia" w:ascii="方正仿宋_GBK" w:hAnsi="方正仿宋_GBK" w:cs="方正仿宋_GBK"/>
                <w:bCs/>
                <w:kern w:val="2"/>
                <w:sz w:val="24"/>
                <w:szCs w:val="24"/>
                <w:lang w:eastAsia="zh-CN"/>
              </w:rPr>
              <w:t>（试行）》</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每年3月31日前，公布年度国有建设用地供应计划</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eastAsia" w:ascii="方正仿宋_GBK" w:hAnsi="方正仿宋_GBK" w:cs="方正仿宋_GBK"/>
                <w:bCs/>
                <w:spacing w:val="-6"/>
                <w:kern w:val="2"/>
                <w:sz w:val="24"/>
                <w:szCs w:val="24"/>
              </w:rPr>
              <w:t>证金；其他需要公告的事项。</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至少在投标、拍卖或者挂牌开始日前20日。挂牌时间不得少于10日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公告调整</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公开国有建设用地使用权出让公告、项目概况、澄清或者修改事项、联系方式。</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招标拍卖挂牌出让结果（成交公示）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土地位置、面积、用途、开发程度、土地级别、容积率、出让年限、供地方式、受让人、成交价格和成交时间等。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招标拍卖挂牌活动结束后的10个工作日内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8"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供应结果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国有建设用地使用权年度供应结果。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sz w:val="24"/>
                <w:szCs w:val="24"/>
              </w:rPr>
            </w:pPr>
            <w:r>
              <w:rPr>
                <w:rFonts w:hint="eastAsia" w:ascii="方正仿宋_GBK" w:hAnsi="方正仿宋_GBK" w:cs="方正仿宋_GBK"/>
                <w:bCs/>
                <w:spacing w:val="-10"/>
                <w:sz w:val="24"/>
                <w:szCs w:val="24"/>
              </w:rPr>
              <w:t>在投标截止日、公开拍卖日或者挂牌起始日20个工作日前发布。挂牌时间不得少于10个工作日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招标拍卖挂牌成交结果公示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发出中标通知书或者签订成交确认书后5个工作日内进行信息公示。公示期不少于10个工作日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39</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项目信息</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公告有效期内矿业权基本信息包括矿业权名称、许可证号、矿业权人、矿种、有效期限。</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《政府信息公开条例》、《国务院办公厅关于推进公共资源配置领域政府信息公开的意见》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每年一季度集中公告</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40</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国有企业产权转让信息预披露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41</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42</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交易标的名称、转让标的评估结果、转让底价、交易价格。</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43</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4"/>
                <w:kern w:val="2"/>
                <w:sz w:val="24"/>
                <w:szCs w:val="24"/>
              </w:rPr>
            </w:pPr>
            <w:r>
              <w:rPr>
                <w:rFonts w:hint="eastAsia" w:ascii="方正仿宋_GBK" w:hAnsi="方正仿宋_GBK" w:cs="方正仿宋_GBK"/>
                <w:bCs/>
                <w:spacing w:val="-14"/>
                <w:kern w:val="2"/>
                <w:sz w:val="24"/>
                <w:szCs w:val="24"/>
              </w:rPr>
              <w:t>国有企业资产转让信息披露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标的基本情况、交易条件、转让底价、竞价方式、受让方选择的相关评判标准等。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国有企业资产转让成交公告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交易标的名称、评估价格、转让底价、交易价格等。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bl>
    <w:p>
      <w:pPr>
        <w:spacing w:before="0" w:after="0"/>
      </w:pPr>
    </w:p>
    <w:p>
      <w:pPr>
        <w:spacing w:before="0" w:after="0"/>
        <w:jc w:val="center"/>
        <w:rPr>
          <w:rFonts w:ascii="Times New Roman" w:eastAsia="方正小标宋_GBK"/>
          <w:sz w:val="44"/>
          <w:szCs w:val="44"/>
        </w:rPr>
      </w:pPr>
    </w:p>
    <w:p>
      <w:pPr>
        <w:pBdr>
          <w:top w:val="none" w:color="auto" w:sz="0" w:space="0"/>
          <w:bottom w:val="none" w:color="auto" w:sz="0" w:space="0"/>
        </w:pBdr>
        <w:tabs>
          <w:tab w:val="left" w:pos="6159"/>
        </w:tabs>
        <w:adjustRightInd w:val="0"/>
        <w:spacing w:before="0" w:after="0" w:line="312" w:lineRule="atLeast"/>
        <w:ind w:firstLine="0" w:firstLineChars="0"/>
        <w:jc w:val="left"/>
        <w:rPr>
          <w:rFonts w:hint="eastAsia" w:ascii="Times New Roman" w:hAnsi="Times New Roman" w:eastAsia="方正仿宋_GBK" w:cs="Times New Roman"/>
          <w:sz w:val="28"/>
          <w:szCs w:val="28"/>
          <w:lang w:val="en-US" w:eastAsia="zh-CN" w:bidi="ar-SA"/>
        </w:rPr>
      </w:pPr>
    </w:p>
    <w:sectPr>
      <w:headerReference r:id="rId3" w:type="default"/>
      <w:footerReference r:id="rId4" w:type="default"/>
      <w:pgSz w:w="23811" w:h="16838" w:orient="landscape"/>
      <w:pgMar w:top="1531" w:right="2098" w:bottom="1531" w:left="1984" w:header="851" w:footer="1417" w:gutter="0"/>
      <w:pgNumType w:fmt="decimal"/>
      <w:cols w:space="720" w:num="1"/>
      <w:rtlGutter w:val="0"/>
      <w:docGrid w:type="linesAndChars" w:linePitch="57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宋体"/>
    <w:panose1 w:val="020B0500000000000000"/>
    <w:charset w:val="86"/>
    <w:family w:val="auto"/>
    <w:pitch w:val="default"/>
    <w:sig w:usb0="00000000" w:usb1="00000000" w:usb2="00000016" w:usb3="00000000" w:csb0="602E0107"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r>
      <w:rPr>
        <w:rFonts w:ascii="Times New Roman" w:hAnsi="Times New Roman" w:eastAsia="方正仿宋_GBK" w:cs="Times New Roman"/>
        <w:sz w:val="18"/>
        <w:szCs w:val="3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LnUpcCqAQAAVQMAAA4A&#10;AAAAAAAAAQAgAAAAHgEAAGRycy9lMm9Eb2MueG1sUEsFBgAAAAAGAAYAWQEAADoFA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5"/>
  <w:drawingGridHorizontalSpacing w:val="0"/>
  <w:drawingGridVerticalSpacing w:val="29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714DD"/>
    <w:rsid w:val="3CD73E52"/>
    <w:rsid w:val="5F036F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paragraph" w:customStyle="1" w:styleId="8">
    <w:name w:val="Table Paragraph"/>
    <w:qFormat/>
    <w:uiPriority w:val="99"/>
    <w:pPr>
      <w:widowControl w:val="0"/>
      <w:autoSpaceDE w:val="0"/>
      <w:autoSpaceDN w:val="0"/>
      <w:spacing w:after="160"/>
    </w:pPr>
    <w:rPr>
      <w:rFonts w:ascii="Noto Sans Mono CJK JP Regular" w:hAnsi="Noto Sans Mono CJK JP Regular" w:eastAsia="等线" w:cs="Noto Sans Mono CJK JP Regular"/>
      <w:sz w:val="22"/>
      <w:szCs w:val="22"/>
      <w:lang w:val="en-US" w:eastAsia="en-US" w:bidi="ar-SA"/>
    </w:rPr>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35</Pages>
  <Words>3</Words>
  <Characters>20</Characters>
  <Lines>1</Lines>
  <Paragraphs>1</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Administrator</cp:lastModifiedBy>
  <cp:lastPrinted>2023-08-02T02:21:00Z</cp:lastPrinted>
  <dcterms:modified xsi:type="dcterms:W3CDTF">2025-08-26T02:50:01Z</dcterms:modified>
  <dc:title>重庆市计委关于巫山县小小三峡手扒岩至平河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2052-10.8.0.6206</vt:lpwstr>
  </property>
</Properties>
</file>