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76" w:lineRule="exact"/>
        <w:jc w:val="center"/>
        <w:textAlignment w:val="auto"/>
        <w:outlineLvl w:val="0"/>
        <w:rPr>
          <w:rFonts w:hint="eastAsia" w:ascii="方正小标宋_GBK" w:hAnsi="方正小标宋_GBK" w:eastAsia="方正小标宋_GBK" w:cs="方正小标宋_GBK"/>
          <w:bCs/>
          <w:color w:val="auto"/>
          <w:sz w:val="44"/>
          <w:szCs w:val="44"/>
        </w:rPr>
      </w:pPr>
      <mc:AlternateContent>
        <mc:Choice Requires="wpsCustomData">
          <wpsCustomData:docfieldStart id="0" docfieldname="Content" hidden="false" print="true" readonly="false" index="1"/>
        </mc:Choice>
      </mc:AlternateContent>
      <w:r>
        <w:rPr>
          <w:rFonts w:hint="eastAsia" w:ascii="方正小标宋_GBK" w:hAnsi="方正小标宋_GBK" w:eastAsia="方正小标宋_GBK" w:cs="方正小标宋_GBK"/>
          <w:bCs/>
          <w:color w:val="auto"/>
          <w:sz w:val="44"/>
          <w:szCs w:val="44"/>
        </w:rPr>
        <w:t>重庆市綦江区人民政府</w:t>
      </w:r>
    </w:p>
    <w:p>
      <w:pPr>
        <w:keepNext w:val="0"/>
        <w:keepLines w:val="0"/>
        <w:pageBreakBefore w:val="0"/>
        <w:widowControl w:val="0"/>
        <w:kinsoku/>
        <w:wordWrap/>
        <w:topLinePunct w:val="0"/>
        <w:autoSpaceDE/>
        <w:autoSpaceDN/>
        <w:bidi w:val="0"/>
        <w:adjustRightInd w:val="0"/>
        <w:snapToGrid w:val="0"/>
        <w:spacing w:line="576" w:lineRule="exact"/>
        <w:jc w:val="center"/>
        <w:textAlignment w:val="auto"/>
        <w:outlineLvl w:val="0"/>
        <w:rPr>
          <w:rFonts w:hint="eastAsia" w:ascii="方正小标宋_GBK" w:eastAsia="方正小标宋_GBK"/>
          <w:color w:val="auto"/>
          <w:sz w:val="44"/>
          <w:szCs w:val="44"/>
          <w:lang w:val="en-US" w:eastAsia="zh-CN"/>
        </w:rPr>
      </w:pPr>
      <w:r>
        <w:rPr>
          <w:rFonts w:hint="eastAsia" w:eastAsia="方正小标宋_GBK"/>
          <w:color w:val="auto"/>
          <w:sz w:val="44"/>
          <w:szCs w:val="44"/>
        </w:rPr>
        <w:t>关于</w:t>
      </w:r>
      <w:r>
        <w:rPr>
          <w:rFonts w:hint="eastAsia" w:ascii="方正小标宋_GBK" w:eastAsia="方正小标宋_GBK"/>
          <w:color w:val="auto"/>
          <w:sz w:val="44"/>
          <w:szCs w:val="44"/>
          <w:lang w:val="en-US" w:eastAsia="zh-CN"/>
        </w:rPr>
        <w:t>綦江区采煤沉陷区永庆路（二期）</w:t>
      </w:r>
    </w:p>
    <w:p>
      <w:pPr>
        <w:keepNext w:val="0"/>
        <w:keepLines w:val="0"/>
        <w:pageBreakBefore w:val="0"/>
        <w:widowControl w:val="0"/>
        <w:kinsoku/>
        <w:wordWrap/>
        <w:topLinePunct w:val="0"/>
        <w:autoSpaceDE/>
        <w:autoSpaceDN/>
        <w:bidi w:val="0"/>
        <w:adjustRightInd w:val="0"/>
        <w:snapToGrid w:val="0"/>
        <w:spacing w:line="576" w:lineRule="exact"/>
        <w:jc w:val="center"/>
        <w:textAlignment w:val="auto"/>
        <w:outlineLvl w:val="0"/>
        <w:rPr>
          <w:rFonts w:eastAsia="方正小标宋_GBK"/>
          <w:color w:val="auto"/>
          <w:spacing w:val="-11"/>
          <w:sz w:val="44"/>
          <w:szCs w:val="44"/>
        </w:rPr>
      </w:pPr>
      <w:r>
        <w:rPr>
          <w:rFonts w:hint="eastAsia" w:ascii="方正小标宋_GBK" w:eastAsia="方正小标宋_GBK"/>
          <w:color w:val="auto"/>
          <w:spacing w:val="-11"/>
          <w:sz w:val="44"/>
          <w:szCs w:val="44"/>
          <w:lang w:val="en-US" w:eastAsia="zh-CN"/>
        </w:rPr>
        <w:t>建设工程项目</w:t>
      </w:r>
      <w:r>
        <w:rPr>
          <w:rFonts w:hint="eastAsia" w:eastAsia="方正小标宋_GBK"/>
          <w:color w:val="auto"/>
          <w:spacing w:val="-11"/>
          <w:sz w:val="44"/>
          <w:szCs w:val="44"/>
        </w:rPr>
        <w:t>征地补偿安置方案的公告</w:t>
      </w:r>
    </w:p>
    <w:p>
      <w:pPr>
        <w:keepNext w:val="0"/>
        <w:keepLines w:val="0"/>
        <w:pageBreakBefore w:val="0"/>
        <w:widowControl w:val="0"/>
        <w:kinsoku/>
        <w:wordWrap/>
        <w:overflowPunct w:val="0"/>
        <w:topLinePunct w:val="0"/>
        <w:autoSpaceDE/>
        <w:autoSpaceDN/>
        <w:bidi w:val="0"/>
        <w:spacing w:line="576" w:lineRule="exact"/>
        <w:jc w:val="center"/>
        <w:textAlignment w:val="auto"/>
        <w:rPr>
          <w:rFonts w:eastAsia="方正仿宋_GBK"/>
          <w:color w:val="auto"/>
          <w:sz w:val="32"/>
          <w:szCs w:val="32"/>
        </w:rPr>
      </w:pPr>
      <w:r>
        <w:rPr>
          <w:rFonts w:hint="eastAsia" w:eastAsia="方正仿宋_GBK"/>
          <w:color w:val="auto"/>
          <w:sz w:val="32"/>
          <w:szCs w:val="32"/>
          <w:lang w:eastAsia="zh-CN"/>
        </w:rPr>
        <w:t>（</w:t>
      </w:r>
      <w:r>
        <w:rPr>
          <w:rFonts w:hint="eastAsia" w:eastAsia="方正仿宋_GBK"/>
          <w:color w:val="auto"/>
          <w:sz w:val="32"/>
          <w:szCs w:val="32"/>
        </w:rPr>
        <w:t>綦江</w:t>
      </w:r>
      <w:r>
        <w:rPr>
          <w:rFonts w:eastAsia="方正仿宋_GBK"/>
          <w:color w:val="auto"/>
          <w:sz w:val="32"/>
          <w:szCs w:val="32"/>
        </w:rPr>
        <w:t>府</w:t>
      </w:r>
      <w:r>
        <w:rPr>
          <w:rFonts w:hint="eastAsia" w:eastAsia="方正仿宋_GBK"/>
          <w:color w:val="auto"/>
          <w:sz w:val="32"/>
          <w:szCs w:val="32"/>
        </w:rPr>
        <w:t>征地</w:t>
      </w:r>
      <w:r>
        <w:rPr>
          <w:rFonts w:eastAsia="方正仿宋_GBK"/>
          <w:color w:val="auto"/>
          <w:sz w:val="32"/>
          <w:szCs w:val="32"/>
        </w:rPr>
        <w:t>方案</w:t>
      </w:r>
      <w:r>
        <w:rPr>
          <w:rFonts w:hint="eastAsia" w:eastAsia="方正仿宋_GBK"/>
          <w:color w:val="auto"/>
          <w:sz w:val="32"/>
          <w:szCs w:val="32"/>
        </w:rPr>
        <w:t>公告</w:t>
      </w:r>
      <w:r>
        <w:rPr>
          <w:rFonts w:eastAsia="方正仿宋_GBK"/>
          <w:color w:val="auto"/>
          <w:sz w:val="32"/>
          <w:szCs w:val="32"/>
        </w:rPr>
        <w:t>〔20</w:t>
      </w:r>
      <w:r>
        <w:rPr>
          <w:rFonts w:hint="eastAsia" w:eastAsia="方正仿宋_GBK"/>
          <w:color w:val="auto"/>
          <w:sz w:val="32"/>
          <w:szCs w:val="32"/>
        </w:rPr>
        <w:t>2</w:t>
      </w:r>
      <w:r>
        <w:rPr>
          <w:rFonts w:hint="eastAsia" w:eastAsia="方正仿宋_GBK"/>
          <w:color w:val="auto"/>
          <w:sz w:val="32"/>
          <w:szCs w:val="32"/>
          <w:lang w:val="en-US" w:eastAsia="zh-CN"/>
        </w:rPr>
        <w:t>5</w:t>
      </w:r>
      <w:r>
        <w:rPr>
          <w:rFonts w:eastAsia="方正仿宋_GBK"/>
          <w:color w:val="auto"/>
          <w:sz w:val="32"/>
          <w:szCs w:val="32"/>
        </w:rPr>
        <w:t>〕</w:t>
      </w:r>
      <w:r>
        <w:rPr>
          <w:rFonts w:hint="eastAsia" w:eastAsia="方正仿宋_GBK"/>
          <w:color w:val="auto"/>
          <w:sz w:val="32"/>
          <w:szCs w:val="32"/>
          <w:lang w:val="en-US" w:eastAsia="zh-CN"/>
        </w:rPr>
        <w:t>2</w:t>
      </w:r>
      <w:r>
        <w:rPr>
          <w:rFonts w:eastAsia="方正仿宋_GBK"/>
          <w:color w:val="auto"/>
          <w:sz w:val="32"/>
          <w:szCs w:val="32"/>
        </w:rPr>
        <w:t>号</w:t>
      </w:r>
      <w:r>
        <w:rPr>
          <w:rFonts w:hint="eastAsia" w:eastAsia="方正仿宋_GBK"/>
          <w:color w:val="auto"/>
          <w:sz w:val="32"/>
          <w:szCs w:val="32"/>
          <w:lang w:eastAsia="zh-CN"/>
        </w:rPr>
        <w:t>）</w:t>
      </w:r>
    </w:p>
    <w:p>
      <w:pPr>
        <w:keepNext w:val="0"/>
        <w:keepLines w:val="0"/>
        <w:pageBreakBefore w:val="0"/>
        <w:widowControl w:val="0"/>
        <w:kinsoku/>
        <w:wordWrap/>
        <w:topLinePunct w:val="0"/>
        <w:autoSpaceDE/>
        <w:autoSpaceDN/>
        <w:bidi w:val="0"/>
        <w:spacing w:line="576" w:lineRule="exact"/>
        <w:jc w:val="both"/>
        <w:textAlignment w:val="auto"/>
        <w:rPr>
          <w:rFonts w:ascii="方正仿宋_GBK" w:hAnsi="方正仿宋_GBK"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spacing w:line="576" w:lineRule="exact"/>
        <w:ind w:firstLine="640" w:firstLineChars="200"/>
        <w:jc w:val="both"/>
        <w:textAlignment w:val="auto"/>
        <w:rPr>
          <w:rFonts w:eastAsia="方正仿宋_GBK"/>
          <w:color w:val="auto"/>
          <w:sz w:val="32"/>
          <w:szCs w:val="32"/>
        </w:rPr>
      </w:pPr>
      <w:r>
        <w:rPr>
          <w:rFonts w:hint="eastAsia" w:eastAsia="方正仿宋_GBK"/>
          <w:color w:val="auto"/>
          <w:sz w:val="32"/>
          <w:szCs w:val="32"/>
        </w:rPr>
        <w:t>按照《中华人民共和国土地管理法》和《中华人民共和国土地管理法实施条例》等法律法规的规定，本府于202</w:t>
      </w:r>
      <w:r>
        <w:rPr>
          <w:rFonts w:hint="eastAsia" w:eastAsia="方正仿宋_GBK"/>
          <w:color w:val="auto"/>
          <w:sz w:val="32"/>
          <w:szCs w:val="32"/>
          <w:lang w:val="en-US" w:eastAsia="zh-CN"/>
        </w:rPr>
        <w:t>4</w:t>
      </w:r>
      <w:r>
        <w:rPr>
          <w:rFonts w:hint="eastAsia" w:eastAsia="方正仿宋_GBK"/>
          <w:color w:val="auto"/>
          <w:sz w:val="32"/>
          <w:szCs w:val="32"/>
        </w:rPr>
        <w:t>年</w:t>
      </w:r>
      <w:r>
        <w:rPr>
          <w:rFonts w:hint="eastAsia" w:eastAsia="方正仿宋_GBK"/>
          <w:color w:val="auto"/>
          <w:sz w:val="32"/>
          <w:szCs w:val="32"/>
          <w:lang w:val="en-US" w:eastAsia="zh-CN"/>
        </w:rPr>
        <w:t>3</w:t>
      </w:r>
      <w:r>
        <w:rPr>
          <w:rFonts w:hint="eastAsia" w:eastAsia="方正仿宋_GBK"/>
          <w:color w:val="auto"/>
          <w:sz w:val="32"/>
          <w:szCs w:val="32"/>
        </w:rPr>
        <w:t>月</w:t>
      </w:r>
      <w:r>
        <w:rPr>
          <w:rFonts w:hint="eastAsia" w:eastAsia="方正仿宋_GBK"/>
          <w:color w:val="auto"/>
          <w:sz w:val="32"/>
          <w:szCs w:val="32"/>
          <w:lang w:val="en-US" w:eastAsia="zh-CN"/>
        </w:rPr>
        <w:t>26</w:t>
      </w:r>
      <w:r>
        <w:rPr>
          <w:rFonts w:hint="eastAsia" w:eastAsia="方正仿宋_GBK"/>
          <w:color w:val="auto"/>
          <w:sz w:val="32"/>
          <w:szCs w:val="32"/>
        </w:rPr>
        <w:t>日发布了綦江区</w:t>
      </w:r>
      <w:r>
        <w:rPr>
          <w:rFonts w:hint="eastAsia" w:eastAsia="方正仿宋_GBK"/>
          <w:color w:val="auto"/>
          <w:sz w:val="32"/>
          <w:szCs w:val="32"/>
          <w:lang w:val="en-US" w:eastAsia="zh-CN"/>
        </w:rPr>
        <w:t>采煤沉陷区永庆路（二期）建设工程项目</w:t>
      </w:r>
      <w:r>
        <w:rPr>
          <w:rFonts w:hint="eastAsia" w:eastAsia="方正仿宋_GBK"/>
          <w:color w:val="auto"/>
          <w:sz w:val="32"/>
          <w:szCs w:val="32"/>
        </w:rPr>
        <w:t>的征收土地预公告（綦江府预公告〔20</w:t>
      </w:r>
      <w:r>
        <w:rPr>
          <w:rFonts w:hint="eastAsia" w:eastAsia="方正仿宋_GBK"/>
          <w:color w:val="auto"/>
          <w:sz w:val="32"/>
          <w:szCs w:val="32"/>
          <w:lang w:val="en-US" w:eastAsia="zh-CN"/>
        </w:rPr>
        <w:t>24</w:t>
      </w:r>
      <w:r>
        <w:rPr>
          <w:rFonts w:hint="eastAsia" w:eastAsia="方正仿宋_GBK"/>
          <w:color w:val="auto"/>
          <w:sz w:val="32"/>
          <w:szCs w:val="32"/>
        </w:rPr>
        <w:t>〕</w:t>
      </w:r>
      <w:r>
        <w:rPr>
          <w:rFonts w:hint="eastAsia" w:eastAsia="方正仿宋_GBK"/>
          <w:color w:val="auto"/>
          <w:sz w:val="32"/>
          <w:szCs w:val="32"/>
          <w:lang w:val="en-US" w:eastAsia="zh-CN"/>
        </w:rPr>
        <w:t>8</w:t>
      </w:r>
      <w:r>
        <w:rPr>
          <w:rFonts w:hint="eastAsia" w:eastAsia="方正仿宋_GBK"/>
          <w:color w:val="auto"/>
          <w:sz w:val="32"/>
          <w:szCs w:val="32"/>
        </w:rPr>
        <w:t>号）。根据社会稳定风险评估和土地现状调查结果，组织有关部门拟定了</w:t>
      </w:r>
      <w:r>
        <w:rPr>
          <w:rFonts w:hint="eastAsia" w:eastAsia="方正仿宋_GBK"/>
          <w:color w:val="auto"/>
          <w:sz w:val="32"/>
          <w:szCs w:val="32"/>
          <w:lang w:val="en-US" w:eastAsia="zh-CN"/>
        </w:rPr>
        <w:t>该项目</w:t>
      </w:r>
      <w:r>
        <w:rPr>
          <w:rFonts w:hint="eastAsia" w:eastAsia="方正仿宋_GBK"/>
          <w:color w:val="auto"/>
          <w:sz w:val="32"/>
          <w:szCs w:val="32"/>
        </w:rPr>
        <w:t>的征地补偿安置方案，现将具体内容和有关事项公告如下：</w:t>
      </w:r>
    </w:p>
    <w:p>
      <w:pPr>
        <w:pStyle w:val="2"/>
        <w:keepNext w:val="0"/>
        <w:keepLines w:val="0"/>
        <w:pageBreakBefore w:val="0"/>
        <w:widowControl w:val="0"/>
        <w:numPr>
          <w:ilvl w:val="0"/>
          <w:numId w:val="1"/>
        </w:numPr>
        <w:kinsoku/>
        <w:wordWrap/>
        <w:topLinePunct w:val="0"/>
        <w:autoSpaceDE/>
        <w:autoSpaceDN/>
        <w:bidi w:val="0"/>
        <w:spacing w:line="576" w:lineRule="exact"/>
        <w:ind w:left="0"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补偿安置具体内容</w:t>
      </w:r>
    </w:p>
    <w:p>
      <w:pPr>
        <w:pStyle w:val="2"/>
        <w:keepNext w:val="0"/>
        <w:keepLines w:val="0"/>
        <w:pageBreakBefore w:val="0"/>
        <w:widowControl w:val="0"/>
        <w:numPr>
          <w:ilvl w:val="0"/>
          <w:numId w:val="0"/>
        </w:numPr>
        <w:kinsoku/>
        <w:wordWrap/>
        <w:topLinePunct w:val="0"/>
        <w:autoSpaceDE/>
        <w:autoSpaceDN/>
        <w:bidi w:val="0"/>
        <w:spacing w:line="576" w:lineRule="exact"/>
        <w:ind w:firstLine="640" w:firstLineChars="200"/>
        <w:jc w:val="both"/>
        <w:textAlignment w:val="auto"/>
        <w:rPr>
          <w:rFonts w:eastAsia="方正仿宋_GBK"/>
          <w:color w:val="auto"/>
          <w:sz w:val="32"/>
          <w:szCs w:val="32"/>
          <w:lang w:eastAsia="zh-CN"/>
        </w:rPr>
      </w:pPr>
      <w:r>
        <w:rPr>
          <w:rFonts w:hint="eastAsia" w:eastAsia="方正仿宋_GBK"/>
          <w:color w:val="auto"/>
          <w:sz w:val="32"/>
          <w:szCs w:val="32"/>
          <w:lang w:eastAsia="zh-CN"/>
        </w:rPr>
        <w:t>详见附件《征地补偿安置方案》。</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异议反馈渠道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eastAsia="方正仿宋_GBK"/>
          <w:color w:val="auto"/>
          <w:sz w:val="32"/>
          <w:szCs w:val="32"/>
          <w:lang w:eastAsia="zh-CN"/>
        </w:rPr>
      </w:pPr>
      <w:r>
        <w:rPr>
          <w:rFonts w:hint="eastAsia" w:eastAsia="方正仿宋_GBK"/>
          <w:color w:val="auto"/>
          <w:sz w:val="32"/>
          <w:szCs w:val="32"/>
          <w:lang w:eastAsia="zh-CN"/>
        </w:rPr>
        <w:t>被征地的农村集体组织及其成员、村民委员会和其他利害关系人对《征地补偿安置方案》有异议的，应当于公告期满前通过当面递交或者邮寄的方式，向</w:t>
      </w:r>
      <w:r>
        <w:rPr>
          <w:rFonts w:hint="eastAsia" w:eastAsia="方正仿宋_GBK"/>
          <w:color w:val="auto"/>
          <w:sz w:val="32"/>
          <w:szCs w:val="32"/>
          <w:lang w:val="en-US" w:eastAsia="zh-CN"/>
        </w:rPr>
        <w:t>重庆市</w:t>
      </w:r>
      <w:r>
        <w:rPr>
          <w:rFonts w:hint="eastAsia" w:eastAsia="方正仿宋_GBK"/>
          <w:color w:val="auto"/>
          <w:sz w:val="32"/>
          <w:szCs w:val="32"/>
          <w:lang w:eastAsia="zh-CN"/>
        </w:rPr>
        <w:t>綦江区土地房屋拆迁征收中心</w:t>
      </w:r>
      <w:r>
        <w:rPr>
          <w:rFonts w:hint="eastAsia" w:eastAsia="方正仿宋_GBK"/>
          <w:color w:val="auto"/>
          <w:spacing w:val="-6"/>
          <w:sz w:val="32"/>
          <w:szCs w:val="32"/>
          <w:lang w:eastAsia="zh-CN"/>
        </w:rPr>
        <w:t>（地址：重庆市綦江区古南街道南门路1号；邮编：401420；联系电话：023—85890</w:t>
      </w:r>
      <w:r>
        <w:rPr>
          <w:rFonts w:hint="eastAsia" w:eastAsia="方正仿宋_GBK"/>
          <w:color w:val="auto"/>
          <w:spacing w:val="-6"/>
          <w:sz w:val="32"/>
          <w:szCs w:val="32"/>
          <w:lang w:val="en-US" w:eastAsia="zh-CN"/>
        </w:rPr>
        <w:t>196</w:t>
      </w:r>
      <w:r>
        <w:rPr>
          <w:rFonts w:hint="eastAsia" w:eastAsia="方正仿宋_GBK"/>
          <w:color w:val="auto"/>
          <w:spacing w:val="-6"/>
          <w:sz w:val="32"/>
          <w:szCs w:val="32"/>
          <w:lang w:eastAsia="zh-CN"/>
        </w:rPr>
        <w:t>；联系人：</w:t>
      </w:r>
      <w:r>
        <w:rPr>
          <w:rFonts w:hint="eastAsia" w:eastAsia="方正仿宋_GBK"/>
          <w:color w:val="auto"/>
          <w:spacing w:val="-6"/>
          <w:sz w:val="32"/>
          <w:szCs w:val="32"/>
          <w:lang w:val="en-US" w:eastAsia="zh-CN"/>
        </w:rPr>
        <w:t>邱伟</w:t>
      </w:r>
      <w:r>
        <w:rPr>
          <w:rFonts w:hint="eastAsia" w:eastAsia="方正仿宋_GBK"/>
          <w:color w:val="auto"/>
          <w:sz w:val="32"/>
          <w:szCs w:val="32"/>
          <w:lang w:eastAsia="zh-CN"/>
        </w:rPr>
        <w:t>）提出书面意见，书面意见应当签字，加盖手印（印</w:t>
      </w:r>
      <w:r>
        <w:rPr>
          <w:rFonts w:hint="eastAsia" w:eastAsia="方正仿宋_GBK"/>
          <w:color w:val="auto"/>
          <w:spacing w:val="-6"/>
          <w:sz w:val="32"/>
          <w:szCs w:val="32"/>
          <w:lang w:eastAsia="zh-CN"/>
        </w:rPr>
        <w:t>章）并附身份证明材料</w:t>
      </w:r>
      <w:r>
        <w:rPr>
          <w:rFonts w:hint="eastAsia" w:eastAsia="方正仿宋_GBK"/>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eastAsia="方正仿宋_GBK"/>
          <w:color w:val="auto"/>
          <w:sz w:val="32"/>
          <w:szCs w:val="32"/>
          <w:lang w:val="en-US" w:eastAsia="zh-CN"/>
        </w:rPr>
      </w:pPr>
      <w:r>
        <w:rPr>
          <w:rFonts w:hint="eastAsia" w:eastAsia="方正仿宋_GBK"/>
          <w:color w:val="auto"/>
          <w:sz w:val="32"/>
          <w:szCs w:val="32"/>
          <w:lang w:val="en-US" w:eastAsia="zh-CN"/>
        </w:rPr>
        <w:t>过半数被征地的农村集体经济组织成员认为</w:t>
      </w:r>
      <w:r>
        <w:rPr>
          <w:rFonts w:hint="eastAsia" w:eastAsia="方正仿宋_GBK"/>
          <w:color w:val="auto"/>
          <w:sz w:val="32"/>
          <w:szCs w:val="32"/>
          <w:lang w:eastAsia="zh-CN"/>
        </w:rPr>
        <w:t>《征地补偿安置方案》</w:t>
      </w:r>
      <w:r>
        <w:rPr>
          <w:rFonts w:hint="eastAsia" w:eastAsia="方正仿宋_GBK"/>
          <w:color w:val="auto"/>
          <w:sz w:val="32"/>
          <w:szCs w:val="32"/>
          <w:lang w:val="en-US" w:eastAsia="zh-CN"/>
        </w:rPr>
        <w:t>不符合法律、法规规定的，本府将组织听证。</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黑体_GBK" w:hAnsi="方正黑体_GBK" w:eastAsia="方正黑体_GBK" w:cs="方正黑体_GBK"/>
          <w:color w:val="auto"/>
          <w:spacing w:val="-6"/>
          <w:sz w:val="32"/>
          <w:szCs w:val="32"/>
          <w:lang w:eastAsia="zh-CN"/>
        </w:rPr>
      </w:pPr>
      <w:r>
        <w:rPr>
          <w:rFonts w:hint="eastAsia" w:ascii="方正黑体_GBK" w:hAnsi="方正黑体_GBK" w:eastAsia="方正黑体_GBK" w:cs="方正黑体_GBK"/>
          <w:color w:val="auto"/>
          <w:sz w:val="32"/>
          <w:szCs w:val="32"/>
          <w:lang w:eastAsia="zh-CN"/>
        </w:rPr>
        <w:t>办理</w:t>
      </w:r>
      <w:r>
        <w:rPr>
          <w:rFonts w:hint="eastAsia" w:ascii="方正黑体_GBK" w:hAnsi="方正黑体_GBK" w:eastAsia="方正黑体_GBK" w:cs="方正黑体_GBK"/>
          <w:color w:val="auto"/>
          <w:spacing w:val="-6"/>
          <w:sz w:val="32"/>
          <w:szCs w:val="32"/>
          <w:lang w:eastAsia="zh-CN"/>
        </w:rPr>
        <w:t>补偿安置登记和签订征地补偿安置协议的方式、期限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eastAsia="方正仿宋_GBK"/>
          <w:color w:val="auto"/>
          <w:sz w:val="32"/>
          <w:szCs w:val="32"/>
          <w:lang w:eastAsia="zh-CN"/>
        </w:rPr>
      </w:pPr>
      <w:r>
        <w:rPr>
          <w:rFonts w:hint="eastAsia" w:eastAsia="方正仿宋_GBK"/>
          <w:color w:val="auto"/>
          <w:sz w:val="32"/>
          <w:szCs w:val="32"/>
          <w:lang w:eastAsia="zh-CN"/>
        </w:rPr>
        <w:t>拟征收土地的所有权人、使用权人应当在《征地补偿安置方案》公告后30日内，持不动产权属证明、身份证明、户口簿等材料到</w:t>
      </w:r>
      <w:r>
        <w:rPr>
          <w:rFonts w:hint="eastAsia" w:eastAsia="方正仿宋_GBK"/>
          <w:color w:val="auto"/>
          <w:sz w:val="32"/>
          <w:szCs w:val="32"/>
          <w:lang w:val="en-US" w:eastAsia="zh-CN"/>
        </w:rPr>
        <w:t>永城镇政府</w:t>
      </w:r>
      <w:r>
        <w:rPr>
          <w:rFonts w:hint="eastAsia" w:eastAsia="方正仿宋_GBK"/>
          <w:color w:val="auto"/>
          <w:sz w:val="32"/>
          <w:szCs w:val="32"/>
          <w:lang w:eastAsia="zh-CN"/>
        </w:rPr>
        <w:t>办理补偿安置登记，并在《征地补偿安置方案》确定后</w:t>
      </w:r>
      <w:r>
        <w:rPr>
          <w:rFonts w:hint="eastAsia" w:eastAsia="方正仿宋_GBK"/>
          <w:color w:val="auto"/>
          <w:sz w:val="32"/>
          <w:szCs w:val="32"/>
          <w:lang w:val="en-US" w:eastAsia="zh-CN"/>
        </w:rPr>
        <w:t>10个工作</w:t>
      </w:r>
      <w:r>
        <w:rPr>
          <w:rFonts w:hint="eastAsia" w:eastAsia="方正仿宋_GBK"/>
          <w:color w:val="auto"/>
          <w:sz w:val="32"/>
          <w:szCs w:val="32"/>
          <w:lang w:eastAsia="zh-CN"/>
        </w:rPr>
        <w:t>日内签订征地补偿安置协议。</w:t>
      </w:r>
    </w:p>
    <w:p>
      <w:pPr>
        <w:pStyle w:val="2"/>
        <w:keepNext w:val="0"/>
        <w:keepLines w:val="0"/>
        <w:pageBreakBefore w:val="0"/>
        <w:widowControl w:val="0"/>
        <w:kinsoku/>
        <w:wordWrap/>
        <w:topLinePunct w:val="0"/>
        <w:autoSpaceDE/>
        <w:autoSpaceDN/>
        <w:bidi w:val="0"/>
        <w:spacing w:line="576" w:lineRule="exact"/>
        <w:ind w:left="0" w:firstLine="640" w:firstLineChars="200"/>
        <w:jc w:val="both"/>
        <w:textAlignment w:val="auto"/>
        <w:rPr>
          <w:rFonts w:eastAsia="方正仿宋_GBK"/>
          <w:color w:val="auto"/>
          <w:sz w:val="32"/>
          <w:szCs w:val="32"/>
          <w:lang w:eastAsia="zh-CN"/>
        </w:rPr>
      </w:pPr>
      <w:r>
        <w:rPr>
          <w:rFonts w:hint="eastAsia" w:ascii="方正黑体_GBK" w:hAnsi="方正黑体_GBK" w:eastAsia="方正黑体_GBK" w:cs="方正黑体_GBK"/>
          <w:color w:val="auto"/>
          <w:sz w:val="32"/>
          <w:szCs w:val="32"/>
          <w:lang w:eastAsia="zh-CN"/>
        </w:rPr>
        <w:t>四、确定具体人员安置对象的期限</w:t>
      </w:r>
    </w:p>
    <w:p>
      <w:pPr>
        <w:pStyle w:val="2"/>
        <w:keepNext w:val="0"/>
        <w:keepLines w:val="0"/>
        <w:pageBreakBefore w:val="0"/>
        <w:widowControl w:val="0"/>
        <w:kinsoku/>
        <w:wordWrap/>
        <w:topLinePunct w:val="0"/>
        <w:autoSpaceDE/>
        <w:autoSpaceDN/>
        <w:bidi w:val="0"/>
        <w:spacing w:line="576" w:lineRule="exact"/>
        <w:ind w:left="0" w:firstLine="640" w:firstLineChars="200"/>
        <w:jc w:val="both"/>
        <w:textAlignment w:val="auto"/>
        <w:rPr>
          <w:rFonts w:eastAsia="方正仿宋_GBK"/>
          <w:color w:val="auto"/>
          <w:sz w:val="32"/>
          <w:szCs w:val="32"/>
          <w:lang w:eastAsia="zh-CN"/>
        </w:rPr>
      </w:pPr>
      <w:r>
        <w:rPr>
          <w:rFonts w:hint="eastAsia" w:eastAsia="方正仿宋_GBK"/>
          <w:color w:val="auto"/>
          <w:sz w:val="32"/>
          <w:szCs w:val="32"/>
          <w:lang w:eastAsia="zh-CN"/>
        </w:rPr>
        <w:t>被征地农村集体经济组织应当于征地补偿安置方案确定后30日内，按照《重庆市集体土地征收补偿安置办法》（市政府令第344号）第十六条的规定确定具体的人员安置对象。具体人员安置对象按有关规定公示、初审、复核和核准。</w:t>
      </w:r>
    </w:p>
    <w:p>
      <w:pPr>
        <w:pStyle w:val="2"/>
        <w:keepNext w:val="0"/>
        <w:keepLines w:val="0"/>
        <w:pageBreakBefore w:val="0"/>
        <w:widowControl w:val="0"/>
        <w:kinsoku/>
        <w:wordWrap/>
        <w:topLinePunct w:val="0"/>
        <w:autoSpaceDE/>
        <w:autoSpaceDN/>
        <w:bidi w:val="0"/>
        <w:spacing w:line="576" w:lineRule="exact"/>
        <w:ind w:left="0" w:firstLine="640" w:firstLineChars="200"/>
        <w:jc w:val="both"/>
        <w:textAlignment w:val="auto"/>
        <w:rPr>
          <w:rFonts w:eastAsia="方正仿宋_GBK"/>
          <w:color w:val="auto"/>
          <w:sz w:val="32"/>
          <w:szCs w:val="32"/>
          <w:lang w:eastAsia="zh-CN"/>
        </w:rPr>
      </w:pPr>
      <w:r>
        <w:rPr>
          <w:rFonts w:hint="eastAsia" w:eastAsia="方正仿宋_GBK"/>
          <w:color w:val="auto"/>
          <w:sz w:val="32"/>
          <w:szCs w:val="32"/>
          <w:lang w:eastAsia="zh-CN"/>
        </w:rPr>
        <w:t>本公告自发布之日起施行，公告期限为30日。</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eastAsia="方正仿宋_GBK"/>
          <w:color w:val="auto"/>
          <w:sz w:val="32"/>
          <w:szCs w:val="32"/>
          <w:lang w:val="en-US" w:eastAsia="zh-CN"/>
        </w:rPr>
      </w:pPr>
      <w:r>
        <w:rPr>
          <w:rFonts w:eastAsia="方正仿宋_GBK"/>
          <w:color w:val="auto"/>
          <w:sz w:val="32"/>
          <w:szCs w:val="32"/>
        </w:rPr>
        <w:t>特此</w:t>
      </w:r>
      <w:r>
        <w:rPr>
          <w:rFonts w:hint="eastAsia" w:eastAsia="方正仿宋_GBK"/>
          <w:color w:val="auto"/>
          <w:sz w:val="32"/>
          <w:szCs w:val="32"/>
        </w:rPr>
        <w:t>公告</w:t>
      </w:r>
      <w:r>
        <w:rPr>
          <w:rFonts w:hint="eastAsia" w:eastAsia="方正仿宋_GBK"/>
          <w:color w:val="auto"/>
          <w:sz w:val="32"/>
          <w:szCs w:val="32"/>
          <w:lang w:val="en-US" w:eastAsia="zh-CN"/>
        </w:rPr>
        <w:t>。</w:t>
      </w:r>
    </w:p>
    <w:p>
      <w:pPr>
        <w:keepNext w:val="0"/>
        <w:keepLines w:val="0"/>
        <w:pageBreakBefore w:val="0"/>
        <w:widowControl w:val="0"/>
        <w:kinsoku/>
        <w:wordWrap/>
        <w:overflowPunct w:val="0"/>
        <w:topLinePunct w:val="0"/>
        <w:autoSpaceDE/>
        <w:autoSpaceDN/>
        <w:bidi w:val="0"/>
        <w:spacing w:line="576" w:lineRule="exact"/>
        <w:ind w:firstLine="640" w:firstLineChars="200"/>
        <w:jc w:val="both"/>
        <w:textAlignment w:val="auto"/>
        <w:rPr>
          <w:rFonts w:eastAsia="方正仿宋_GBK"/>
          <w:color w:val="auto"/>
          <w:sz w:val="32"/>
          <w:szCs w:val="32"/>
        </w:rPr>
      </w:pPr>
    </w:p>
    <w:p>
      <w:pPr>
        <w:keepNext w:val="0"/>
        <w:keepLines w:val="0"/>
        <w:pageBreakBefore w:val="0"/>
        <w:widowControl w:val="0"/>
        <w:kinsoku/>
        <w:wordWrap/>
        <w:overflowPunct w:val="0"/>
        <w:topLinePunct w:val="0"/>
        <w:autoSpaceDE/>
        <w:autoSpaceDN/>
        <w:bidi w:val="0"/>
        <w:spacing w:line="576" w:lineRule="exact"/>
        <w:ind w:firstLine="640" w:firstLineChars="200"/>
        <w:jc w:val="both"/>
        <w:textAlignment w:val="auto"/>
        <w:rPr>
          <w:rFonts w:eastAsia="方正仿宋_GBK"/>
          <w:color w:val="auto"/>
          <w:sz w:val="32"/>
          <w:szCs w:val="32"/>
        </w:rPr>
      </w:pPr>
      <w:r>
        <w:rPr>
          <w:rFonts w:hint="eastAsia" w:eastAsia="方正仿宋_GBK"/>
          <w:color w:val="auto"/>
          <w:sz w:val="32"/>
          <w:szCs w:val="32"/>
        </w:rPr>
        <w:t>附件：征地</w:t>
      </w:r>
      <w:r>
        <w:rPr>
          <w:rFonts w:hint="eastAsia" w:eastAsia="方正仿宋_GBK" w:cs="方正仿宋_GBK"/>
          <w:color w:val="auto"/>
          <w:sz w:val="32"/>
          <w:szCs w:val="32"/>
        </w:rPr>
        <w:t>补偿安置方案</w:t>
      </w:r>
    </w:p>
    <w:p>
      <w:pPr>
        <w:pStyle w:val="2"/>
        <w:ind w:firstLine="320"/>
        <w:rPr>
          <w:rFonts w:eastAsia="方正仿宋_GBK"/>
          <w:color w:val="auto"/>
          <w:sz w:val="32"/>
          <w:szCs w:val="32"/>
          <w:lang w:eastAsia="zh-CN"/>
        </w:rPr>
      </w:pPr>
    </w:p>
    <w:p>
      <w:pPr>
        <w:pStyle w:val="2"/>
        <w:ind w:firstLine="320"/>
        <w:rPr>
          <w:rFonts w:eastAsia="方正仿宋_GBK"/>
          <w:color w:val="auto"/>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4640" w:firstLineChars="1450"/>
        <w:textAlignment w:val="auto"/>
        <w:rPr>
          <w:rFonts w:eastAsia="方正仿宋_GBK"/>
          <w:color w:val="auto"/>
          <w:sz w:val="32"/>
          <w:szCs w:val="32"/>
        </w:rPr>
      </w:pPr>
      <w:r>
        <w:rPr>
          <w:rFonts w:hint="eastAsia" w:eastAsia="方正仿宋_GBK"/>
          <w:color w:val="auto"/>
          <w:sz w:val="32"/>
          <w:szCs w:val="32"/>
        </w:rPr>
        <w:t>重庆市綦江区人民政府</w:t>
      </w:r>
    </w:p>
    <w:p>
      <w:pPr>
        <w:tabs>
          <w:tab w:val="left" w:pos="7560"/>
        </w:tabs>
        <w:overflowPunct w:val="0"/>
        <w:spacing w:line="600" w:lineRule="exact"/>
        <w:rPr>
          <w:rFonts w:eastAsia="方正仿宋_GBK"/>
          <w:color w:val="auto"/>
          <w:sz w:val="32"/>
          <w:szCs w:val="32"/>
        </w:rPr>
      </w:pPr>
      <w:r>
        <w:rPr>
          <w:rFonts w:hint="eastAsia" w:eastAsia="方正仿宋_GBK"/>
          <w:color w:val="auto"/>
          <w:sz w:val="32"/>
          <w:szCs w:val="32"/>
        </w:rPr>
        <w:t xml:space="preserve">                         </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     202</w:t>
      </w:r>
      <w:r>
        <w:rPr>
          <w:rFonts w:hint="eastAsia" w:eastAsia="方正仿宋_GBK"/>
          <w:color w:val="auto"/>
          <w:sz w:val="32"/>
          <w:szCs w:val="32"/>
          <w:lang w:val="en-US" w:eastAsia="zh-CN"/>
        </w:rPr>
        <w:t>5</w:t>
      </w:r>
      <w:r>
        <w:rPr>
          <w:rFonts w:hint="eastAsia" w:eastAsia="方正仿宋_GBK"/>
          <w:color w:val="auto"/>
          <w:sz w:val="32"/>
          <w:szCs w:val="32"/>
        </w:rPr>
        <w:t>年</w:t>
      </w:r>
      <w:r>
        <w:rPr>
          <w:rFonts w:hint="eastAsia" w:eastAsia="方正仿宋_GBK"/>
          <w:color w:val="auto"/>
          <w:sz w:val="32"/>
          <w:szCs w:val="32"/>
          <w:lang w:val="en-US" w:eastAsia="zh-CN"/>
        </w:rPr>
        <w:t>3</w:t>
      </w:r>
      <w:r>
        <w:rPr>
          <w:rFonts w:hint="eastAsia" w:eastAsia="方正仿宋_GBK"/>
          <w:color w:val="auto"/>
          <w:sz w:val="32"/>
          <w:szCs w:val="32"/>
        </w:rPr>
        <w:t>月</w:t>
      </w:r>
      <w:r>
        <w:rPr>
          <w:rFonts w:hint="eastAsia" w:eastAsia="方正仿宋_GBK"/>
          <w:color w:val="auto"/>
          <w:sz w:val="32"/>
          <w:szCs w:val="32"/>
          <w:lang w:val="en-US" w:eastAsia="zh-CN"/>
        </w:rPr>
        <w:t>11</w:t>
      </w:r>
      <w:r>
        <w:rPr>
          <w:rFonts w:hint="eastAsia" w:eastAsia="方正仿宋_GBK"/>
          <w:color w:val="auto"/>
          <w:sz w:val="32"/>
          <w:szCs w:val="32"/>
        </w:rPr>
        <w:t>日</w:t>
      </w:r>
    </w:p>
    <w:p>
      <w:pPr>
        <w:overflowPunct w:val="0"/>
        <w:rPr>
          <w:color w:val="auto"/>
        </w:rPr>
      </w:pPr>
    </w:p>
    <w:p>
      <w:pPr>
        <w:rPr>
          <w:rFonts w:ascii="方正仿宋_GBK" w:hAnsi="方正仿宋_GBK" w:eastAsia="方正仿宋_GBK" w:cs="方正仿宋_GBK"/>
          <w:color w:val="auto"/>
          <w:sz w:val="32"/>
          <w:szCs w:val="32"/>
        </w:rPr>
      </w:pPr>
    </w:p>
    <w:p>
      <w:pPr>
        <w:rPr>
          <w:rFonts w:ascii="方正仿宋_GBK" w:hAnsi="方正仿宋_GBK" w:eastAsia="方正仿宋_GBK" w:cs="方正仿宋_GBK"/>
          <w:color w:val="auto"/>
          <w:sz w:val="32"/>
          <w:szCs w:val="32"/>
        </w:rPr>
      </w:pPr>
    </w:p>
    <w:p>
      <w:pPr>
        <w:adjustRightInd w:val="0"/>
        <w:snapToGrid w:val="0"/>
        <w:spacing w:line="576" w:lineRule="exact"/>
        <w:jc w:val="both"/>
        <w:outlineLvl w:val="0"/>
        <w:rPr>
          <w:rFonts w:hint="eastAsia" w:ascii="方正黑体_GBK" w:hAnsi="方正黑体_GBK" w:eastAsia="方正黑体_GBK" w:cs="方正黑体_GBK"/>
          <w:bCs/>
          <w:color w:val="auto"/>
          <w:sz w:val="32"/>
          <w:szCs w:val="32"/>
          <w:lang w:eastAsia="zh-CN"/>
        </w:rPr>
      </w:pPr>
    </w:p>
    <w:p>
      <w:pPr>
        <w:adjustRightInd w:val="0"/>
        <w:snapToGrid w:val="0"/>
        <w:spacing w:line="576" w:lineRule="exact"/>
        <w:jc w:val="both"/>
        <w:outlineLvl w:val="0"/>
        <w:rPr>
          <w:rFonts w:hint="eastAsia" w:ascii="方正黑体_GBK" w:hAnsi="方正黑体_GBK" w:eastAsia="方正黑体_GBK" w:cs="方正黑体_GBK"/>
          <w:bCs/>
          <w:color w:val="auto"/>
          <w:sz w:val="32"/>
          <w:szCs w:val="32"/>
          <w:lang w:eastAsia="zh-CN"/>
        </w:rPr>
      </w:pPr>
      <w:r>
        <w:rPr>
          <w:rFonts w:hint="eastAsia" w:ascii="方正黑体_GBK" w:hAnsi="方正黑体_GBK" w:eastAsia="方正黑体_GBK" w:cs="方正黑体_GBK"/>
          <w:bCs/>
          <w:color w:val="auto"/>
          <w:sz w:val="32"/>
          <w:szCs w:val="32"/>
          <w:lang w:eastAsia="zh-CN"/>
        </w:rPr>
        <w:t>附件</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line="576" w:lineRule="exact"/>
        <w:jc w:val="center"/>
        <w:textAlignment w:val="auto"/>
        <w:outlineLvl w:val="0"/>
        <w:rPr>
          <w:rFonts w:ascii="方正小标宋简体" w:hAnsi="方正小标宋简体" w:eastAsia="方正小标宋简体" w:cs="方正小标宋简体"/>
          <w:bCs/>
          <w:color w:val="auto"/>
          <w:sz w:val="44"/>
          <w:szCs w:val="44"/>
        </w:rPr>
      </w:pPr>
      <w:r>
        <w:rPr>
          <w:rFonts w:hint="eastAsia" w:ascii="方正小标宋_GBK" w:hAnsi="方正小标宋_GBK" w:eastAsia="方正小标宋_GBK" w:cs="方正小标宋_GBK"/>
          <w:bCs/>
          <w:color w:val="auto"/>
          <w:sz w:val="44"/>
          <w:szCs w:val="44"/>
        </w:rPr>
        <w:t>征地补偿安置方案</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bCs/>
          <w:color w:val="auto"/>
          <w:sz w:val="32"/>
          <w:szCs w:val="32"/>
        </w:rPr>
      </w:pP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bCs/>
          <w:color w:val="auto"/>
          <w:sz w:val="32"/>
          <w:szCs w:val="32"/>
        </w:rPr>
      </w:pPr>
      <w:r>
        <w:rPr>
          <w:rFonts w:hint="eastAsia" w:eastAsia="方正仿宋_GBK"/>
          <w:bCs/>
          <w:color w:val="auto"/>
          <w:sz w:val="32"/>
          <w:szCs w:val="32"/>
        </w:rPr>
        <w:t>为</w:t>
      </w:r>
      <w:r>
        <w:rPr>
          <w:rFonts w:hint="eastAsia" w:eastAsia="方正仿宋_GBK"/>
          <w:color w:val="auto"/>
          <w:sz w:val="32"/>
          <w:szCs w:val="32"/>
        </w:rPr>
        <w:t>实施</w:t>
      </w:r>
      <w:r>
        <w:rPr>
          <w:rFonts w:hint="eastAsia" w:eastAsia="方正仿宋_GBK"/>
          <w:color w:val="auto"/>
          <w:sz w:val="32"/>
          <w:szCs w:val="32"/>
          <w:lang w:val="en-US" w:eastAsia="zh-CN"/>
        </w:rPr>
        <w:t>綦江区采煤沉陷区永庆路（二期）建设工程</w:t>
      </w:r>
      <w:r>
        <w:rPr>
          <w:rFonts w:eastAsia="方正仿宋_GBK"/>
          <w:bCs/>
          <w:color w:val="auto"/>
          <w:sz w:val="32"/>
          <w:szCs w:val="32"/>
        </w:rPr>
        <w:t>需要</w:t>
      </w:r>
      <w:r>
        <w:rPr>
          <w:rFonts w:hint="eastAsia" w:eastAsia="方正仿宋_GBK"/>
          <w:bCs/>
          <w:color w:val="auto"/>
          <w:sz w:val="32"/>
          <w:szCs w:val="32"/>
        </w:rPr>
        <w:t>，重庆市綦江区人民政府</w:t>
      </w:r>
      <w:r>
        <w:rPr>
          <w:rFonts w:eastAsia="方正仿宋_GBK"/>
          <w:color w:val="auto"/>
          <w:sz w:val="32"/>
          <w:szCs w:val="32"/>
        </w:rPr>
        <w:t>拟征收</w:t>
      </w:r>
      <w:r>
        <w:rPr>
          <w:rFonts w:hint="eastAsia" w:eastAsia="方正仿宋_GBK"/>
          <w:color w:val="auto"/>
          <w:sz w:val="32"/>
          <w:szCs w:val="32"/>
          <w:lang w:val="en-US" w:eastAsia="zh-CN"/>
        </w:rPr>
        <w:t>永城镇黄沙村沙地组</w:t>
      </w:r>
      <w:r>
        <w:rPr>
          <w:rFonts w:hint="eastAsia" w:eastAsia="方正仿宋_GBK"/>
          <w:color w:val="auto"/>
          <w:spacing w:val="-6"/>
          <w:sz w:val="32"/>
          <w:szCs w:val="32"/>
          <w:lang w:val="en-US" w:eastAsia="zh-CN"/>
        </w:rPr>
        <w:t>等1个镇1个村2个组集体土地</w:t>
      </w:r>
      <w:r>
        <w:rPr>
          <w:rFonts w:hint="eastAsia" w:eastAsia="方正仿宋_GBK"/>
          <w:color w:val="auto"/>
          <w:spacing w:val="-6"/>
          <w:sz w:val="32"/>
          <w:szCs w:val="32"/>
        </w:rPr>
        <w:t>。</w:t>
      </w:r>
      <w:r>
        <w:rPr>
          <w:rFonts w:eastAsia="方正仿宋_GBK"/>
          <w:bCs/>
          <w:color w:val="auto"/>
          <w:spacing w:val="-6"/>
          <w:sz w:val="32"/>
          <w:szCs w:val="32"/>
        </w:rPr>
        <w:t>根据《重庆市集体土地征收补偿</w:t>
      </w:r>
      <w:r>
        <w:rPr>
          <w:rFonts w:eastAsia="方正仿宋_GBK"/>
          <w:bCs/>
          <w:color w:val="auto"/>
          <w:sz w:val="32"/>
          <w:szCs w:val="32"/>
        </w:rPr>
        <w:t>安置办法》（重庆市人民政府令第344号）、《</w:t>
      </w:r>
      <w:r>
        <w:rPr>
          <w:rFonts w:hint="eastAsia" w:eastAsia="方正仿宋_GBK"/>
          <w:bCs/>
          <w:color w:val="auto"/>
          <w:sz w:val="32"/>
          <w:szCs w:val="32"/>
          <w:lang w:val="en-US" w:eastAsia="zh-CN"/>
        </w:rPr>
        <w:t>重庆市土地管理条例</w:t>
      </w:r>
      <w:r>
        <w:rPr>
          <w:rFonts w:eastAsia="方正仿宋_GBK"/>
          <w:bCs/>
          <w:color w:val="auto"/>
          <w:sz w:val="32"/>
          <w:szCs w:val="32"/>
        </w:rPr>
        <w:t>》</w:t>
      </w:r>
      <w:r>
        <w:rPr>
          <w:rFonts w:hint="eastAsia" w:eastAsia="方正仿宋_GBK"/>
          <w:bCs/>
          <w:color w:val="auto"/>
          <w:sz w:val="32"/>
          <w:szCs w:val="32"/>
          <w:lang w:eastAsia="zh-CN"/>
        </w:rPr>
        <w:t>、</w:t>
      </w:r>
      <w:r>
        <w:rPr>
          <w:rFonts w:eastAsia="方正仿宋_GBK"/>
          <w:bCs/>
          <w:color w:val="auto"/>
          <w:sz w:val="32"/>
          <w:szCs w:val="32"/>
        </w:rPr>
        <w:t>《重庆市人民政府关于公布征地补偿安置标准有关事项的通知》（渝府发〔2021〕14号）</w:t>
      </w:r>
      <w:r>
        <w:rPr>
          <w:rFonts w:hint="eastAsia" w:eastAsia="方正仿宋_GBK"/>
          <w:bCs/>
          <w:color w:val="auto"/>
          <w:sz w:val="32"/>
          <w:szCs w:val="32"/>
          <w:lang w:eastAsia="zh-CN"/>
        </w:rPr>
        <w:t>、《</w:t>
      </w:r>
      <w:r>
        <w:rPr>
          <w:rFonts w:hint="eastAsia" w:eastAsia="方正仿宋_GBK"/>
          <w:bCs/>
          <w:color w:val="auto"/>
          <w:sz w:val="32"/>
          <w:szCs w:val="32"/>
          <w:lang w:val="en-US" w:eastAsia="zh-CN"/>
        </w:rPr>
        <w:t>重庆市规划和自然资源局关于重新公布征地区片综合地价的通知</w:t>
      </w:r>
      <w:r>
        <w:rPr>
          <w:rFonts w:hint="eastAsia" w:eastAsia="方正仿宋_GBK"/>
          <w:bCs/>
          <w:color w:val="auto"/>
          <w:sz w:val="32"/>
          <w:szCs w:val="32"/>
          <w:lang w:eastAsia="zh-CN"/>
        </w:rPr>
        <w:t>》（</w:t>
      </w:r>
      <w:r>
        <w:rPr>
          <w:rFonts w:hint="eastAsia" w:eastAsia="方正仿宋_GBK"/>
          <w:bCs/>
          <w:color w:val="auto"/>
          <w:sz w:val="32"/>
          <w:szCs w:val="32"/>
          <w:lang w:val="en-US" w:eastAsia="zh-CN"/>
        </w:rPr>
        <w:t>渝规资规范</w:t>
      </w:r>
      <w:r>
        <w:rPr>
          <w:rFonts w:eastAsia="方正仿宋_GBK"/>
          <w:bCs/>
          <w:color w:val="auto"/>
          <w:sz w:val="32"/>
          <w:szCs w:val="32"/>
        </w:rPr>
        <w:t>〔202</w:t>
      </w:r>
      <w:r>
        <w:rPr>
          <w:rFonts w:hint="eastAsia" w:eastAsia="方正仿宋_GBK"/>
          <w:bCs/>
          <w:color w:val="auto"/>
          <w:sz w:val="32"/>
          <w:szCs w:val="32"/>
          <w:lang w:val="en-US" w:eastAsia="zh-CN"/>
        </w:rPr>
        <w:t>3</w:t>
      </w:r>
      <w:r>
        <w:rPr>
          <w:rFonts w:eastAsia="方正仿宋_GBK"/>
          <w:bCs/>
          <w:color w:val="auto"/>
          <w:sz w:val="32"/>
          <w:szCs w:val="32"/>
        </w:rPr>
        <w:t>〕1</w:t>
      </w:r>
      <w:r>
        <w:rPr>
          <w:rFonts w:hint="eastAsia" w:eastAsia="方正仿宋_GBK"/>
          <w:bCs/>
          <w:color w:val="auto"/>
          <w:sz w:val="32"/>
          <w:szCs w:val="32"/>
          <w:lang w:val="en-US" w:eastAsia="zh-CN"/>
        </w:rPr>
        <w:t>0</w:t>
      </w:r>
      <w:r>
        <w:rPr>
          <w:rFonts w:eastAsia="方正仿宋_GBK"/>
          <w:bCs/>
          <w:color w:val="auto"/>
          <w:sz w:val="32"/>
          <w:szCs w:val="32"/>
        </w:rPr>
        <w:t>号</w:t>
      </w:r>
      <w:r>
        <w:rPr>
          <w:rFonts w:hint="eastAsia" w:eastAsia="方正仿宋_GBK"/>
          <w:bCs/>
          <w:color w:val="auto"/>
          <w:sz w:val="32"/>
          <w:szCs w:val="32"/>
          <w:lang w:eastAsia="zh-CN"/>
        </w:rPr>
        <w:t>）</w:t>
      </w:r>
      <w:r>
        <w:rPr>
          <w:rFonts w:eastAsia="方正仿宋_GBK"/>
          <w:bCs/>
          <w:color w:val="auto"/>
          <w:sz w:val="32"/>
          <w:szCs w:val="32"/>
        </w:rPr>
        <w:t>和《</w:t>
      </w:r>
      <w:r>
        <w:rPr>
          <w:rFonts w:hint="eastAsia" w:eastAsia="方正仿宋_GBK"/>
          <w:bCs/>
          <w:color w:val="auto"/>
          <w:sz w:val="32"/>
          <w:szCs w:val="32"/>
        </w:rPr>
        <w:t>重庆市綦江区人民政府关于印发重庆市綦江区集体土地征收补偿安置实施办法的通知</w:t>
      </w:r>
      <w:r>
        <w:rPr>
          <w:rFonts w:eastAsia="方正仿宋_GBK"/>
          <w:bCs/>
          <w:color w:val="auto"/>
          <w:sz w:val="32"/>
          <w:szCs w:val="32"/>
        </w:rPr>
        <w:t>》（綦江府发〔2021〕</w:t>
      </w:r>
      <w:r>
        <w:rPr>
          <w:rFonts w:hint="eastAsia" w:eastAsia="方正仿宋_GBK"/>
          <w:bCs/>
          <w:color w:val="auto"/>
          <w:sz w:val="32"/>
          <w:szCs w:val="32"/>
        </w:rPr>
        <w:t>13</w:t>
      </w:r>
      <w:r>
        <w:rPr>
          <w:rFonts w:eastAsia="方正仿宋_GBK"/>
          <w:bCs/>
          <w:color w:val="auto"/>
          <w:sz w:val="32"/>
          <w:szCs w:val="32"/>
        </w:rPr>
        <w:t>号）</w:t>
      </w:r>
      <w:r>
        <w:rPr>
          <w:rFonts w:hint="eastAsia" w:eastAsia="方正仿宋_GBK"/>
          <w:bCs/>
          <w:color w:val="auto"/>
          <w:sz w:val="32"/>
          <w:szCs w:val="32"/>
        </w:rPr>
        <w:t>等</w:t>
      </w:r>
      <w:r>
        <w:rPr>
          <w:rFonts w:eastAsia="方正仿宋_GBK"/>
          <w:bCs/>
          <w:color w:val="auto"/>
          <w:sz w:val="32"/>
          <w:szCs w:val="32"/>
        </w:rPr>
        <w:t>有关法律法规规定，结合我区实际，拟定征地补偿安置方案如下：</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outlineLvl w:val="0"/>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一、征收范围及土地现状</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bCs/>
          <w:color w:val="auto"/>
          <w:sz w:val="32"/>
          <w:szCs w:val="32"/>
        </w:rPr>
      </w:pPr>
      <w:r>
        <w:rPr>
          <w:rFonts w:eastAsia="方正仿宋_GBK"/>
          <w:color w:val="auto"/>
          <w:sz w:val="32"/>
          <w:szCs w:val="32"/>
        </w:rPr>
        <w:t>拟征收</w:t>
      </w:r>
      <w:r>
        <w:rPr>
          <w:rFonts w:hint="eastAsia" w:eastAsia="方正仿宋_GBK"/>
          <w:color w:val="auto"/>
          <w:sz w:val="32"/>
          <w:szCs w:val="32"/>
          <w:lang w:val="en-US" w:eastAsia="zh-CN"/>
        </w:rPr>
        <w:t>永城镇黄沙村沙地组等1个镇1个村2个组集体土地1.3744</w:t>
      </w:r>
      <w:r>
        <w:rPr>
          <w:rFonts w:eastAsia="方正仿宋_GBK"/>
          <w:color w:val="auto"/>
          <w:sz w:val="32"/>
          <w:szCs w:val="32"/>
        </w:rPr>
        <w:t>公顷</w:t>
      </w:r>
      <w:r>
        <w:rPr>
          <w:rFonts w:hint="eastAsia" w:eastAsia="方正仿宋_GBK"/>
          <w:color w:val="auto"/>
          <w:sz w:val="32"/>
          <w:szCs w:val="32"/>
          <w:lang w:eastAsia="zh-CN"/>
        </w:rPr>
        <w:t>，</w:t>
      </w:r>
      <w:r>
        <w:rPr>
          <w:rFonts w:hint="eastAsia" w:eastAsia="方正仿宋_GBK"/>
          <w:color w:val="auto"/>
          <w:sz w:val="32"/>
          <w:szCs w:val="32"/>
          <w:lang w:val="en-US" w:eastAsia="zh-CN"/>
        </w:rPr>
        <w:t>其中：黄沙村沙地组0.0139公顷、黄沙村水井坎组1.3605公顷。</w:t>
      </w:r>
      <w:r>
        <w:rPr>
          <w:rFonts w:eastAsia="方正仿宋_GBK"/>
          <w:bCs/>
          <w:color w:val="auto"/>
          <w:spacing w:val="-6"/>
          <w:sz w:val="32"/>
          <w:szCs w:val="32"/>
        </w:rPr>
        <w:t>拟征收土地的权属、地类、面积详见土地分类面积</w:t>
      </w:r>
      <w:r>
        <w:rPr>
          <w:rFonts w:hint="eastAsia" w:eastAsia="方正仿宋_GBK"/>
          <w:bCs/>
          <w:color w:val="auto"/>
          <w:spacing w:val="-6"/>
          <w:sz w:val="32"/>
          <w:szCs w:val="32"/>
        </w:rPr>
        <w:t>情况</w:t>
      </w:r>
      <w:r>
        <w:rPr>
          <w:rFonts w:eastAsia="方正仿宋_GBK"/>
          <w:bCs/>
          <w:color w:val="auto"/>
          <w:spacing w:val="-6"/>
          <w:sz w:val="32"/>
          <w:szCs w:val="32"/>
        </w:rPr>
        <w:t>表</w:t>
      </w:r>
      <w:r>
        <w:rPr>
          <w:rFonts w:hint="eastAsia" w:eastAsia="方正仿宋_GBK"/>
          <w:bCs/>
          <w:color w:val="auto"/>
          <w:spacing w:val="-6"/>
          <w:sz w:val="32"/>
          <w:szCs w:val="32"/>
        </w:rPr>
        <w:t>（附件</w:t>
      </w:r>
      <w:r>
        <w:rPr>
          <w:rFonts w:hint="eastAsia" w:eastAsia="方正仿宋_GBK"/>
          <w:bCs/>
          <w:color w:val="auto"/>
          <w:sz w:val="32"/>
          <w:szCs w:val="32"/>
        </w:rPr>
        <w:t>1）</w:t>
      </w:r>
      <w:r>
        <w:rPr>
          <w:rFonts w:eastAsia="方正仿宋_GBK"/>
          <w:bCs/>
          <w:color w:val="auto"/>
          <w:sz w:val="32"/>
          <w:szCs w:val="32"/>
        </w:rPr>
        <w:t xml:space="preserve">。 </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outlineLvl w:val="0"/>
        <w:rPr>
          <w:rFonts w:ascii="方正黑体_GBK" w:hAnsi="方正黑体_GBK" w:eastAsia="方正黑体_GBK" w:cs="方正黑体_GBK"/>
          <w:bCs/>
          <w:color w:val="auto"/>
          <w:sz w:val="32"/>
          <w:szCs w:val="32"/>
        </w:rPr>
      </w:pPr>
      <w:r>
        <w:rPr>
          <w:rFonts w:ascii="方正黑体_GBK" w:hAnsi="方正黑体_GBK" w:eastAsia="方正黑体_GBK" w:cs="方正黑体_GBK"/>
          <w:bCs/>
          <w:color w:val="auto"/>
          <w:sz w:val="32"/>
          <w:szCs w:val="32"/>
        </w:rPr>
        <w:t>二、征收目的</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color w:val="auto"/>
          <w:sz w:val="32"/>
          <w:szCs w:val="32"/>
        </w:rPr>
      </w:pPr>
      <w:r>
        <w:rPr>
          <w:rFonts w:hint="eastAsia" w:eastAsia="方正仿宋_GBK"/>
          <w:color w:val="auto"/>
          <w:sz w:val="32"/>
          <w:szCs w:val="32"/>
        </w:rPr>
        <w:t>土地征收后，拟用于</w:t>
      </w:r>
      <w:r>
        <w:rPr>
          <w:rFonts w:hint="eastAsia" w:eastAsia="方正仿宋_GBK"/>
          <w:color w:val="auto"/>
          <w:sz w:val="32"/>
          <w:szCs w:val="32"/>
          <w:lang w:val="en-US" w:eastAsia="zh-CN"/>
        </w:rPr>
        <w:t>綦江区采煤沉陷区永庆路（二期）工程建设</w:t>
      </w:r>
      <w:r>
        <w:rPr>
          <w:rFonts w:hint="eastAsia" w:eastAsia="方正仿宋_GBK"/>
          <w:color w:val="auto"/>
          <w:sz w:val="32"/>
          <w:szCs w:val="32"/>
        </w:rPr>
        <w:t>。</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outlineLvl w:val="0"/>
        <w:rPr>
          <w:rFonts w:ascii="方正黑体_GBK" w:hAnsi="方正黑体_GBK" w:eastAsia="方正黑体_GBK" w:cs="方正黑体_GBK"/>
          <w:bCs/>
          <w:color w:val="auto"/>
          <w:sz w:val="32"/>
          <w:szCs w:val="32"/>
        </w:rPr>
      </w:pPr>
      <w:r>
        <w:rPr>
          <w:rFonts w:ascii="方正黑体_GBK" w:hAnsi="方正黑体_GBK" w:eastAsia="方正黑体_GBK" w:cs="方正黑体_GBK"/>
          <w:bCs/>
          <w:color w:val="auto"/>
          <w:sz w:val="32"/>
          <w:szCs w:val="32"/>
        </w:rPr>
        <w:t>三、补偿方式和标准</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rPr>
        <w:t>（一）土地补偿费和安置补助费</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bCs/>
          <w:color w:val="auto"/>
          <w:sz w:val="32"/>
          <w:szCs w:val="32"/>
        </w:rPr>
      </w:pPr>
      <w:r>
        <w:rPr>
          <w:rFonts w:hint="eastAsia" w:eastAsia="方正仿宋_GBK"/>
          <w:bCs/>
          <w:color w:val="auto"/>
          <w:sz w:val="32"/>
          <w:szCs w:val="32"/>
        </w:rPr>
        <w:t>征收农用地、建设用地和未利用地的土地补偿费和安置补助费，不分地类，按照市政府制定公布的区片综合地价标准乘以被征收土地面积计算。区片综合地价中，土地补偿费占30%，安置补助费占70%</w:t>
      </w:r>
      <w:r>
        <w:rPr>
          <w:rFonts w:hint="eastAsia" w:eastAsia="方正仿宋_GBK"/>
          <w:bCs/>
          <w:color w:val="auto"/>
          <w:sz w:val="32"/>
          <w:szCs w:val="32"/>
          <w:lang w:eastAsia="zh-CN"/>
        </w:rPr>
        <w:t>，</w:t>
      </w:r>
      <w:r>
        <w:rPr>
          <w:rFonts w:hint="eastAsia" w:eastAsia="方正仿宋_GBK"/>
          <w:bCs/>
          <w:color w:val="auto"/>
          <w:sz w:val="32"/>
          <w:szCs w:val="32"/>
          <w:lang w:val="en-US" w:eastAsia="zh-CN"/>
        </w:rPr>
        <w:t>具体补偿费用情况详见《土地补偿费和安置补助费明细表》</w:t>
      </w:r>
      <w:r>
        <w:rPr>
          <w:rFonts w:hint="eastAsia" w:eastAsia="方正仿宋_GBK"/>
          <w:bCs/>
          <w:color w:val="auto"/>
          <w:sz w:val="32"/>
          <w:szCs w:val="32"/>
        </w:rPr>
        <w:t>。</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color w:val="auto"/>
          <w:kern w:val="0"/>
          <w:sz w:val="32"/>
          <w:szCs w:val="32"/>
        </w:rPr>
      </w:pPr>
      <w:r>
        <w:rPr>
          <w:rFonts w:hint="eastAsia" w:eastAsia="方正仿宋_GBK"/>
          <w:color w:val="auto"/>
          <w:kern w:val="0"/>
          <w:sz w:val="32"/>
          <w:szCs w:val="32"/>
        </w:rPr>
        <w:t>1</w:t>
      </w:r>
      <w:r>
        <w:rPr>
          <w:rFonts w:hint="eastAsia" w:eastAsia="方正仿宋_GBK"/>
          <w:color w:val="auto"/>
          <w:kern w:val="0"/>
          <w:sz w:val="32"/>
          <w:szCs w:val="32"/>
          <w:lang w:eastAsia="zh-CN"/>
        </w:rPr>
        <w:t>．</w:t>
      </w:r>
      <w:r>
        <w:rPr>
          <w:rFonts w:hint="eastAsia" w:eastAsia="方正仿宋_GBK"/>
          <w:color w:val="auto"/>
          <w:kern w:val="0"/>
          <w:sz w:val="32"/>
          <w:szCs w:val="32"/>
        </w:rPr>
        <w:t>土地补偿费</w:t>
      </w:r>
      <w:r>
        <w:rPr>
          <w:rFonts w:hint="eastAsia" w:eastAsia="方正仿宋_GBK"/>
          <w:color w:val="auto"/>
          <w:kern w:val="0"/>
          <w:sz w:val="32"/>
          <w:szCs w:val="32"/>
          <w:lang w:eastAsia="zh-CN"/>
        </w:rPr>
        <w:t>。</w:t>
      </w:r>
      <w:r>
        <w:rPr>
          <w:rFonts w:hint="eastAsia" w:eastAsia="方正仿宋_GBK"/>
          <w:color w:val="auto"/>
          <w:kern w:val="0"/>
          <w:sz w:val="32"/>
          <w:szCs w:val="32"/>
        </w:rPr>
        <w:t>土地补偿费</w:t>
      </w:r>
      <w:r>
        <w:rPr>
          <w:rFonts w:eastAsia="方正仿宋_GBK"/>
          <w:color w:val="auto"/>
          <w:kern w:val="0"/>
          <w:sz w:val="32"/>
          <w:szCs w:val="32"/>
        </w:rPr>
        <w:t>由</w:t>
      </w:r>
      <w:r>
        <w:rPr>
          <w:rFonts w:hint="eastAsia" w:eastAsia="方正仿宋_GBK"/>
          <w:color w:val="auto"/>
          <w:sz w:val="32"/>
          <w:szCs w:val="32"/>
        </w:rPr>
        <w:t>区拆迁征收中心委托</w:t>
      </w:r>
      <w:r>
        <w:rPr>
          <w:rFonts w:hint="eastAsia" w:eastAsia="方正仿宋_GBK"/>
          <w:color w:val="auto"/>
          <w:sz w:val="32"/>
          <w:szCs w:val="32"/>
          <w:lang w:val="en-US" w:eastAsia="zh-CN"/>
        </w:rPr>
        <w:t>永城镇政府</w:t>
      </w:r>
      <w:r>
        <w:rPr>
          <w:rFonts w:eastAsia="方正仿宋_GBK"/>
          <w:color w:val="auto"/>
          <w:kern w:val="0"/>
          <w:sz w:val="32"/>
          <w:szCs w:val="32"/>
        </w:rPr>
        <w:t>支付给被征地农村集体经济组织</w:t>
      </w:r>
      <w:r>
        <w:rPr>
          <w:rFonts w:hint="eastAsia" w:eastAsia="方正仿宋_GBK"/>
          <w:color w:val="auto"/>
          <w:kern w:val="0"/>
          <w:sz w:val="32"/>
          <w:szCs w:val="32"/>
        </w:rPr>
        <w:t>。</w:t>
      </w:r>
      <w:r>
        <w:rPr>
          <w:rFonts w:eastAsia="方正仿宋_GBK"/>
          <w:color w:val="auto"/>
          <w:kern w:val="0"/>
          <w:sz w:val="32"/>
          <w:szCs w:val="32"/>
        </w:rPr>
        <w:t>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color w:val="auto"/>
          <w:sz w:val="32"/>
          <w:szCs w:val="32"/>
        </w:rPr>
      </w:pPr>
      <w:r>
        <w:rPr>
          <w:rFonts w:hint="eastAsia" w:eastAsia="方正仿宋_GBK"/>
          <w:color w:val="auto"/>
          <w:kern w:val="0"/>
          <w:sz w:val="32"/>
          <w:szCs w:val="32"/>
        </w:rPr>
        <w:t>2</w:t>
      </w:r>
      <w:r>
        <w:rPr>
          <w:rFonts w:hint="eastAsia" w:eastAsia="方正仿宋_GBK"/>
          <w:color w:val="auto"/>
          <w:kern w:val="0"/>
          <w:sz w:val="32"/>
          <w:szCs w:val="32"/>
          <w:lang w:eastAsia="zh-CN"/>
        </w:rPr>
        <w:t>．</w:t>
      </w:r>
      <w:r>
        <w:rPr>
          <w:rFonts w:eastAsia="方正仿宋_GBK"/>
          <w:color w:val="auto"/>
          <w:kern w:val="0"/>
          <w:sz w:val="32"/>
          <w:szCs w:val="32"/>
        </w:rPr>
        <w:t>安置补助费</w:t>
      </w:r>
      <w:r>
        <w:rPr>
          <w:rFonts w:hint="eastAsia" w:eastAsia="方正仿宋_GBK"/>
          <w:color w:val="auto"/>
          <w:kern w:val="0"/>
          <w:sz w:val="32"/>
          <w:szCs w:val="32"/>
          <w:lang w:eastAsia="zh-CN"/>
        </w:rPr>
        <w:t>。</w:t>
      </w:r>
      <w:r>
        <w:rPr>
          <w:rFonts w:eastAsia="方正仿宋_GBK"/>
          <w:color w:val="auto"/>
          <w:sz w:val="32"/>
          <w:szCs w:val="32"/>
        </w:rPr>
        <w:t>安置补助费由</w:t>
      </w:r>
      <w:r>
        <w:rPr>
          <w:rFonts w:hint="eastAsia" w:eastAsia="方正仿宋_GBK"/>
          <w:color w:val="auto"/>
          <w:sz w:val="32"/>
          <w:szCs w:val="32"/>
        </w:rPr>
        <w:t>区拆迁征收中心委托</w:t>
      </w:r>
      <w:r>
        <w:rPr>
          <w:rFonts w:hint="eastAsia" w:eastAsia="方正仿宋_GBK"/>
          <w:color w:val="auto"/>
          <w:sz w:val="32"/>
          <w:szCs w:val="32"/>
          <w:lang w:val="en-US" w:eastAsia="zh-CN"/>
        </w:rPr>
        <w:t>永城镇政府</w:t>
      </w:r>
      <w:r>
        <w:rPr>
          <w:rFonts w:eastAsia="方正仿宋_GBK"/>
          <w:color w:val="auto"/>
          <w:sz w:val="32"/>
          <w:szCs w:val="32"/>
        </w:rPr>
        <w:t>发放给人员安置对象，每个人员安置对象的安置补助费发放标准为36000元。安置补助费支付后有结余的，结余部分由农村集体经济组织依法管理和使用。</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default" w:ascii="方正楷体_GBK" w:hAnsi="方正楷体_GBK" w:eastAsia="方正楷体_GBK" w:cs="方正楷体_GBK"/>
          <w:bCs/>
          <w:color w:val="auto"/>
          <w:sz w:val="32"/>
          <w:szCs w:val="32"/>
          <w:lang w:val="en-US" w:eastAsia="zh-CN"/>
        </w:rPr>
      </w:pPr>
      <w:r>
        <w:rPr>
          <w:rFonts w:hint="eastAsia" w:ascii="方正楷体_GBK" w:hAnsi="方正楷体_GBK" w:eastAsia="方正楷体_GBK" w:cs="方正楷体_GBK"/>
          <w:bCs/>
          <w:color w:val="auto"/>
          <w:sz w:val="32"/>
          <w:szCs w:val="32"/>
          <w:lang w:eastAsia="zh-CN"/>
        </w:rPr>
        <w:t>（</w:t>
      </w:r>
      <w:r>
        <w:rPr>
          <w:rFonts w:hint="eastAsia" w:ascii="方正楷体_GBK" w:hAnsi="方正楷体_GBK" w:eastAsia="方正楷体_GBK" w:cs="方正楷体_GBK"/>
          <w:bCs/>
          <w:color w:val="auto"/>
          <w:sz w:val="32"/>
          <w:szCs w:val="32"/>
          <w:lang w:val="en-US" w:eastAsia="zh-CN"/>
        </w:rPr>
        <w:t>二</w:t>
      </w:r>
      <w:r>
        <w:rPr>
          <w:rFonts w:hint="eastAsia" w:ascii="方正楷体_GBK" w:hAnsi="方正楷体_GBK" w:eastAsia="方正楷体_GBK" w:cs="方正楷体_GBK"/>
          <w:bCs/>
          <w:color w:val="auto"/>
          <w:sz w:val="32"/>
          <w:szCs w:val="32"/>
          <w:lang w:eastAsia="zh-CN"/>
        </w:rPr>
        <w:t>）农村房屋补偿</w:t>
      </w:r>
      <w:r>
        <w:rPr>
          <w:rFonts w:hint="eastAsia" w:ascii="方正楷体_GBK" w:hAnsi="方正楷体_GBK" w:eastAsia="方正楷体_GBK" w:cs="方正楷体_GBK"/>
          <w:bCs/>
          <w:color w:val="auto"/>
          <w:sz w:val="32"/>
          <w:szCs w:val="32"/>
          <w:lang w:val="en-US" w:eastAsia="zh-CN"/>
        </w:rPr>
        <w:t>费</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lang w:val="en-US" w:eastAsia="zh-CN"/>
        </w:rPr>
        <w:t xml:space="preserve">1. </w:t>
      </w:r>
      <w:r>
        <w:rPr>
          <w:rFonts w:hint="eastAsia" w:eastAsia="方正仿宋_GBK"/>
          <w:color w:val="auto"/>
          <w:kern w:val="0"/>
          <w:sz w:val="32"/>
          <w:szCs w:val="32"/>
        </w:rPr>
        <w:t>农村房屋以不动产权属证书记载的合法建筑面积为准，按照</w:t>
      </w:r>
      <w:r>
        <w:rPr>
          <w:rFonts w:hint="eastAsia" w:eastAsia="方正仿宋_GBK"/>
          <w:color w:val="auto"/>
          <w:sz w:val="32"/>
          <w:szCs w:val="32"/>
        </w:rPr>
        <w:t>《</w:t>
      </w:r>
      <w:r>
        <w:rPr>
          <w:rFonts w:hint="eastAsia" w:eastAsia="方正仿宋_GBK"/>
          <w:color w:val="auto"/>
          <w:sz w:val="32"/>
          <w:szCs w:val="32"/>
          <w:lang w:val="en-US" w:eastAsia="zh-CN"/>
        </w:rPr>
        <w:t>重庆市綦江区人民政府关于印发重庆市綦江区集体土地征收补偿安置实施办法的通知</w:t>
      </w:r>
      <w:r>
        <w:rPr>
          <w:rFonts w:hint="eastAsia" w:eastAsia="方正仿宋_GBK"/>
          <w:color w:val="auto"/>
          <w:sz w:val="32"/>
          <w:szCs w:val="32"/>
        </w:rPr>
        <w:t>》</w:t>
      </w:r>
      <w:r>
        <w:rPr>
          <w:rFonts w:hint="eastAsia" w:eastAsia="方正仿宋_GBK"/>
          <w:color w:val="auto"/>
          <w:sz w:val="32"/>
          <w:szCs w:val="32"/>
          <w:lang w:eastAsia="zh-CN"/>
        </w:rPr>
        <w:t>（</w:t>
      </w:r>
      <w:r>
        <w:rPr>
          <w:rFonts w:eastAsia="方正仿宋_GBK"/>
          <w:color w:val="auto"/>
          <w:sz w:val="32"/>
          <w:szCs w:val="32"/>
        </w:rPr>
        <w:t>綦江府发〔2021〕1</w:t>
      </w:r>
      <w:r>
        <w:rPr>
          <w:rFonts w:hint="eastAsia" w:eastAsia="方正仿宋_GBK"/>
          <w:color w:val="auto"/>
          <w:sz w:val="32"/>
          <w:szCs w:val="32"/>
          <w:lang w:val="en-US" w:eastAsia="zh-CN"/>
        </w:rPr>
        <w:t>3</w:t>
      </w:r>
      <w:r>
        <w:rPr>
          <w:rFonts w:eastAsia="方正仿宋_GBK"/>
          <w:color w:val="auto"/>
          <w:sz w:val="32"/>
          <w:szCs w:val="32"/>
        </w:rPr>
        <w:t>号</w:t>
      </w:r>
      <w:r>
        <w:rPr>
          <w:rFonts w:hint="eastAsia" w:eastAsia="方正仿宋_GBK"/>
          <w:color w:val="auto"/>
          <w:sz w:val="32"/>
          <w:szCs w:val="32"/>
          <w:lang w:eastAsia="zh-CN"/>
        </w:rPr>
        <w:t>）</w:t>
      </w:r>
      <w:r>
        <w:rPr>
          <w:rFonts w:hint="eastAsia" w:eastAsia="方正仿宋_GBK"/>
          <w:color w:val="auto"/>
          <w:kern w:val="0"/>
          <w:sz w:val="32"/>
          <w:szCs w:val="32"/>
        </w:rPr>
        <w:t>附件2</w:t>
      </w:r>
      <w:r>
        <w:rPr>
          <w:rFonts w:hint="eastAsia" w:eastAsia="方正仿宋_GBK"/>
          <w:color w:val="auto"/>
          <w:kern w:val="0"/>
          <w:sz w:val="32"/>
          <w:szCs w:val="32"/>
          <w:lang w:eastAsia="zh-CN"/>
        </w:rPr>
        <w:t>的</w:t>
      </w:r>
      <w:r>
        <w:rPr>
          <w:rFonts w:hint="eastAsia" w:eastAsia="方正仿宋_GBK"/>
          <w:color w:val="auto"/>
          <w:kern w:val="0"/>
          <w:sz w:val="32"/>
          <w:szCs w:val="32"/>
        </w:rPr>
        <w:t>重置价格标准补偿。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lang w:val="en-US" w:eastAsia="zh-CN"/>
        </w:rPr>
        <w:t xml:space="preserve">2. </w:t>
      </w:r>
      <w:r>
        <w:rPr>
          <w:rFonts w:hint="eastAsia" w:eastAsia="方正仿宋_GBK"/>
          <w:color w:val="auto"/>
          <w:kern w:val="0"/>
          <w:sz w:val="32"/>
          <w:szCs w:val="32"/>
        </w:rPr>
        <w:t>对未取得不动产权属证书的房屋，由区规划自然资源部门会同农业农村等有关部门和镇人民政府（街道办事处）依法进行认定。</w:t>
      </w:r>
    </w:p>
    <w:p>
      <w:pPr>
        <w:pStyle w:val="11"/>
        <w:spacing w:line="576" w:lineRule="exact"/>
        <w:ind w:firstLine="640" w:firstLineChars="200"/>
        <w:jc w:val="both"/>
        <w:rPr>
          <w:rFonts w:hint="eastAsia" w:eastAsia="方正仿宋_GBK"/>
          <w:color w:val="auto"/>
          <w:kern w:val="0"/>
          <w:sz w:val="32"/>
          <w:szCs w:val="32"/>
        </w:rPr>
      </w:pPr>
      <w:r>
        <w:rPr>
          <w:rFonts w:hint="default" w:ascii="Times New Roman" w:hAnsi="Times New Roman" w:eastAsia="方正仿宋_GBK" w:cs="Times New Roman"/>
          <w:color w:val="auto"/>
          <w:kern w:val="2"/>
          <w:sz w:val="32"/>
          <w:szCs w:val="32"/>
          <w:lang w:val="en-US" w:eastAsia="zh-CN" w:bidi="ar-SA"/>
        </w:rPr>
        <w:t>3．不能认定合法产权的房屋，在本方案规定时间内签订房屋拆迁协议并按协议约定时间腾空交付房屋的，给予适当补</w:t>
      </w:r>
      <w:r>
        <w:rPr>
          <w:rFonts w:hint="eastAsia" w:ascii="Times New Roman" w:hAnsi="Times New Roman" w:eastAsia="方正仿宋_GBK" w:cs="Times New Roman"/>
          <w:color w:val="auto"/>
          <w:kern w:val="2"/>
          <w:sz w:val="32"/>
          <w:szCs w:val="32"/>
          <w:lang w:val="en-US" w:eastAsia="zh-CN" w:bidi="ar-SA"/>
        </w:rPr>
        <w:t>助</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具体价格为：</w:t>
      </w:r>
      <w:r>
        <w:rPr>
          <w:rFonts w:hint="default" w:ascii="Times New Roman" w:hAnsi="Times New Roman" w:eastAsia="方正仿宋_GBK" w:cs="Times New Roman"/>
          <w:color w:val="auto"/>
          <w:sz w:val="32"/>
          <w:szCs w:val="32"/>
        </w:rPr>
        <w:t>钢砼结构400元/㎡，砖混结构285元/㎡，砖木结构、板房、全部砖墙体彩钢棚245元/㎡，土墙、干打垒、穿逗210元/㎡，简易结构、铝合金加半砖彩钢棚60—105元/㎡。不能认定合法产权的房屋，未在规定时间内签订协议和按约定时间未腾空交付的，不予补</w:t>
      </w:r>
      <w:r>
        <w:rPr>
          <w:rFonts w:hint="eastAsia" w:ascii="Times New Roman" w:hAnsi="Times New Roman" w:eastAsia="方正仿宋_GBK" w:cs="Times New Roman"/>
          <w:color w:val="auto"/>
          <w:sz w:val="32"/>
          <w:szCs w:val="32"/>
          <w:lang w:val="en-US" w:eastAsia="zh-CN"/>
        </w:rPr>
        <w:t>助</w:t>
      </w:r>
      <w:r>
        <w:rPr>
          <w:rFonts w:hint="default" w:ascii="Times New Roman" w:hAnsi="Times New Roman" w:eastAsia="方正仿宋_GBK" w:cs="Times New Roman"/>
          <w:color w:val="auto"/>
          <w:sz w:val="32"/>
          <w:szCs w:val="32"/>
        </w:rPr>
        <w:t>。违反“一户一宅”规定不合法拥有两处及以上的不合法产权房屋、明确为建新应拆旧的房屋、已依法明确为违法建筑并限期拆除的房屋等不予补偿。</w:t>
      </w:r>
    </w:p>
    <w:p>
      <w:pPr>
        <w:adjustRightInd w:val="0"/>
        <w:snapToGrid w:val="0"/>
        <w:spacing w:line="576" w:lineRule="exact"/>
        <w:ind w:firstLine="640" w:firstLineChars="200"/>
        <w:jc w:val="both"/>
        <w:rPr>
          <w:color w:val="auto"/>
        </w:rPr>
      </w:pPr>
      <w:r>
        <w:rPr>
          <w:rFonts w:hint="eastAsia" w:eastAsia="方正仿宋_GBK"/>
          <w:color w:val="auto"/>
          <w:kern w:val="0"/>
          <w:sz w:val="32"/>
          <w:szCs w:val="32"/>
          <w:lang w:val="en-US" w:eastAsia="zh-CN"/>
        </w:rPr>
        <w:t xml:space="preserve">4. </w:t>
      </w:r>
      <w:r>
        <w:rPr>
          <w:rFonts w:hint="eastAsia" w:eastAsia="方正仿宋_GBK"/>
          <w:color w:val="auto"/>
          <w:kern w:val="0"/>
          <w:sz w:val="32"/>
          <w:szCs w:val="32"/>
        </w:rPr>
        <w:t>农村住房改作其他用途的，按照住房补偿。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rPr>
        <w:t>（</w:t>
      </w:r>
      <w:r>
        <w:rPr>
          <w:rFonts w:hint="eastAsia" w:ascii="方正楷体_GBK" w:hAnsi="方正楷体_GBK" w:eastAsia="方正楷体_GBK" w:cs="方正楷体_GBK"/>
          <w:bCs/>
          <w:color w:val="auto"/>
          <w:sz w:val="32"/>
          <w:szCs w:val="32"/>
          <w:lang w:val="en-US" w:eastAsia="zh-CN"/>
        </w:rPr>
        <w:t>三</w:t>
      </w:r>
      <w:r>
        <w:rPr>
          <w:rFonts w:hint="eastAsia" w:ascii="方正楷体_GBK" w:hAnsi="方正楷体_GBK" w:eastAsia="方正楷体_GBK" w:cs="方正楷体_GBK"/>
          <w:bCs/>
          <w:color w:val="auto"/>
          <w:sz w:val="32"/>
          <w:szCs w:val="32"/>
        </w:rPr>
        <w:t>）其他地上附着物和青苗补偿费</w:t>
      </w:r>
    </w:p>
    <w:p>
      <w:pPr>
        <w:keepNext w:val="0"/>
        <w:keepLines w:val="0"/>
        <w:pageBreakBefore w:val="0"/>
        <w:kinsoku/>
        <w:wordWrap/>
        <w:overflowPunct/>
        <w:topLinePunct w:val="0"/>
        <w:autoSpaceDE w:val="0"/>
        <w:bidi w:val="0"/>
        <w:adjustRightInd w:val="0"/>
        <w:snapToGrid w:val="0"/>
        <w:spacing w:line="576" w:lineRule="exact"/>
        <w:ind w:firstLine="640" w:firstLineChars="200"/>
        <w:jc w:val="both"/>
        <w:textAlignment w:val="auto"/>
        <w:rPr>
          <w:rFonts w:eastAsia="方正仿宋_GBK"/>
          <w:color w:val="auto"/>
          <w:sz w:val="32"/>
          <w:szCs w:val="32"/>
        </w:rPr>
      </w:pPr>
      <w:r>
        <w:rPr>
          <w:rFonts w:eastAsia="方正仿宋_GBK"/>
          <w:color w:val="auto"/>
          <w:sz w:val="32"/>
          <w:szCs w:val="32"/>
        </w:rPr>
        <w:t>其他地上附着物是指除房屋外的建筑物、构筑物以及林木和其他经济作物等</w:t>
      </w:r>
      <w:r>
        <w:rPr>
          <w:rFonts w:hint="eastAsia" w:eastAsia="方正仿宋_GBK"/>
          <w:color w:val="auto"/>
          <w:sz w:val="32"/>
          <w:szCs w:val="32"/>
        </w:rPr>
        <w:t>，</w:t>
      </w:r>
      <w:r>
        <w:rPr>
          <w:rFonts w:eastAsia="方正仿宋_GBK"/>
          <w:color w:val="auto"/>
          <w:sz w:val="32"/>
          <w:szCs w:val="32"/>
        </w:rPr>
        <w:t>青苗是指土地上生长的农作物。</w:t>
      </w:r>
    </w:p>
    <w:p>
      <w:pPr>
        <w:keepNext w:val="0"/>
        <w:keepLines w:val="0"/>
        <w:pageBreakBefore w:val="0"/>
        <w:kinsoku/>
        <w:wordWrap/>
        <w:overflowPunct/>
        <w:topLinePunct w:val="0"/>
        <w:autoSpaceDE w:val="0"/>
        <w:bidi w:val="0"/>
        <w:adjustRightInd w:val="0"/>
        <w:snapToGrid w:val="0"/>
        <w:spacing w:line="576" w:lineRule="exact"/>
        <w:ind w:firstLine="640" w:firstLineChars="200"/>
        <w:jc w:val="both"/>
        <w:textAlignment w:val="auto"/>
        <w:rPr>
          <w:rFonts w:eastAsia="方正仿宋_GBK"/>
          <w:color w:val="auto"/>
          <w:sz w:val="32"/>
          <w:szCs w:val="32"/>
        </w:rPr>
      </w:pPr>
      <w:r>
        <w:rPr>
          <w:rFonts w:hint="eastAsia" w:eastAsia="方正仿宋_GBK"/>
          <w:color w:val="auto"/>
          <w:sz w:val="32"/>
          <w:szCs w:val="32"/>
        </w:rPr>
        <w:t>征收其他地上附着物和青苗实行综合定额补偿，按被征收土地总面积扣除林地后的面积计算，每亩定额</w:t>
      </w:r>
      <w:r>
        <w:rPr>
          <w:rFonts w:eastAsia="方正仿宋_GBK"/>
          <w:color w:val="auto"/>
          <w:sz w:val="32"/>
          <w:szCs w:val="32"/>
        </w:rPr>
        <w:t>补偿16000元</w:t>
      </w:r>
      <w:r>
        <w:rPr>
          <w:rFonts w:hint="eastAsia" w:eastAsia="方正仿宋_GBK"/>
          <w:color w:val="auto"/>
          <w:sz w:val="32"/>
          <w:szCs w:val="32"/>
        </w:rPr>
        <w:t>。</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color w:val="auto"/>
          <w:sz w:val="32"/>
          <w:szCs w:val="32"/>
        </w:rPr>
      </w:pPr>
      <w:r>
        <w:rPr>
          <w:rFonts w:eastAsia="方正仿宋_GBK"/>
          <w:color w:val="auto"/>
          <w:sz w:val="32"/>
          <w:szCs w:val="32"/>
        </w:rPr>
        <w:t>征收林地的林木及附着物的补偿标准，实行</w:t>
      </w:r>
      <w:r>
        <w:rPr>
          <w:rFonts w:hint="eastAsia" w:eastAsia="方正仿宋_GBK"/>
          <w:color w:val="auto"/>
          <w:sz w:val="32"/>
          <w:szCs w:val="32"/>
        </w:rPr>
        <w:t>综合定额补偿，每亩定额补</w:t>
      </w:r>
      <w:r>
        <w:rPr>
          <w:rFonts w:eastAsia="方正仿宋_GBK"/>
          <w:color w:val="auto"/>
          <w:sz w:val="32"/>
          <w:szCs w:val="32"/>
        </w:rPr>
        <w:t>偿16000元，其中，林木补偿按照</w:t>
      </w:r>
      <w:r>
        <w:rPr>
          <w:rFonts w:hint="eastAsia" w:eastAsia="方正仿宋_GBK"/>
          <w:color w:val="auto"/>
          <w:sz w:val="32"/>
          <w:szCs w:val="32"/>
        </w:rPr>
        <w:t>《</w:t>
      </w:r>
      <w:r>
        <w:rPr>
          <w:rFonts w:hint="eastAsia" w:eastAsia="方正仿宋_GBK"/>
          <w:color w:val="auto"/>
          <w:sz w:val="32"/>
          <w:szCs w:val="32"/>
          <w:lang w:val="en-US" w:eastAsia="zh-CN"/>
        </w:rPr>
        <w:t>重庆市綦江区人民政府关于印发重庆市綦江区集体土地征收补偿安置实施办法的通知</w:t>
      </w:r>
      <w:r>
        <w:rPr>
          <w:rFonts w:hint="eastAsia" w:eastAsia="方正仿宋_GBK"/>
          <w:color w:val="auto"/>
          <w:sz w:val="32"/>
          <w:szCs w:val="32"/>
        </w:rPr>
        <w:t>》</w:t>
      </w:r>
      <w:r>
        <w:rPr>
          <w:rFonts w:hint="eastAsia" w:eastAsia="方正仿宋_GBK"/>
          <w:color w:val="auto"/>
          <w:sz w:val="32"/>
          <w:szCs w:val="32"/>
          <w:lang w:eastAsia="zh-CN"/>
        </w:rPr>
        <w:t>（</w:t>
      </w:r>
      <w:r>
        <w:rPr>
          <w:rFonts w:eastAsia="方正仿宋_GBK"/>
          <w:color w:val="auto"/>
          <w:sz w:val="32"/>
          <w:szCs w:val="32"/>
        </w:rPr>
        <w:t>綦江府发〔2021〕1</w:t>
      </w:r>
      <w:r>
        <w:rPr>
          <w:rFonts w:hint="eastAsia" w:eastAsia="方正仿宋_GBK"/>
          <w:color w:val="auto"/>
          <w:sz w:val="32"/>
          <w:szCs w:val="32"/>
          <w:lang w:val="en-US" w:eastAsia="zh-CN"/>
        </w:rPr>
        <w:t>3</w:t>
      </w:r>
      <w:r>
        <w:rPr>
          <w:rFonts w:eastAsia="方正仿宋_GBK"/>
          <w:color w:val="auto"/>
          <w:sz w:val="32"/>
          <w:szCs w:val="32"/>
        </w:rPr>
        <w:t>号</w:t>
      </w:r>
      <w:r>
        <w:rPr>
          <w:rFonts w:hint="eastAsia" w:eastAsia="方正仿宋_GBK"/>
          <w:color w:val="auto"/>
          <w:sz w:val="32"/>
          <w:szCs w:val="32"/>
          <w:lang w:eastAsia="zh-CN"/>
        </w:rPr>
        <w:t>）</w:t>
      </w:r>
      <w:r>
        <w:rPr>
          <w:rFonts w:eastAsia="方正仿宋_GBK"/>
          <w:color w:val="auto"/>
          <w:sz w:val="32"/>
          <w:szCs w:val="32"/>
        </w:rPr>
        <w:t>附件3的标准</w:t>
      </w:r>
      <w:r>
        <w:rPr>
          <w:rFonts w:hint="eastAsia" w:eastAsia="方正仿宋_GBK"/>
          <w:color w:val="auto"/>
          <w:sz w:val="32"/>
          <w:szCs w:val="32"/>
        </w:rPr>
        <w:t>进行补偿</w:t>
      </w:r>
      <w:r>
        <w:rPr>
          <w:rFonts w:eastAsia="方正仿宋_GBK"/>
          <w:color w:val="auto"/>
          <w:sz w:val="32"/>
          <w:szCs w:val="32"/>
        </w:rPr>
        <w:t>；或者按照国家和本市征收林地的有关规定执行。</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上述费用</w:t>
      </w:r>
      <w:r>
        <w:rPr>
          <w:rFonts w:eastAsia="方正仿宋_GBK"/>
          <w:color w:val="auto"/>
          <w:sz w:val="32"/>
          <w:szCs w:val="32"/>
        </w:rPr>
        <w:t>由</w:t>
      </w:r>
      <w:r>
        <w:rPr>
          <w:rFonts w:hint="eastAsia" w:eastAsia="方正仿宋_GBK"/>
          <w:color w:val="auto"/>
          <w:sz w:val="32"/>
          <w:szCs w:val="32"/>
        </w:rPr>
        <w:t>区拆迁征收中心委托</w:t>
      </w:r>
      <w:r>
        <w:rPr>
          <w:rFonts w:hint="eastAsia" w:eastAsia="方正仿宋_GBK"/>
          <w:color w:val="auto"/>
          <w:sz w:val="32"/>
          <w:szCs w:val="32"/>
          <w:lang w:val="en-US" w:eastAsia="zh-CN"/>
        </w:rPr>
        <w:t>永城镇政府</w:t>
      </w:r>
      <w:r>
        <w:rPr>
          <w:rFonts w:hint="eastAsia" w:eastAsia="方正仿宋_GBK"/>
          <w:color w:val="auto"/>
          <w:kern w:val="0"/>
          <w:sz w:val="32"/>
          <w:szCs w:val="32"/>
        </w:rPr>
        <w:t>支付给被征收集体经济组织，由被征收集体经济组织按照</w:t>
      </w:r>
      <w:r>
        <w:rPr>
          <w:rFonts w:hint="eastAsia" w:eastAsia="方正仿宋_GBK"/>
          <w:color w:val="auto"/>
          <w:sz w:val="32"/>
          <w:szCs w:val="32"/>
        </w:rPr>
        <w:t>《</w:t>
      </w:r>
      <w:r>
        <w:rPr>
          <w:rFonts w:hint="eastAsia" w:eastAsia="方正仿宋_GBK"/>
          <w:color w:val="auto"/>
          <w:sz w:val="32"/>
          <w:szCs w:val="32"/>
          <w:lang w:val="en-US" w:eastAsia="zh-CN"/>
        </w:rPr>
        <w:t>重庆市綦江区人民政府关于印发重庆市綦江区集体土地征收补偿安置实施办法的通知</w:t>
      </w:r>
      <w:r>
        <w:rPr>
          <w:rFonts w:hint="eastAsia" w:eastAsia="方正仿宋_GBK"/>
          <w:color w:val="auto"/>
          <w:sz w:val="32"/>
          <w:szCs w:val="32"/>
        </w:rPr>
        <w:t>》</w:t>
      </w:r>
      <w:r>
        <w:rPr>
          <w:rFonts w:hint="eastAsia" w:eastAsia="方正仿宋_GBK"/>
          <w:color w:val="auto"/>
          <w:sz w:val="32"/>
          <w:szCs w:val="32"/>
          <w:lang w:eastAsia="zh-CN"/>
        </w:rPr>
        <w:t>（</w:t>
      </w:r>
      <w:r>
        <w:rPr>
          <w:rFonts w:eastAsia="方正仿宋_GBK"/>
          <w:color w:val="auto"/>
          <w:sz w:val="32"/>
          <w:szCs w:val="32"/>
        </w:rPr>
        <w:t>綦江府发〔2021〕1</w:t>
      </w:r>
      <w:r>
        <w:rPr>
          <w:rFonts w:hint="eastAsia" w:eastAsia="方正仿宋_GBK"/>
          <w:color w:val="auto"/>
          <w:sz w:val="32"/>
          <w:szCs w:val="32"/>
          <w:lang w:val="en-US" w:eastAsia="zh-CN"/>
        </w:rPr>
        <w:t>3</w:t>
      </w:r>
      <w:r>
        <w:rPr>
          <w:rFonts w:eastAsia="方正仿宋_GBK"/>
          <w:color w:val="auto"/>
          <w:sz w:val="32"/>
          <w:szCs w:val="32"/>
        </w:rPr>
        <w:t>号</w:t>
      </w:r>
      <w:r>
        <w:rPr>
          <w:rFonts w:hint="eastAsia" w:eastAsia="方正仿宋_GBK"/>
          <w:color w:val="auto"/>
          <w:sz w:val="32"/>
          <w:szCs w:val="32"/>
          <w:lang w:eastAsia="zh-CN"/>
        </w:rPr>
        <w:t>）</w:t>
      </w:r>
      <w:r>
        <w:rPr>
          <w:rFonts w:hint="eastAsia" w:eastAsia="方正仿宋_GBK"/>
          <w:color w:val="auto"/>
          <w:kern w:val="0"/>
          <w:sz w:val="32"/>
          <w:szCs w:val="32"/>
        </w:rPr>
        <w:t>附件 2、3、4、5 规定标准补偿给其所有权人。</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lang w:eastAsia="zh-CN"/>
        </w:rPr>
        <w:t>（四）被搬迁住房的装饰物补助</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被搬迁房屋的装饰物由所有权人自行拆除。不能自行拆除的，给予适当补助，其补助标准见</w:t>
      </w:r>
      <w:r>
        <w:rPr>
          <w:rFonts w:hint="eastAsia" w:eastAsia="方正仿宋_GBK"/>
          <w:color w:val="auto"/>
          <w:sz w:val="32"/>
          <w:szCs w:val="32"/>
        </w:rPr>
        <w:t>《</w:t>
      </w:r>
      <w:r>
        <w:rPr>
          <w:rFonts w:hint="eastAsia" w:eastAsia="方正仿宋_GBK"/>
          <w:color w:val="auto"/>
          <w:sz w:val="32"/>
          <w:szCs w:val="32"/>
          <w:lang w:val="en-US" w:eastAsia="zh-CN"/>
        </w:rPr>
        <w:t>重庆市綦江区人民政府关于印发重庆市綦江区集体土地征收补偿安置实施办法的通知</w:t>
      </w:r>
      <w:r>
        <w:rPr>
          <w:rFonts w:hint="eastAsia" w:eastAsia="方正仿宋_GBK"/>
          <w:color w:val="auto"/>
          <w:sz w:val="32"/>
          <w:szCs w:val="32"/>
        </w:rPr>
        <w:t>》</w:t>
      </w:r>
      <w:r>
        <w:rPr>
          <w:rFonts w:hint="eastAsia" w:eastAsia="方正仿宋_GBK"/>
          <w:color w:val="auto"/>
          <w:sz w:val="32"/>
          <w:szCs w:val="32"/>
          <w:lang w:eastAsia="zh-CN"/>
        </w:rPr>
        <w:t>（</w:t>
      </w:r>
      <w:r>
        <w:rPr>
          <w:rFonts w:eastAsia="方正仿宋_GBK"/>
          <w:color w:val="auto"/>
          <w:sz w:val="32"/>
          <w:szCs w:val="32"/>
        </w:rPr>
        <w:t>綦江府发〔2021〕1</w:t>
      </w:r>
      <w:r>
        <w:rPr>
          <w:rFonts w:hint="eastAsia" w:eastAsia="方正仿宋_GBK"/>
          <w:color w:val="auto"/>
          <w:sz w:val="32"/>
          <w:szCs w:val="32"/>
          <w:lang w:val="en-US" w:eastAsia="zh-CN"/>
        </w:rPr>
        <w:t>3</w:t>
      </w:r>
      <w:r>
        <w:rPr>
          <w:rFonts w:eastAsia="方正仿宋_GBK"/>
          <w:color w:val="auto"/>
          <w:sz w:val="32"/>
          <w:szCs w:val="32"/>
        </w:rPr>
        <w:t>号</w:t>
      </w:r>
      <w:r>
        <w:rPr>
          <w:rFonts w:hint="eastAsia" w:eastAsia="方正仿宋_GBK"/>
          <w:color w:val="auto"/>
          <w:sz w:val="32"/>
          <w:szCs w:val="32"/>
          <w:lang w:eastAsia="zh-CN"/>
        </w:rPr>
        <w:t>）</w:t>
      </w:r>
      <w:r>
        <w:rPr>
          <w:rFonts w:hint="eastAsia" w:eastAsia="方正仿宋_GBK"/>
          <w:color w:val="auto"/>
          <w:kern w:val="0"/>
          <w:sz w:val="32"/>
          <w:szCs w:val="32"/>
        </w:rPr>
        <w:t>附件8。</w:t>
      </w:r>
    </w:p>
    <w:p>
      <w:pPr>
        <w:keepNext w:val="0"/>
        <w:keepLines w:val="0"/>
        <w:pageBreakBefore w:val="0"/>
        <w:numPr>
          <w:ilvl w:val="0"/>
          <w:numId w:val="2"/>
        </w:numPr>
        <w:kinsoku/>
        <w:wordWrap/>
        <w:overflowPunct/>
        <w:topLinePunct w:val="0"/>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lang w:eastAsia="zh-CN"/>
        </w:rPr>
        <w:t>被搬迁房屋</w:t>
      </w:r>
      <w:r>
        <w:rPr>
          <w:rFonts w:hint="eastAsia" w:ascii="方正楷体_GBK" w:hAnsi="方正楷体_GBK" w:eastAsia="方正楷体_GBK" w:cs="方正楷体_GBK"/>
          <w:bCs/>
          <w:color w:val="auto"/>
          <w:sz w:val="32"/>
          <w:szCs w:val="32"/>
          <w:lang w:val="en-US" w:eastAsia="zh-CN"/>
        </w:rPr>
        <w:t>残值和</w:t>
      </w:r>
      <w:r>
        <w:rPr>
          <w:rFonts w:hint="eastAsia" w:ascii="方正楷体_GBK" w:hAnsi="方正楷体_GBK" w:eastAsia="方正楷体_GBK" w:cs="方正楷体_GBK"/>
          <w:bCs/>
          <w:color w:val="auto"/>
          <w:sz w:val="32"/>
          <w:szCs w:val="32"/>
          <w:lang w:eastAsia="zh-CN"/>
        </w:rPr>
        <w:t>水电等设施补偿</w:t>
      </w:r>
    </w:p>
    <w:p>
      <w:pPr>
        <w:pStyle w:val="11"/>
        <w:keepNext w:val="0"/>
        <w:keepLines w:val="0"/>
        <w:pageBreakBefore w:val="0"/>
        <w:numPr>
          <w:ilvl w:val="0"/>
          <w:numId w:val="0"/>
        </w:numPr>
        <w:kinsoku/>
        <w:wordWrap/>
        <w:overflowPunct/>
        <w:topLinePunct w:val="0"/>
        <w:bidi w:val="0"/>
        <w:adjustRightInd w:val="0"/>
        <w:spacing w:line="576"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ascii="方正仿宋_GBK" w:hAnsi="方正仿宋_GBK" w:eastAsia="方正仿宋_GBK" w:cs="方正仿宋_GBK"/>
          <w:color w:val="auto"/>
          <w:sz w:val="32"/>
          <w:szCs w:val="32"/>
          <w:highlight w:val="none"/>
          <w:lang w:val="en-US" w:eastAsia="zh-CN"/>
        </w:rPr>
        <w:t>被搬迁房屋的残值按</w:t>
      </w:r>
      <w:r>
        <w:rPr>
          <w:rFonts w:hint="eastAsia" w:eastAsia="方正仿宋_GBK"/>
          <w:color w:val="auto"/>
          <w:sz w:val="32"/>
          <w:szCs w:val="32"/>
        </w:rPr>
        <w:t>《</w:t>
      </w:r>
      <w:r>
        <w:rPr>
          <w:rFonts w:hint="eastAsia" w:eastAsia="方正仿宋_GBK"/>
          <w:color w:val="auto"/>
          <w:sz w:val="32"/>
          <w:szCs w:val="32"/>
          <w:lang w:val="en-US" w:eastAsia="zh-CN"/>
        </w:rPr>
        <w:t>重庆市綦江区人民政府关于印发重庆市綦江区集体土地征收补偿安置实施办法的通知</w:t>
      </w:r>
      <w:r>
        <w:rPr>
          <w:rFonts w:hint="eastAsia" w:eastAsia="方正仿宋_GBK"/>
          <w:color w:val="auto"/>
          <w:sz w:val="32"/>
          <w:szCs w:val="32"/>
        </w:rPr>
        <w:t>》</w:t>
      </w:r>
      <w:r>
        <w:rPr>
          <w:rFonts w:hint="eastAsia" w:eastAsia="方正仿宋_GBK"/>
          <w:color w:val="auto"/>
          <w:sz w:val="32"/>
          <w:szCs w:val="32"/>
          <w:lang w:eastAsia="zh-CN"/>
        </w:rPr>
        <w:t>（</w:t>
      </w:r>
      <w:r>
        <w:rPr>
          <w:rFonts w:eastAsia="方正仿宋_GBK"/>
          <w:color w:val="auto"/>
          <w:sz w:val="32"/>
          <w:szCs w:val="32"/>
        </w:rPr>
        <w:t>綦江府发</w:t>
      </w:r>
      <w:r>
        <w:rPr>
          <w:rFonts w:hint="default" w:ascii="Times New Roman" w:hAnsi="Times New Roman" w:eastAsia="方正仿宋_GBK" w:cs="Times New Roman"/>
          <w:color w:val="auto"/>
          <w:sz w:val="32"/>
          <w:szCs w:val="32"/>
        </w:rPr>
        <w:t>〔2021〕1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val="en-US" w:eastAsia="zh-CN"/>
        </w:rPr>
        <w:t>附件7的标准进行补偿。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被搬迁住房安装的独立水、电、气、固定电话、有线电视等设施，按搬迁时相应行业主管部门的安装价格补偿。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为生产经营安装的水、电、气、管网等设施，按实际安装费用补偿，无法提供实际安装发票的，按搬迁时相应行业主管部门的安装价格补偿。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color w:val="auto"/>
          <w:kern w:val="0"/>
          <w:sz w:val="32"/>
          <w:szCs w:val="32"/>
          <w:lang w:eastAsia="zh-CN"/>
        </w:rPr>
      </w:pPr>
      <w:r>
        <w:rPr>
          <w:rFonts w:hint="eastAsia" w:ascii="方正楷体_GBK" w:hAnsi="方正楷体_GBK" w:eastAsia="方正楷体_GBK" w:cs="方正楷体_GBK"/>
          <w:color w:val="auto"/>
          <w:kern w:val="0"/>
          <w:sz w:val="32"/>
          <w:szCs w:val="32"/>
          <w:lang w:eastAsia="zh-CN"/>
        </w:rPr>
        <w:t>（六）</w:t>
      </w:r>
      <w:r>
        <w:rPr>
          <w:rFonts w:hint="eastAsia" w:ascii="方正楷体_GBK" w:hAnsi="方正楷体_GBK" w:eastAsia="方正楷体_GBK" w:cs="方正楷体_GBK"/>
          <w:color w:val="auto"/>
          <w:kern w:val="0"/>
          <w:sz w:val="32"/>
          <w:szCs w:val="32"/>
        </w:rPr>
        <w:t>苗木花卉种植专业户补偿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征收土地预公告发布之日，按照国家和我市设施农业用地管理有关规定，经审批或者备案的苗木花卉种植专业户，以批准（备案）的种植规模内实际种植面积为准，在其他地上附着物和青苗综合定额补偿费每亩16000元中给予经营者每亩9600元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color w:val="auto"/>
          <w:kern w:val="0"/>
          <w:sz w:val="32"/>
          <w:szCs w:val="32"/>
          <w:lang w:eastAsia="zh-CN"/>
        </w:rPr>
      </w:pPr>
      <w:r>
        <w:rPr>
          <w:rFonts w:hint="eastAsia" w:ascii="方正楷体_GBK" w:hAnsi="方正楷体_GBK" w:eastAsia="方正楷体_GBK" w:cs="方正楷体_GBK"/>
          <w:color w:val="auto"/>
          <w:kern w:val="0"/>
          <w:sz w:val="32"/>
          <w:szCs w:val="32"/>
          <w:lang w:eastAsia="zh-CN"/>
        </w:rPr>
        <w:t>（七）</w:t>
      </w:r>
      <w:r>
        <w:rPr>
          <w:rFonts w:hint="eastAsia" w:ascii="方正楷体_GBK" w:hAnsi="方正楷体_GBK" w:eastAsia="方正楷体_GBK" w:cs="方正楷体_GBK"/>
          <w:color w:val="auto"/>
          <w:kern w:val="0"/>
          <w:sz w:val="32"/>
          <w:szCs w:val="32"/>
        </w:rPr>
        <w:t>生产经营活动的搬迁补助费</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征收土地预公告发布之日，持有合法证照，从事工业、畜禽养殖业、商业、服务业和种植花卉苗木经营活动的，综合考虑生产经营年限、规模、类别、搬迁损失、搬迁难易度等因素，对生产经营者按以下规定给予一次性搬迁补助费。</w:t>
      </w:r>
    </w:p>
    <w:p>
      <w:pPr>
        <w:keepNext w:val="0"/>
        <w:keepLines w:val="0"/>
        <w:pageBreakBefore w:val="0"/>
        <w:numPr>
          <w:ilvl w:val="0"/>
          <w:numId w:val="3"/>
        </w:numPr>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spacing w:val="6"/>
          <w:kern w:val="0"/>
          <w:sz w:val="32"/>
          <w:szCs w:val="32"/>
        </w:rPr>
      </w:pPr>
      <w:r>
        <w:rPr>
          <w:rFonts w:hint="eastAsia" w:eastAsia="方正仿宋_GBK"/>
          <w:color w:val="auto"/>
          <w:kern w:val="0"/>
          <w:sz w:val="32"/>
          <w:szCs w:val="32"/>
        </w:rPr>
        <w:t>工业</w:t>
      </w:r>
      <w:r>
        <w:rPr>
          <w:rFonts w:hint="eastAsia" w:eastAsia="方正仿宋_GBK"/>
          <w:color w:val="auto"/>
          <w:spacing w:val="6"/>
          <w:kern w:val="0"/>
          <w:sz w:val="32"/>
          <w:szCs w:val="32"/>
        </w:rPr>
        <w:t>企业实施搬迁的，按被搬迁设施设备评估净值的15</w:t>
      </w:r>
      <w:r>
        <w:rPr>
          <w:rFonts w:hint="eastAsia" w:eastAsia="方正仿宋_GBK"/>
          <w:color w:val="auto"/>
          <w:spacing w:val="6"/>
          <w:kern w:val="0"/>
          <w:sz w:val="32"/>
          <w:szCs w:val="32"/>
          <w:lang w:eastAsia="zh-CN"/>
        </w:rPr>
        <w:t>—</w:t>
      </w:r>
      <w:r>
        <w:rPr>
          <w:rFonts w:hint="eastAsia" w:eastAsia="方正仿宋_GBK"/>
          <w:color w:val="auto"/>
          <w:spacing w:val="6"/>
          <w:kern w:val="0"/>
          <w:sz w:val="32"/>
          <w:szCs w:val="32"/>
        </w:rPr>
        <w:t>20%给予一次性搬迁补助费。</w:t>
      </w:r>
    </w:p>
    <w:p>
      <w:pPr>
        <w:keepNext w:val="0"/>
        <w:keepLines w:val="0"/>
        <w:pageBreakBefore w:val="0"/>
        <w:numPr>
          <w:ilvl w:val="0"/>
          <w:numId w:val="3"/>
        </w:numPr>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经审批或者备案的苗木花卉种植专业户，以批准（备案）的种植规模内实际种植面积为准，给予每亩6400元给予一次性搬迁补助费。</w:t>
      </w:r>
    </w:p>
    <w:p>
      <w:pPr>
        <w:keepNext w:val="0"/>
        <w:keepLines w:val="0"/>
        <w:pageBreakBefore w:val="0"/>
        <w:numPr>
          <w:ilvl w:val="0"/>
          <w:numId w:val="3"/>
        </w:numPr>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从事生产经营的畜禽养殖专业户，按</w:t>
      </w:r>
      <w:r>
        <w:rPr>
          <w:rFonts w:hint="eastAsia" w:eastAsia="方正仿宋_GBK"/>
          <w:color w:val="auto"/>
          <w:sz w:val="32"/>
          <w:szCs w:val="32"/>
        </w:rPr>
        <w:t>《</w:t>
      </w:r>
      <w:r>
        <w:rPr>
          <w:rFonts w:hint="eastAsia" w:eastAsia="方正仿宋_GBK"/>
          <w:color w:val="auto"/>
          <w:sz w:val="32"/>
          <w:szCs w:val="32"/>
          <w:lang w:val="en-US" w:eastAsia="zh-CN"/>
        </w:rPr>
        <w:t>重庆市綦江区人民政府关于印发重庆市綦江区集体土地征收补偿安置实施办法</w:t>
      </w:r>
      <w:r>
        <w:rPr>
          <w:rFonts w:hint="eastAsia" w:eastAsia="方正仿宋_GBK"/>
          <w:color w:val="auto"/>
          <w:spacing w:val="-6"/>
          <w:sz w:val="32"/>
          <w:szCs w:val="32"/>
          <w:lang w:val="en-US" w:eastAsia="zh-CN"/>
        </w:rPr>
        <w:t>的通知</w:t>
      </w:r>
      <w:r>
        <w:rPr>
          <w:rFonts w:hint="eastAsia" w:eastAsia="方正仿宋_GBK"/>
          <w:color w:val="auto"/>
          <w:spacing w:val="-6"/>
          <w:sz w:val="32"/>
          <w:szCs w:val="32"/>
        </w:rPr>
        <w:t>》</w:t>
      </w:r>
      <w:r>
        <w:rPr>
          <w:rFonts w:hint="eastAsia" w:eastAsia="方正仿宋_GBK"/>
          <w:color w:val="auto"/>
          <w:spacing w:val="-6"/>
          <w:sz w:val="32"/>
          <w:szCs w:val="32"/>
          <w:lang w:eastAsia="zh-CN"/>
        </w:rPr>
        <w:t>（</w:t>
      </w:r>
      <w:r>
        <w:rPr>
          <w:rFonts w:eastAsia="方正仿宋_GBK"/>
          <w:color w:val="auto"/>
          <w:spacing w:val="-6"/>
          <w:sz w:val="32"/>
          <w:szCs w:val="32"/>
        </w:rPr>
        <w:t>綦江府发〔2021〕1</w:t>
      </w:r>
      <w:r>
        <w:rPr>
          <w:rFonts w:hint="eastAsia" w:eastAsia="方正仿宋_GBK"/>
          <w:color w:val="auto"/>
          <w:spacing w:val="-6"/>
          <w:sz w:val="32"/>
          <w:szCs w:val="32"/>
          <w:lang w:val="en-US" w:eastAsia="zh-CN"/>
        </w:rPr>
        <w:t>3</w:t>
      </w:r>
      <w:r>
        <w:rPr>
          <w:rFonts w:eastAsia="方正仿宋_GBK"/>
          <w:color w:val="auto"/>
          <w:spacing w:val="-6"/>
          <w:sz w:val="32"/>
          <w:szCs w:val="32"/>
        </w:rPr>
        <w:t>号</w:t>
      </w:r>
      <w:r>
        <w:rPr>
          <w:rFonts w:hint="eastAsia" w:eastAsia="方正仿宋_GBK"/>
          <w:color w:val="auto"/>
          <w:spacing w:val="-6"/>
          <w:sz w:val="32"/>
          <w:szCs w:val="32"/>
          <w:lang w:eastAsia="zh-CN"/>
        </w:rPr>
        <w:t>）</w:t>
      </w:r>
      <w:r>
        <w:rPr>
          <w:rFonts w:hint="eastAsia" w:eastAsia="方正仿宋_GBK"/>
          <w:color w:val="auto"/>
          <w:spacing w:val="-6"/>
          <w:kern w:val="0"/>
          <w:sz w:val="32"/>
          <w:szCs w:val="32"/>
        </w:rPr>
        <w:t>附件9给予一次性搬迁补助</w:t>
      </w:r>
      <w:r>
        <w:rPr>
          <w:rFonts w:hint="eastAsia" w:eastAsia="方正仿宋_GBK"/>
          <w:color w:val="auto"/>
          <w:kern w:val="0"/>
          <w:sz w:val="32"/>
          <w:szCs w:val="32"/>
        </w:rPr>
        <w:t>费。</w:t>
      </w:r>
    </w:p>
    <w:p>
      <w:pPr>
        <w:keepNext w:val="0"/>
        <w:keepLines w:val="0"/>
        <w:pageBreakBefore w:val="0"/>
        <w:numPr>
          <w:ilvl w:val="0"/>
          <w:numId w:val="3"/>
        </w:numPr>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具有合法产权的被搬迁农村房屋，持有合法经营证照，且正在从事个体经营的，每户给予一次性搬迁补助费3000元。</w:t>
      </w:r>
    </w:p>
    <w:p>
      <w:pPr>
        <w:keepNext w:val="0"/>
        <w:keepLines w:val="0"/>
        <w:pageBreakBefore w:val="0"/>
        <w:numPr>
          <w:ilvl w:val="0"/>
          <w:numId w:val="3"/>
        </w:numPr>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从事农家乐、民宿等经营活动，持有合法证照正在经营的，其为经营服务的相关设施设备按评估净值15-20%给予一次性搬迁补助费。</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lang w:eastAsia="zh-CN"/>
        </w:rPr>
        <w:t>（八）</w:t>
      </w:r>
      <w:r>
        <w:rPr>
          <w:rFonts w:hint="eastAsia" w:ascii="方正楷体_GBK" w:hAnsi="方正楷体_GBK" w:eastAsia="方正楷体_GBK" w:cs="方正楷体_GBK"/>
          <w:color w:val="auto"/>
          <w:kern w:val="0"/>
          <w:sz w:val="32"/>
          <w:szCs w:val="32"/>
        </w:rPr>
        <w:t>有下列情形之一的，不予补偿：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lang w:val="en-US" w:eastAsia="zh-CN"/>
        </w:rPr>
        <w:t xml:space="preserve">1. </w:t>
      </w:r>
      <w:r>
        <w:rPr>
          <w:rFonts w:hint="eastAsia" w:eastAsia="方正仿宋_GBK"/>
          <w:color w:val="auto"/>
          <w:kern w:val="0"/>
          <w:sz w:val="32"/>
          <w:szCs w:val="32"/>
        </w:rPr>
        <w:t>违法建（构）筑物；</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lang w:val="en-US" w:eastAsia="zh-CN"/>
        </w:rPr>
        <w:t xml:space="preserve">2. </w:t>
      </w:r>
      <w:r>
        <w:rPr>
          <w:rFonts w:hint="eastAsia" w:eastAsia="方正仿宋_GBK"/>
          <w:color w:val="auto"/>
          <w:kern w:val="0"/>
          <w:sz w:val="32"/>
          <w:szCs w:val="32"/>
        </w:rPr>
        <w:t>已拆除的房屋（因区政府安排提前拆除的除外，但应当提供相关佐证资料）、房屋已垮塌的部分；</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lang w:val="en-US" w:eastAsia="zh-CN"/>
        </w:rPr>
        <w:t xml:space="preserve">3. </w:t>
      </w:r>
      <w:r>
        <w:rPr>
          <w:rFonts w:hint="eastAsia" w:eastAsia="方正仿宋_GBK"/>
          <w:color w:val="auto"/>
          <w:kern w:val="0"/>
          <w:sz w:val="32"/>
          <w:szCs w:val="32"/>
        </w:rPr>
        <w:t>区人民政府发布征收土地预公告后栽种的青苗及花草、树木等附着物；</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color w:val="auto"/>
        </w:rPr>
      </w:pPr>
      <w:r>
        <w:rPr>
          <w:rFonts w:hint="eastAsia" w:eastAsia="方正仿宋_GBK"/>
          <w:color w:val="auto"/>
          <w:kern w:val="0"/>
          <w:sz w:val="32"/>
          <w:szCs w:val="32"/>
          <w:lang w:val="en-US" w:eastAsia="zh-CN"/>
        </w:rPr>
        <w:t xml:space="preserve">4. </w:t>
      </w:r>
      <w:r>
        <w:rPr>
          <w:rFonts w:hint="eastAsia" w:eastAsia="方正仿宋_GBK"/>
          <w:color w:val="auto"/>
          <w:kern w:val="0"/>
          <w:sz w:val="32"/>
          <w:szCs w:val="32"/>
        </w:rPr>
        <w:t>其他不当增加补偿费用的情形。</w:t>
      </w:r>
    </w:p>
    <w:p>
      <w:pPr>
        <w:keepNext w:val="0"/>
        <w:keepLines w:val="0"/>
        <w:pageBreakBefore w:val="0"/>
        <w:numPr>
          <w:ilvl w:val="0"/>
          <w:numId w:val="1"/>
        </w:numPr>
        <w:kinsoku/>
        <w:wordWrap/>
        <w:overflowPunct/>
        <w:topLinePunct w:val="0"/>
        <w:bidi w:val="0"/>
        <w:adjustRightInd w:val="0"/>
        <w:snapToGrid w:val="0"/>
        <w:spacing w:line="576" w:lineRule="exact"/>
        <w:ind w:firstLine="640" w:firstLineChars="200"/>
        <w:jc w:val="both"/>
        <w:textAlignment w:val="auto"/>
        <w:outlineLvl w:val="0"/>
        <w:rPr>
          <w:rFonts w:hint="eastAsia" w:ascii="方正黑体_GBK" w:hAnsi="方正黑体_GBK" w:eastAsia="方正黑体_GBK" w:cs="方正黑体_GBK"/>
          <w:bCs/>
          <w:color w:val="auto"/>
          <w:sz w:val="32"/>
          <w:szCs w:val="32"/>
          <w:lang w:val="en-US" w:eastAsia="zh-CN"/>
        </w:rPr>
      </w:pPr>
      <w:r>
        <w:rPr>
          <w:rFonts w:ascii="方正黑体_GBK" w:hAnsi="方正黑体_GBK" w:eastAsia="方正黑体_GBK" w:cs="方正黑体_GBK"/>
          <w:bCs/>
          <w:color w:val="auto"/>
          <w:sz w:val="32"/>
          <w:szCs w:val="32"/>
        </w:rPr>
        <w:t>安置</w:t>
      </w:r>
      <w:r>
        <w:rPr>
          <w:rFonts w:hint="eastAsia" w:ascii="方正黑体_GBK" w:hAnsi="方正黑体_GBK" w:eastAsia="方正黑体_GBK" w:cs="方正黑体_GBK"/>
          <w:bCs/>
          <w:color w:val="auto"/>
          <w:sz w:val="32"/>
          <w:szCs w:val="32"/>
          <w:lang w:val="en-US" w:eastAsia="zh-CN"/>
        </w:rPr>
        <w:t>对象及安置方式</w:t>
      </w:r>
    </w:p>
    <w:p>
      <w:pPr>
        <w:adjustRightInd w:val="0"/>
        <w:snapToGrid w:val="0"/>
        <w:spacing w:line="576" w:lineRule="exact"/>
        <w:ind w:firstLine="640" w:firstLineChars="200"/>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rPr>
        <w:t>（一）人员安置</w:t>
      </w:r>
    </w:p>
    <w:p>
      <w:pPr>
        <w:spacing w:line="576" w:lineRule="exact"/>
        <w:ind w:firstLine="640" w:firstLineChars="200"/>
        <w:rPr>
          <w:rFonts w:hint="eastAsia" w:eastAsia="方正仿宋_GBK"/>
          <w:color w:val="auto"/>
          <w:spacing w:val="-17"/>
          <w:sz w:val="32"/>
          <w:szCs w:val="32"/>
        </w:rPr>
      </w:pPr>
      <w:r>
        <w:rPr>
          <w:rFonts w:eastAsia="方正仿宋_GBK"/>
          <w:color w:val="auto"/>
          <w:sz w:val="32"/>
          <w:szCs w:val="32"/>
        </w:rPr>
        <w:t>人员安置对象</w:t>
      </w:r>
      <w:r>
        <w:rPr>
          <w:rFonts w:hint="eastAsia" w:eastAsia="方正仿宋_GBK"/>
          <w:color w:val="auto"/>
          <w:sz w:val="32"/>
          <w:szCs w:val="32"/>
        </w:rPr>
        <w:t>范围及具体确定办法，按照《重庆市集体土地征收补偿安置办法》（重庆市人民政府令第344号）第十三条、第十四条、第十五条、第十六条规定执行。人员安置对象应当从征收土地预公告发布之日计入被征地农村集体经济组织总人口的人</w:t>
      </w:r>
      <w:r>
        <w:rPr>
          <w:rFonts w:hint="eastAsia" w:eastAsia="方正仿宋_GBK"/>
          <w:color w:val="auto"/>
          <w:spacing w:val="-17"/>
          <w:sz w:val="32"/>
          <w:szCs w:val="32"/>
        </w:rPr>
        <w:t>员中产生</w:t>
      </w:r>
      <w:r>
        <w:rPr>
          <w:rFonts w:hint="eastAsia" w:eastAsia="方正仿宋_GBK"/>
          <w:color w:val="auto"/>
          <w:spacing w:val="-17"/>
          <w:sz w:val="32"/>
          <w:szCs w:val="32"/>
          <w:lang w:eastAsia="zh-CN"/>
        </w:rPr>
        <w:t>，</w:t>
      </w:r>
      <w:r>
        <w:rPr>
          <w:rFonts w:hint="eastAsia" w:eastAsia="方正仿宋_GBK"/>
          <w:color w:val="auto"/>
          <w:spacing w:val="-17"/>
          <w:sz w:val="32"/>
          <w:szCs w:val="32"/>
        </w:rPr>
        <w:t>每个人员安置对象的安置补助费发放标准为</w:t>
      </w:r>
      <w:r>
        <w:rPr>
          <w:rFonts w:hint="eastAsia" w:eastAsia="方正仿宋_GBK"/>
          <w:color w:val="auto"/>
          <w:spacing w:val="6"/>
          <w:sz w:val="32"/>
          <w:szCs w:val="32"/>
          <w:lang w:val="en-US" w:eastAsia="zh-CN"/>
        </w:rPr>
        <w:t>36000</w:t>
      </w:r>
      <w:r>
        <w:rPr>
          <w:rFonts w:eastAsia="方正仿宋_GBK"/>
          <w:color w:val="auto"/>
          <w:spacing w:val="6"/>
          <w:sz w:val="32"/>
          <w:szCs w:val="32"/>
        </w:rPr>
        <w:t>元</w:t>
      </w:r>
      <w:r>
        <w:rPr>
          <w:rFonts w:hint="eastAsia" w:eastAsia="方正仿宋_GBK"/>
          <w:color w:val="auto"/>
          <w:spacing w:val="6"/>
          <w:sz w:val="32"/>
          <w:szCs w:val="32"/>
          <w:lang w:eastAsia="zh-CN"/>
        </w:rPr>
        <w:t>。</w:t>
      </w:r>
      <w:r>
        <w:rPr>
          <w:rFonts w:eastAsia="方正仿宋_GBK"/>
          <w:color w:val="auto"/>
          <w:sz w:val="32"/>
          <w:szCs w:val="32"/>
        </w:rPr>
        <w:t>由</w:t>
      </w:r>
      <w:r>
        <w:rPr>
          <w:rFonts w:hint="eastAsia" w:eastAsia="方正仿宋_GBK"/>
          <w:color w:val="auto"/>
          <w:sz w:val="32"/>
          <w:szCs w:val="32"/>
        </w:rPr>
        <w:t>区拆迁征收中心委托</w:t>
      </w:r>
      <w:r>
        <w:rPr>
          <w:rFonts w:hint="eastAsia" w:eastAsia="方正仿宋_GBK"/>
          <w:color w:val="auto"/>
          <w:sz w:val="32"/>
          <w:szCs w:val="32"/>
          <w:lang w:val="en-US" w:eastAsia="zh-CN"/>
        </w:rPr>
        <w:t>永城镇政府</w:t>
      </w:r>
      <w:r>
        <w:rPr>
          <w:rFonts w:hint="eastAsia" w:eastAsia="方正仿宋_GBK"/>
          <w:color w:val="auto"/>
          <w:sz w:val="32"/>
          <w:szCs w:val="32"/>
        </w:rPr>
        <w:t>采取发放安置补助费的方式进行安置</w:t>
      </w:r>
      <w:r>
        <w:rPr>
          <w:rFonts w:hint="eastAsia" w:eastAsia="方正仿宋_GBK"/>
          <w:color w:val="auto"/>
          <w:spacing w:val="-17"/>
          <w:sz w:val="32"/>
          <w:szCs w:val="32"/>
        </w:rPr>
        <w:t>。</w:t>
      </w:r>
    </w:p>
    <w:p>
      <w:pPr>
        <w:numPr>
          <w:ilvl w:val="0"/>
          <w:numId w:val="4"/>
        </w:num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下列人员计入被征地农村集体经济组织总人口：</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（1）户口登记在被征地农村集体经济组织所在地，且取得该农村集体经济组织土地承包经营权的人员；</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（2）因出生、政策性移民将户口登记在被征地农村集体经济组织所在地，且依法享有该农村集体经济组织土地承包经营权的人员；</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（3）因合法收养、合法婚姻将户口从其他农村集体经济组织迁入并长期在被征地农村集体经济组织生产生活，且依法享有被征地农村集体经济组织土地承包经营权的人员；</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（4）依法享有被征地农村集体经济组织土地承包经营权的在校大中专学生（含硕士、博士研究生）、现役军士和义务兵、儿童福利机构孤儿、服刑人员；</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（5）按照本市统筹城乡户籍制度改革有关规定保留征地补偿安置权利的人员；</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（6）因其他原因，户口从被征地农村集体经济组织所在地迁出进城落户，但长期在被征地农村集体经济组织生产生活，且取得该农村集体经济组织土地承包经营权的人员。</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2</w:t>
      </w:r>
      <w:r>
        <w:rPr>
          <w:rFonts w:hint="eastAsia" w:eastAsia="方正仿宋_GBK"/>
          <w:color w:val="auto"/>
          <w:sz w:val="32"/>
          <w:szCs w:val="32"/>
          <w:lang w:eastAsia="zh-CN"/>
        </w:rPr>
        <w:t>.</w:t>
      </w:r>
      <w:r>
        <w:rPr>
          <w:rFonts w:hint="eastAsia" w:eastAsia="方正仿宋_GBK"/>
          <w:color w:val="auto"/>
          <w:sz w:val="32"/>
          <w:szCs w:val="32"/>
          <w:lang w:val="en-US" w:eastAsia="zh-CN"/>
        </w:rPr>
        <w:t xml:space="preserve"> </w:t>
      </w:r>
      <w:r>
        <w:rPr>
          <w:rFonts w:hint="eastAsia" w:eastAsia="方正仿宋_GBK"/>
          <w:color w:val="auto"/>
          <w:sz w:val="32"/>
          <w:szCs w:val="32"/>
        </w:rPr>
        <w:t>下列人员不计入被征地农村集体经济组织总人口：</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 xml:space="preserve">（1）征地前已实行征地人员安置的人员； </w:t>
      </w:r>
    </w:p>
    <w:p>
      <w:pPr>
        <w:spacing w:line="576" w:lineRule="exact"/>
        <w:ind w:firstLine="640" w:firstLineChars="200"/>
        <w:rPr>
          <w:rFonts w:hint="eastAsia" w:eastAsia="方正仿宋_GBK"/>
          <w:color w:val="auto"/>
          <w:spacing w:val="-8"/>
          <w:sz w:val="32"/>
          <w:szCs w:val="32"/>
        </w:rPr>
      </w:pPr>
      <w:r>
        <w:rPr>
          <w:rFonts w:hint="eastAsia" w:eastAsia="方正仿宋_GBK"/>
          <w:color w:val="auto"/>
          <w:sz w:val="32"/>
          <w:szCs w:val="32"/>
        </w:rPr>
        <w:t>（2）国</w:t>
      </w:r>
      <w:r>
        <w:rPr>
          <w:rFonts w:hint="eastAsia" w:eastAsia="方正仿宋_GBK"/>
          <w:color w:val="auto"/>
          <w:spacing w:val="-8"/>
          <w:sz w:val="32"/>
          <w:szCs w:val="32"/>
        </w:rPr>
        <w:t>家机关、人民团体、事业单位等在编在职和退休人员。</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3</w:t>
      </w:r>
      <w:r>
        <w:rPr>
          <w:rFonts w:hint="eastAsia" w:eastAsia="方正仿宋_GBK"/>
          <w:color w:val="auto"/>
          <w:sz w:val="32"/>
          <w:szCs w:val="32"/>
          <w:lang w:eastAsia="zh-CN"/>
        </w:rPr>
        <w:t>.</w:t>
      </w:r>
      <w:r>
        <w:rPr>
          <w:rFonts w:hint="eastAsia" w:eastAsia="方正仿宋_GBK"/>
          <w:color w:val="auto"/>
          <w:sz w:val="32"/>
          <w:szCs w:val="32"/>
          <w:lang w:val="en-US" w:eastAsia="zh-CN"/>
        </w:rPr>
        <w:t xml:space="preserve"> </w:t>
      </w:r>
      <w:r>
        <w:rPr>
          <w:rFonts w:hint="eastAsia" w:eastAsia="方正仿宋_GBK"/>
          <w:color w:val="auto"/>
          <w:sz w:val="32"/>
          <w:szCs w:val="32"/>
        </w:rPr>
        <w:t>人员安置对象总数的确定方法：</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农村集体经济组织的土地被全部征收的，按照上述规定计入被征地农村集体经济组织总人口的人员全部为人员安置对象。</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spacing w:line="576" w:lineRule="exact"/>
        <w:ind w:firstLine="640" w:firstLineChars="200"/>
        <w:rPr>
          <w:color w:val="auto"/>
        </w:rPr>
      </w:pPr>
      <w:r>
        <w:rPr>
          <w:rFonts w:hint="eastAsia" w:eastAsia="方正仿宋_GBK"/>
          <w:color w:val="auto"/>
          <w:sz w:val="32"/>
          <w:szCs w:val="32"/>
        </w:rPr>
        <w:t>前款所称人均土地面积为集体土地所有权证登记的土地总面积（不含已被征收的面积）除以按照本实施办法计入被征地农村集体经济组织总人口数。前款所称农村集体经济组织耕地占比为集体土地所有权证登记的耕地面积（不含已被征收的面积）占土地总面积（不含已被征收的面积）的比例。</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spacing w:val="-17"/>
          <w:sz w:val="32"/>
          <w:szCs w:val="32"/>
        </w:rPr>
      </w:pPr>
      <w:r>
        <w:rPr>
          <w:rFonts w:eastAsia="方正仿宋_GBK"/>
          <w:color w:val="auto"/>
          <w:sz w:val="32"/>
          <w:szCs w:val="32"/>
        </w:rPr>
        <w:t>人员安置对象</w:t>
      </w:r>
      <w:r>
        <w:rPr>
          <w:rFonts w:hint="eastAsia" w:eastAsia="方正仿宋_GBK"/>
          <w:color w:val="auto"/>
          <w:sz w:val="32"/>
          <w:szCs w:val="32"/>
        </w:rPr>
        <w:t>范围及具体确定办法，按照《重庆市集体土地征收补偿安置办法》（重庆市人民政府令第344号）第十三条、第十四条、第十五条、第十六条规定执行。人员安置对象应当从征收土地预公告发布之日计入被征地农村集体经济组织总人口的人</w:t>
      </w:r>
      <w:r>
        <w:rPr>
          <w:rFonts w:hint="eastAsia" w:eastAsia="方正仿宋_GBK"/>
          <w:color w:val="auto"/>
          <w:spacing w:val="-17"/>
          <w:sz w:val="32"/>
          <w:szCs w:val="32"/>
        </w:rPr>
        <w:t>员中产生</w:t>
      </w:r>
      <w:r>
        <w:rPr>
          <w:rFonts w:hint="eastAsia" w:eastAsia="方正仿宋_GBK"/>
          <w:color w:val="auto"/>
          <w:spacing w:val="-17"/>
          <w:sz w:val="32"/>
          <w:szCs w:val="32"/>
          <w:lang w:eastAsia="zh-CN"/>
        </w:rPr>
        <w:t>，</w:t>
      </w:r>
      <w:r>
        <w:rPr>
          <w:rFonts w:hint="eastAsia" w:eastAsia="方正仿宋_GBK"/>
          <w:color w:val="auto"/>
          <w:spacing w:val="-17"/>
          <w:sz w:val="32"/>
          <w:szCs w:val="32"/>
          <w:lang w:val="en-US" w:eastAsia="zh-CN"/>
        </w:rPr>
        <w:t>安置对象人数为27人（四舍五入）。</w:t>
      </w:r>
      <w:r>
        <w:rPr>
          <w:rFonts w:eastAsia="方正仿宋_GBK"/>
          <w:color w:val="auto"/>
          <w:sz w:val="32"/>
          <w:szCs w:val="32"/>
        </w:rPr>
        <w:t>由</w:t>
      </w:r>
      <w:r>
        <w:rPr>
          <w:rFonts w:hint="eastAsia" w:eastAsia="方正仿宋_GBK"/>
          <w:color w:val="auto"/>
          <w:sz w:val="32"/>
          <w:szCs w:val="32"/>
        </w:rPr>
        <w:t>区拆迁征收中心委托</w:t>
      </w:r>
      <w:r>
        <w:rPr>
          <w:rFonts w:hint="eastAsia" w:eastAsia="方正仿宋_GBK"/>
          <w:color w:val="auto"/>
          <w:sz w:val="32"/>
          <w:szCs w:val="32"/>
          <w:lang w:val="en-US" w:eastAsia="zh-CN"/>
        </w:rPr>
        <w:t>永城镇政府</w:t>
      </w:r>
      <w:r>
        <w:rPr>
          <w:rFonts w:hint="eastAsia" w:eastAsia="方正仿宋_GBK"/>
          <w:color w:val="auto"/>
          <w:sz w:val="32"/>
          <w:szCs w:val="32"/>
        </w:rPr>
        <w:t>采取发放安置补助费的方式进行安置，</w:t>
      </w:r>
      <w:r>
        <w:rPr>
          <w:rFonts w:hint="eastAsia" w:eastAsia="方正仿宋_GBK"/>
          <w:color w:val="auto"/>
          <w:spacing w:val="-17"/>
          <w:sz w:val="32"/>
          <w:szCs w:val="32"/>
        </w:rPr>
        <w:t>每个人员安置对象的安置补助费发放标准为</w:t>
      </w:r>
      <w:r>
        <w:rPr>
          <w:rFonts w:hint="eastAsia" w:eastAsia="方正仿宋_GBK"/>
          <w:color w:val="auto"/>
          <w:spacing w:val="-17"/>
          <w:kern w:val="0"/>
          <w:sz w:val="32"/>
          <w:szCs w:val="32"/>
        </w:rPr>
        <w:t>36000</w:t>
      </w:r>
      <w:r>
        <w:rPr>
          <w:rFonts w:hint="eastAsia" w:eastAsia="方正仿宋_GBK"/>
          <w:color w:val="auto"/>
          <w:spacing w:val="-17"/>
          <w:sz w:val="32"/>
          <w:szCs w:val="32"/>
        </w:rPr>
        <w:t>元。</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具体的人员安置对象经农村集体经济组织公示 7 日无异议后，报</w:t>
      </w:r>
      <w:r>
        <w:rPr>
          <w:rFonts w:hint="eastAsia" w:eastAsia="方正仿宋_GBK"/>
          <w:color w:val="auto"/>
          <w:sz w:val="32"/>
          <w:szCs w:val="32"/>
          <w:lang w:val="en-US" w:eastAsia="zh-CN"/>
        </w:rPr>
        <w:t>永城镇政府</w:t>
      </w:r>
      <w:r>
        <w:rPr>
          <w:rFonts w:hint="eastAsia" w:eastAsia="方正仿宋_GBK"/>
          <w:color w:val="auto"/>
          <w:sz w:val="32"/>
          <w:szCs w:val="32"/>
        </w:rPr>
        <w:t>初审，区拆迁征收中心会同区规划自然资源、人力社保、公安、农业农村等部门复核，区人民政府核准。</w:t>
      </w:r>
    </w:p>
    <w:p>
      <w:pPr>
        <w:adjustRightInd w:val="0"/>
        <w:snapToGrid w:val="0"/>
        <w:spacing w:line="576" w:lineRule="exact"/>
        <w:ind w:firstLine="640" w:firstLineChars="200"/>
        <w:rPr>
          <w:rFonts w:hint="default" w:ascii="Times New Roman" w:hAnsi="Times New Roman" w:eastAsia="方正楷体_GBK" w:cs="Times New Roman"/>
          <w:bCs/>
          <w:color w:val="auto"/>
          <w:sz w:val="32"/>
          <w:szCs w:val="32"/>
          <w:lang w:eastAsia="zh-CN"/>
        </w:rPr>
      </w:pPr>
      <w:r>
        <w:rPr>
          <w:rFonts w:hint="default" w:ascii="Times New Roman" w:hAnsi="Times New Roman" w:eastAsia="方正楷体_GBK" w:cs="Times New Roman"/>
          <w:bCs/>
          <w:color w:val="auto"/>
          <w:sz w:val="32"/>
          <w:szCs w:val="32"/>
        </w:rPr>
        <w:t>（二）住房安置</w:t>
      </w:r>
    </w:p>
    <w:p>
      <w:pPr>
        <w:spacing w:line="57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住房安置对象范围及具体确定办法，按照《重庆市集体土地征收补偿安置办法》（重庆市人民政府令第344号）第十九条、第二十条、第十五条、第十六条规定执行。对住房安置对象</w:t>
      </w:r>
      <w:r>
        <w:rPr>
          <w:rFonts w:hint="default" w:ascii="Times New Roman" w:hAnsi="Times New Roman" w:eastAsia="方正仿宋_GBK" w:cs="Times New Roman"/>
          <w:b w:val="0"/>
          <w:bCs w:val="0"/>
          <w:color w:val="auto"/>
          <w:sz w:val="32"/>
          <w:szCs w:val="32"/>
          <w:lang w:eastAsia="zh-CN"/>
        </w:rPr>
        <w:t>按户</w:t>
      </w:r>
      <w:r>
        <w:rPr>
          <w:rFonts w:hint="default" w:ascii="Times New Roman" w:hAnsi="Times New Roman" w:eastAsia="方正仿宋_GBK" w:cs="Times New Roman"/>
          <w:color w:val="auto"/>
          <w:sz w:val="32"/>
          <w:szCs w:val="32"/>
        </w:rPr>
        <w:t>采取农村宅基地自建安置、安置房安置或者货币安置等方式</w:t>
      </w:r>
      <w:r>
        <w:rPr>
          <w:rFonts w:hint="default" w:ascii="Times New Roman" w:hAnsi="Times New Roman" w:eastAsia="方正仿宋_GBK" w:cs="Times New Roman"/>
          <w:b w:val="0"/>
          <w:bCs w:val="0"/>
          <w:color w:val="auto"/>
          <w:sz w:val="32"/>
          <w:szCs w:val="32"/>
          <w:lang w:eastAsia="zh-CN"/>
        </w:rPr>
        <w:t>。</w:t>
      </w:r>
    </w:p>
    <w:p>
      <w:pPr>
        <w:numPr>
          <w:ilvl w:val="0"/>
          <w:numId w:val="5"/>
        </w:numPr>
        <w:spacing w:line="57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村宅基地自建安置。住房安置对象选择农村宅基地自建安置的，应当符合镇（街）国土空间规划、村规划，以及国家和本市关于宅基地建房的有关规定。同时按被搬迁合法产权房屋居住面积（不含畜圈等非居住功能房屋）每平方米400元的标准给予一次性自建房补助（包含新宅基地、水电等基础设施和配套设施）。</w:t>
      </w:r>
    </w:p>
    <w:p>
      <w:pPr>
        <w:numPr>
          <w:ilvl w:val="0"/>
          <w:numId w:val="5"/>
        </w:numPr>
        <w:spacing w:line="57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安置房安置。住房安置对象选择安置房安置的，住房安置建筑面积标准为每人30平方米</w:t>
      </w: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val="en-US" w:eastAsia="zh-CN"/>
        </w:rPr>
        <w:t>由房屋搬迁户按照先签协议先选房的原则</w:t>
      </w:r>
      <w:r>
        <w:rPr>
          <w:rFonts w:hint="default" w:ascii="Times New Roman" w:hAnsi="Times New Roman" w:eastAsia="方正仿宋_GBK" w:cs="Times New Roman"/>
          <w:color w:val="auto"/>
          <w:sz w:val="32"/>
          <w:szCs w:val="32"/>
          <w:lang w:val="en-US" w:eastAsia="zh-CN"/>
        </w:rPr>
        <w:t>在</w:t>
      </w:r>
      <w:r>
        <w:rPr>
          <w:rFonts w:hint="eastAsia" w:eastAsia="方正仿宋_GBK" w:cs="Times New Roman"/>
          <w:color w:val="auto"/>
          <w:sz w:val="32"/>
          <w:szCs w:val="32"/>
          <w:lang w:val="en-US" w:eastAsia="zh-CN"/>
        </w:rPr>
        <w:t>永城镇</w:t>
      </w:r>
      <w:r>
        <w:rPr>
          <w:rFonts w:hint="eastAsia" w:eastAsia="方正仿宋_GBK" w:cs="Times New Roman"/>
          <w:color w:val="auto"/>
          <w:sz w:val="32"/>
          <w:szCs w:val="32"/>
          <w:u w:val="none"/>
          <w:lang w:val="en-US" w:eastAsia="zh-CN"/>
        </w:rPr>
        <w:t>中华居小区</w:t>
      </w:r>
      <w:r>
        <w:rPr>
          <w:rFonts w:hint="default" w:ascii="Times New Roman" w:hAnsi="Times New Roman" w:eastAsia="方正仿宋_GBK" w:cs="Times New Roman"/>
          <w:color w:val="auto"/>
          <w:sz w:val="32"/>
          <w:szCs w:val="32"/>
          <w:lang w:val="en-US" w:eastAsia="zh-CN"/>
        </w:rPr>
        <w:t>房源中</w:t>
      </w:r>
      <w:r>
        <w:rPr>
          <w:rFonts w:hint="eastAsia" w:eastAsia="方正仿宋_GBK" w:cs="Times New Roman"/>
          <w:color w:val="auto"/>
          <w:sz w:val="32"/>
          <w:szCs w:val="32"/>
          <w:lang w:val="en-US" w:eastAsia="zh-CN"/>
        </w:rPr>
        <w:t>自行</w:t>
      </w:r>
      <w:r>
        <w:rPr>
          <w:rFonts w:hint="default" w:ascii="Times New Roman" w:hAnsi="Times New Roman" w:eastAsia="方正仿宋_GBK" w:cs="Times New Roman"/>
          <w:color w:val="auto"/>
          <w:sz w:val="32"/>
          <w:szCs w:val="32"/>
          <w:lang w:val="en-US" w:eastAsia="zh-CN"/>
        </w:rPr>
        <w:t>选择。</w:t>
      </w:r>
      <w:r>
        <w:rPr>
          <w:rFonts w:hint="default" w:ascii="Times New Roman" w:hAnsi="Times New Roman" w:eastAsia="方正仿宋_GBK" w:cs="Times New Roman"/>
          <w:color w:val="auto"/>
          <w:sz w:val="32"/>
          <w:szCs w:val="32"/>
        </w:rPr>
        <w:t>应安置建筑面积的部分，按照《</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砖混结构房屋的重置价格标准（1020元/平方米）购买。因户型设计等原因，以户为单位，安置房超过应安置建筑面积不满5平方米的部分，按照安置房建安造价的50%（650元/平方米）购买；超过应安置建筑面积5平方米以上不满10平方米的部分，按照安置房建安造价（1300元/平方米）购买；超过应安置建筑面积10平方米以上的部分，按照住房货币安置价格标准（</w:t>
      </w:r>
      <w:r>
        <w:rPr>
          <w:rFonts w:hint="eastAsia" w:eastAsia="方正仿宋_GBK" w:cs="Times New Roman"/>
          <w:color w:val="auto"/>
          <w:sz w:val="32"/>
          <w:szCs w:val="32"/>
          <w:lang w:val="en-US" w:eastAsia="zh-CN"/>
        </w:rPr>
        <w:t>32</w:t>
      </w:r>
      <w:r>
        <w:rPr>
          <w:rFonts w:hint="default"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rPr>
        <w:t>元/平方米）购买</w:t>
      </w:r>
      <w:r>
        <w:rPr>
          <w:rFonts w:hint="default" w:ascii="Times New Roman" w:hAnsi="Times New Roman" w:eastAsia="方正仿宋_GBK" w:cs="Times New Roman"/>
          <w:color w:val="auto"/>
          <w:sz w:val="32"/>
          <w:szCs w:val="32"/>
          <w:lang w:eastAsia="zh-CN"/>
        </w:rPr>
        <w:t>。</w:t>
      </w:r>
    </w:p>
    <w:p>
      <w:pPr>
        <w:spacing w:line="576" w:lineRule="exact"/>
        <w:ind w:firstLine="640" w:firstLineChars="200"/>
        <w:rPr>
          <w:rFonts w:hint="eastAsia" w:eastAsia="方正仿宋_GBK"/>
          <w:sz w:val="32"/>
          <w:szCs w:val="32"/>
        </w:rPr>
      </w:pPr>
      <w:r>
        <w:rPr>
          <w:rFonts w:hint="eastAsia" w:eastAsia="方正仿宋_GBK"/>
          <w:sz w:val="32"/>
          <w:szCs w:val="32"/>
        </w:rPr>
        <w:t>3．货币安置。</w:t>
      </w:r>
    </w:p>
    <w:p>
      <w:pPr>
        <w:spacing w:line="576" w:lineRule="exact"/>
        <w:ind w:firstLine="640" w:firstLineChars="200"/>
        <w:rPr>
          <w:rFonts w:hint="eastAsia" w:eastAsia="方正仿宋_GBK"/>
          <w:sz w:val="32"/>
          <w:szCs w:val="32"/>
        </w:rPr>
      </w:pPr>
      <w:r>
        <w:rPr>
          <w:rFonts w:hint="eastAsia" w:eastAsia="方正仿宋_GBK"/>
          <w:sz w:val="32"/>
          <w:szCs w:val="32"/>
        </w:rPr>
        <w:t>（1）货币安置直接支付。</w:t>
      </w:r>
    </w:p>
    <w:p>
      <w:pPr>
        <w:spacing w:line="576" w:lineRule="exact"/>
        <w:ind w:firstLine="640" w:firstLineChars="200"/>
        <w:rPr>
          <w:rFonts w:hint="eastAsia" w:eastAsia="方正仿宋_GBK"/>
          <w:sz w:val="32"/>
          <w:szCs w:val="32"/>
        </w:rPr>
      </w:pPr>
      <w:r>
        <w:rPr>
          <w:rFonts w:hint="eastAsia" w:eastAsia="方正仿宋_GBK"/>
          <w:sz w:val="32"/>
          <w:szCs w:val="32"/>
        </w:rPr>
        <w:t>住房安置对象选择货币安置的，住房货币安置建筑面积标准为每人30平方米。货币安置款额等于住房货币安置价格标准乘以应安置建筑面积。永城镇住房货币安置价格标准为3200元/平方米。</w:t>
      </w:r>
    </w:p>
    <w:p>
      <w:pPr>
        <w:spacing w:line="576" w:lineRule="exact"/>
        <w:ind w:firstLine="640" w:firstLineChars="200"/>
        <w:rPr>
          <w:rFonts w:hint="eastAsia" w:eastAsia="方正仿宋_GBK"/>
          <w:sz w:val="32"/>
          <w:szCs w:val="32"/>
        </w:rPr>
      </w:pPr>
      <w:r>
        <w:rPr>
          <w:rFonts w:hint="eastAsia" w:eastAsia="方正仿宋_GBK"/>
          <w:sz w:val="32"/>
          <w:szCs w:val="32"/>
        </w:rPr>
        <w:t>（2）货币安置限价商品房安置。</w:t>
      </w:r>
    </w:p>
    <w:p>
      <w:pPr>
        <w:spacing w:line="576" w:lineRule="exact"/>
        <w:ind w:firstLine="640" w:firstLineChars="200"/>
        <w:rPr>
          <w:rFonts w:hint="default" w:ascii="Times New Roman" w:hAnsi="Times New Roman" w:eastAsia="方正仿宋_GBK" w:cs="Times New Roman"/>
          <w:color w:val="auto"/>
          <w:sz w:val="32"/>
          <w:szCs w:val="32"/>
        </w:rPr>
      </w:pPr>
      <w:r>
        <w:rPr>
          <w:rFonts w:hint="eastAsia" w:eastAsia="方正仿宋_GBK"/>
          <w:sz w:val="32"/>
          <w:szCs w:val="32"/>
        </w:rPr>
        <w:t>住房安置对象选择货币安置限价商品房安置的，货币安置限价商品房安置建筑面积标准为每人30平方米。本项目限价商品房地点位于永城镇</w:t>
      </w:r>
      <w:r>
        <w:rPr>
          <w:rFonts w:hint="eastAsia" w:eastAsia="方正仿宋_GBK"/>
          <w:sz w:val="32"/>
          <w:szCs w:val="32"/>
          <w:lang w:val="en-US" w:eastAsia="zh-CN"/>
        </w:rPr>
        <w:t>中华居小区</w:t>
      </w:r>
      <w:r>
        <w:rPr>
          <w:rFonts w:hint="eastAsia" w:eastAsia="方正仿宋_GBK"/>
          <w:sz w:val="32"/>
          <w:szCs w:val="32"/>
        </w:rPr>
        <w:t>，由房屋搬迁户按照先签协议先选房的原则自行选房，限价商品房价格按应安置建筑面积计算2550元/㎡。因户型设计等原因，以户为单位，限价商品房建筑面积超过应安置建筑面积不满</w:t>
      </w:r>
      <w:r>
        <w:rPr>
          <w:rFonts w:hint="eastAsia" w:eastAsia="方正仿宋_GBK"/>
          <w:sz w:val="32"/>
          <w:szCs w:val="32"/>
          <w:lang w:val="en-US" w:eastAsia="zh-CN"/>
        </w:rPr>
        <w:t>5</w:t>
      </w:r>
      <w:r>
        <w:rPr>
          <w:rFonts w:hint="eastAsia" w:eastAsia="方正仿宋_GBK"/>
          <w:sz w:val="32"/>
          <w:szCs w:val="32"/>
        </w:rPr>
        <w:t>平方米的部分</w:t>
      </w:r>
      <w:r>
        <w:rPr>
          <w:rFonts w:hint="eastAsia" w:eastAsia="方正仿宋_GBK"/>
          <w:sz w:val="32"/>
          <w:szCs w:val="32"/>
          <w:lang w:eastAsia="zh-CN"/>
        </w:rPr>
        <w:t>，</w:t>
      </w:r>
      <w:r>
        <w:rPr>
          <w:rFonts w:hint="eastAsia" w:eastAsia="方正仿宋_GBK"/>
          <w:sz w:val="32"/>
          <w:szCs w:val="32"/>
        </w:rPr>
        <w:t>按照2550元/㎡购买；超过应安置建筑面积</w:t>
      </w:r>
      <w:r>
        <w:rPr>
          <w:rFonts w:hint="eastAsia" w:eastAsia="方正仿宋_GBK"/>
          <w:sz w:val="32"/>
          <w:szCs w:val="32"/>
          <w:lang w:val="en-US" w:eastAsia="zh-CN"/>
        </w:rPr>
        <w:t>5</w:t>
      </w:r>
      <w:r>
        <w:rPr>
          <w:rFonts w:hint="eastAsia" w:eastAsia="方正仿宋_GBK"/>
          <w:sz w:val="32"/>
          <w:szCs w:val="32"/>
        </w:rPr>
        <w:t>平方米以上的部分，按照该商品房市场均价购买。房屋搬迁户的货币安置款扣除限价商品房价款后支付。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特殊安置。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sz w:val="32"/>
          <w:szCs w:val="32"/>
        </w:rPr>
        <w:t>住房安置对象夫妻双方均无子女，实行安置房安置或者货币安置时，可以申请增加15平方米建筑面积的住房或者对应的货币补偿。</w:t>
      </w:r>
    </w:p>
    <w:p>
      <w:pPr>
        <w:widowControl/>
        <w:spacing w:line="576"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sz w:val="32"/>
          <w:szCs w:val="32"/>
        </w:rPr>
        <w:t>住房安置对象已达法定婚龄未婚的（不含离异、丧偶未再婚等情形）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可以申请增加15平方米建筑面积的住房或者对应的货币补偿。</w:t>
      </w:r>
    </w:p>
    <w:p>
      <w:pPr>
        <w:pStyle w:val="11"/>
        <w:spacing w:line="57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（3）住房安置对象的配偶及其未成年子女和被搬迁房屋的不动产权持证人及其配偶、未成年子女，不属于被征地农村集体经济组织总人口范围，同时符合下列条件：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①长期居住在被征收范围内；②征地前未实行征地住房安置；③住房安置对象或被搬迁住房所有权人，及其配偶和未成年子女，均无商品房和其他农村住房，也未享受过福利房、经济适用房、安置房等住房；④不享有其他农村集体经济组织宅基地权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可按以下规定申请住房安置：住房安置对象的配偶或者未成年子女，实行安置房安置或者货币安置时，可以申请15平方米建筑面积的住房，与住房安置对象合并安置。</w:t>
      </w:r>
    </w:p>
    <w:p>
      <w:pPr>
        <w:pStyle w:val="11"/>
        <w:spacing w:line="576"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被搬迁住房所有权人及其配偶，实行安置房安置或货币安置时，可以申请30平方米建筑面积的住房，其未成年子女可申请增加15平方米建筑面积的住房与其合并安置。但通过买卖、继承、赠与、交换、分家析产、司法处置等方式取得被搬迁房屋所有权证书的，被搬迁房屋按重置价格标准上浮50%予以补助，不予住房安置</w:t>
      </w:r>
      <w:r>
        <w:rPr>
          <w:rFonts w:hint="default" w:ascii="Times New Roman" w:hAnsi="Times New Roman" w:eastAsia="方正仿宋_GBK" w:cs="Times New Roman"/>
          <w:color w:val="auto"/>
          <w:sz w:val="32"/>
          <w:szCs w:val="32"/>
          <w:lang w:eastAsia="zh-CN"/>
        </w:rPr>
        <w:t>。</w:t>
      </w:r>
    </w:p>
    <w:p>
      <w:pPr>
        <w:pStyle w:val="11"/>
        <w:spacing w:line="57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5. </w:t>
      </w:r>
      <w:r>
        <w:rPr>
          <w:rFonts w:hint="default" w:ascii="Times New Roman" w:hAnsi="Times New Roman" w:eastAsia="方正仿宋_GBK" w:cs="Times New Roman"/>
          <w:color w:val="auto"/>
          <w:sz w:val="32"/>
          <w:szCs w:val="32"/>
        </w:rPr>
        <w:t>搬迁费。征地搬迁农村住房，搬迁费按户两次计发，每次标准为3人以下（含3人），每户1500元；4人，每户2000元；5人以上（含5人），每户2500元，用于被搬迁户搬家及生产生活设施迁移需要的费用。</w:t>
      </w:r>
    </w:p>
    <w:p>
      <w:pPr>
        <w:widowControl/>
        <w:numPr>
          <w:ilvl w:val="0"/>
          <w:numId w:val="3"/>
        </w:numPr>
        <w:spacing w:line="576" w:lineRule="exact"/>
        <w:ind w:left="0" w:leftChars="0" w:firstLine="640" w:firstLineChars="200"/>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val="en-US" w:eastAsia="zh-CN" w:bidi="ar"/>
        </w:rPr>
        <w:t>房屋搬迁奖励。</w:t>
      </w:r>
      <w:r>
        <w:rPr>
          <w:rFonts w:hint="default" w:ascii="Times New Roman" w:hAnsi="Times New Roman" w:eastAsia="方正仿宋_GBK" w:cs="Times New Roman"/>
          <w:kern w:val="0"/>
          <w:sz w:val="32"/>
          <w:szCs w:val="32"/>
          <w:lang w:bidi="ar"/>
        </w:rPr>
        <w:t>农村房屋被征地搬迁的合法建筑面积部分，在</w:t>
      </w:r>
      <w:r>
        <w:rPr>
          <w:rFonts w:hint="default" w:ascii="Times New Roman" w:hAnsi="Times New Roman" w:eastAsia="方正仿宋_GBK" w:cs="Times New Roman"/>
          <w:color w:val="auto"/>
          <w:kern w:val="0"/>
          <w:sz w:val="32"/>
          <w:szCs w:val="32"/>
          <w:lang w:val="en-US" w:eastAsia="zh-CN" w:bidi="ar"/>
        </w:rPr>
        <w:t>征地补偿安置确定方案发布之后</w:t>
      </w:r>
      <w:r>
        <w:rPr>
          <w:rFonts w:hint="eastAsia" w:eastAsia="方正仿宋_GBK" w:cs="Times New Roman"/>
          <w:color w:val="auto"/>
          <w:kern w:val="0"/>
          <w:sz w:val="32"/>
          <w:szCs w:val="32"/>
          <w:lang w:val="en-US" w:eastAsia="zh-CN" w:bidi="ar"/>
        </w:rPr>
        <w:t>规定时间</w:t>
      </w:r>
      <w:r>
        <w:rPr>
          <w:rFonts w:hint="default" w:ascii="Times New Roman" w:hAnsi="Times New Roman" w:eastAsia="方正仿宋_GBK" w:cs="Times New Roman"/>
          <w:color w:val="auto"/>
          <w:kern w:val="0"/>
          <w:sz w:val="32"/>
          <w:szCs w:val="32"/>
          <w:lang w:val="en-US" w:eastAsia="zh-CN" w:bidi="ar"/>
        </w:rPr>
        <w:t>内</w:t>
      </w:r>
      <w:r>
        <w:rPr>
          <w:rFonts w:hint="default" w:ascii="Times New Roman" w:hAnsi="Times New Roman" w:eastAsia="方正仿宋_GBK" w:cs="Times New Roman"/>
          <w:color w:val="auto"/>
          <w:kern w:val="0"/>
          <w:sz w:val="32"/>
          <w:szCs w:val="32"/>
          <w:lang w:bidi="ar"/>
        </w:rPr>
        <w:t>签订房屋搬迁补偿安置协议的，给予每平方米</w:t>
      </w:r>
      <w:r>
        <w:rPr>
          <w:rFonts w:hint="default" w:ascii="Times New Roman" w:hAnsi="Times New Roman" w:cs="Times New Roman"/>
          <w:color w:val="auto"/>
          <w:kern w:val="0"/>
          <w:sz w:val="32"/>
          <w:szCs w:val="32"/>
          <w:lang w:bidi="ar"/>
        </w:rPr>
        <w:t>35</w:t>
      </w:r>
      <w:r>
        <w:rPr>
          <w:rFonts w:hint="default" w:ascii="Times New Roman" w:hAnsi="Times New Roman" w:eastAsia="方正仿宋_GBK" w:cs="Times New Roman"/>
          <w:color w:val="auto"/>
          <w:kern w:val="0"/>
          <w:sz w:val="32"/>
          <w:szCs w:val="32"/>
          <w:lang w:bidi="ar"/>
        </w:rPr>
        <w:t>元的协议签订奖励；在签订的搬迁补偿安置协议</w:t>
      </w:r>
      <w:r>
        <w:rPr>
          <w:rFonts w:hint="eastAsia" w:eastAsia="方正仿宋_GBK" w:cs="Times New Roman"/>
          <w:color w:val="auto"/>
          <w:kern w:val="0"/>
          <w:sz w:val="32"/>
          <w:szCs w:val="32"/>
          <w:lang w:val="en-US" w:eastAsia="zh-CN" w:bidi="ar"/>
        </w:rPr>
        <w:t>10日</w:t>
      </w:r>
      <w:r>
        <w:rPr>
          <w:rFonts w:hint="default" w:ascii="Times New Roman" w:hAnsi="Times New Roman" w:eastAsia="方正仿宋_GBK" w:cs="Times New Roman"/>
          <w:color w:val="auto"/>
          <w:kern w:val="0"/>
          <w:sz w:val="32"/>
          <w:szCs w:val="32"/>
          <w:lang w:val="en-US" w:eastAsia="zh-CN" w:bidi="ar"/>
        </w:rPr>
        <w:t>内</w:t>
      </w:r>
      <w:r>
        <w:rPr>
          <w:rFonts w:hint="default" w:ascii="Times New Roman" w:hAnsi="Times New Roman" w:eastAsia="方正仿宋_GBK" w:cs="Times New Roman"/>
          <w:color w:val="auto"/>
          <w:kern w:val="0"/>
          <w:sz w:val="32"/>
          <w:szCs w:val="32"/>
          <w:lang w:bidi="ar"/>
        </w:rPr>
        <w:t xml:space="preserve">腾空交付房屋且承诺放弃残值的，给予每平方米 </w:t>
      </w:r>
      <w:r>
        <w:rPr>
          <w:rFonts w:hint="default" w:ascii="Times New Roman" w:hAnsi="Times New Roman" w:cs="Times New Roman"/>
          <w:color w:val="auto"/>
          <w:kern w:val="0"/>
          <w:sz w:val="32"/>
          <w:szCs w:val="32"/>
          <w:lang w:bidi="ar"/>
        </w:rPr>
        <w:t xml:space="preserve">25 </w:t>
      </w:r>
      <w:r>
        <w:rPr>
          <w:rFonts w:hint="default" w:ascii="Times New Roman" w:hAnsi="Times New Roman" w:eastAsia="方正仿宋_GBK" w:cs="Times New Roman"/>
          <w:color w:val="auto"/>
          <w:kern w:val="0"/>
          <w:sz w:val="32"/>
          <w:szCs w:val="32"/>
          <w:lang w:bidi="ar"/>
        </w:rPr>
        <w:t>元的房屋腾空交付奖励；未在本方案规定期限内签订房屋搬迁协议或未</w:t>
      </w:r>
      <w:r>
        <w:rPr>
          <w:rFonts w:hint="default" w:ascii="Times New Roman" w:hAnsi="Times New Roman" w:eastAsia="方正仿宋_GBK" w:cs="Times New Roman"/>
          <w:color w:val="auto"/>
          <w:kern w:val="0"/>
          <w:sz w:val="32"/>
          <w:szCs w:val="32"/>
          <w:lang w:eastAsia="zh-CN" w:bidi="ar"/>
        </w:rPr>
        <w:t>在规定时间内</w:t>
      </w:r>
      <w:r>
        <w:rPr>
          <w:rFonts w:hint="default" w:ascii="Times New Roman" w:hAnsi="Times New Roman" w:eastAsia="方正仿宋_GBK" w:cs="Times New Roman"/>
          <w:color w:val="auto"/>
          <w:kern w:val="0"/>
          <w:sz w:val="32"/>
          <w:szCs w:val="32"/>
          <w:lang w:bidi="ar"/>
        </w:rPr>
        <w:t>腾空交付房屋的不给予相应奖励。</w:t>
      </w:r>
    </w:p>
    <w:p>
      <w:pPr>
        <w:numPr>
          <w:ilvl w:val="0"/>
          <w:numId w:val="3"/>
        </w:numPr>
        <w:spacing w:line="57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临时安置费。选择农村宅基地自建安置的，按照符合宅基地申请条件的人员每人每月200元计算并一次性支付18个月的临时安置费。</w:t>
      </w:r>
    </w:p>
    <w:p>
      <w:pPr>
        <w:spacing w:line="57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行安置房安置的，自被搬迁住房腾空验收交付搬迁之月起至安置房通知交付后6个月止，按照应安置建筑面积每月每平方米10元计算支付临时安置费；临时过渡期限最长为3年，不满3年的按实际过渡期限计算，超过3年的，从逾期之月起临时安置费按应安置建筑面积每月每平方米20元计算。</w:t>
      </w:r>
    </w:p>
    <w:p>
      <w:pPr>
        <w:adjustRightInd w:val="0"/>
        <w:snapToGrid w:val="0"/>
        <w:spacing w:line="576" w:lineRule="exact"/>
        <w:ind w:firstLine="640" w:firstLineChars="200"/>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选择住房货币安置的，按照应安置建筑面积每月每平方米10元计算并一次性支付12个月的临时安置费。</w:t>
      </w:r>
      <w:r>
        <w:rPr>
          <w:rFonts w:hint="eastAsia" w:eastAsia="方正仿宋_GBK"/>
          <w:sz w:val="32"/>
          <w:szCs w:val="32"/>
        </w:rPr>
        <w:t>选择货币安置限价商品房安置的，自被搬迁住房腾空验收交付搬迁之月起至限价商品房通知交付后6个月止，按应安置建筑面积每月每平方米10元支付。</w:t>
      </w:r>
    </w:p>
    <w:p>
      <w:pPr>
        <w:keepNext w:val="0"/>
        <w:keepLines w:val="0"/>
        <w:pageBreakBefore w:val="0"/>
        <w:numPr>
          <w:ilvl w:val="0"/>
          <w:numId w:val="3"/>
        </w:numPr>
        <w:kinsoku/>
        <w:wordWrap/>
        <w:overflowPunct/>
        <w:topLinePunct w:val="0"/>
        <w:bidi w:val="0"/>
        <w:adjustRightInd w:val="0"/>
        <w:snapToGrid w:val="0"/>
        <w:spacing w:line="576" w:lineRule="exact"/>
        <w:ind w:firstLine="608" w:firstLineChars="200"/>
        <w:jc w:val="left"/>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pacing w:val="-8"/>
          <w:sz w:val="32"/>
          <w:szCs w:val="32"/>
          <w:lang w:val="en-US" w:eastAsia="zh-CN"/>
        </w:rPr>
        <w:t>特殊对象搬迁费和过渡费补助。</w:t>
      </w:r>
      <w:r>
        <w:rPr>
          <w:rFonts w:hint="default" w:ascii="Times New Roman" w:hAnsi="Times New Roman" w:eastAsia="方正仿宋_GBK" w:cs="Times New Roman"/>
          <w:color w:val="auto"/>
          <w:spacing w:val="-8"/>
          <w:sz w:val="32"/>
          <w:szCs w:val="32"/>
        </w:rPr>
        <w:t>对</w:t>
      </w:r>
      <w:r>
        <w:rPr>
          <w:rFonts w:hint="default" w:ascii="Times New Roman" w:hAnsi="Times New Roman" w:eastAsia="方正仿宋_GBK" w:cs="Times New Roman"/>
          <w:color w:val="auto"/>
          <w:spacing w:val="-8"/>
          <w:sz w:val="32"/>
          <w:szCs w:val="32"/>
          <w:lang w:val="en-US" w:eastAsia="zh-CN"/>
        </w:rPr>
        <w:t>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lang w:val="en-US" w:eastAsia="zh-CN"/>
        </w:rPr>
        <w:t>规定实施住房安置家庭户中，不能予以住房安置的其他</w:t>
      </w:r>
      <w:r>
        <w:rPr>
          <w:rFonts w:hint="eastAsia" w:eastAsia="方正仿宋_GBK" w:cs="Times New Roman"/>
          <w:color w:val="auto"/>
          <w:spacing w:val="-8"/>
          <w:sz w:val="32"/>
          <w:szCs w:val="32"/>
          <w:lang w:val="en-US" w:eastAsia="zh-CN"/>
        </w:rPr>
        <w:t>常住</w:t>
      </w:r>
      <w:r>
        <w:rPr>
          <w:rFonts w:hint="default" w:ascii="Times New Roman" w:hAnsi="Times New Roman" w:eastAsia="方正仿宋_GBK" w:cs="Times New Roman"/>
          <w:color w:val="auto"/>
          <w:spacing w:val="-8"/>
          <w:sz w:val="32"/>
          <w:szCs w:val="32"/>
          <w:lang w:val="en-US" w:eastAsia="zh-CN"/>
        </w:rPr>
        <w:t>家庭成员</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lang w:val="en-US" w:eastAsia="zh-CN"/>
        </w:rPr>
        <w:t>纳入本户家庭人员合并计算，并按照政策规定标准支付该户住房搬迁费；对</w:t>
      </w:r>
      <w:r>
        <w:rPr>
          <w:rFonts w:hint="default" w:ascii="Times New Roman" w:hAnsi="Times New Roman" w:eastAsia="方正仿宋_GBK" w:cs="Times New Roman"/>
          <w:color w:val="auto"/>
          <w:spacing w:val="-8"/>
          <w:sz w:val="32"/>
          <w:szCs w:val="32"/>
        </w:rPr>
        <w:t>符合</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rPr>
        <w:t>第</w:t>
      </w:r>
      <w:r>
        <w:rPr>
          <w:rFonts w:hint="default" w:ascii="Times New Roman" w:hAnsi="Times New Roman" w:eastAsia="方正仿宋_GBK" w:cs="Times New Roman"/>
          <w:color w:val="auto"/>
          <w:spacing w:val="-8"/>
          <w:sz w:val="32"/>
          <w:szCs w:val="32"/>
          <w:lang w:val="en-US" w:eastAsia="zh-CN"/>
        </w:rPr>
        <w:t>二十七</w:t>
      </w:r>
      <w:r>
        <w:rPr>
          <w:rFonts w:hint="default" w:ascii="Times New Roman" w:hAnsi="Times New Roman" w:eastAsia="方正仿宋_GBK" w:cs="Times New Roman"/>
          <w:color w:val="auto"/>
          <w:spacing w:val="-8"/>
          <w:sz w:val="32"/>
          <w:szCs w:val="32"/>
        </w:rPr>
        <w:t>条第三款规定不能</w:t>
      </w:r>
      <w:r>
        <w:rPr>
          <w:rFonts w:hint="default" w:ascii="Times New Roman" w:hAnsi="Times New Roman" w:eastAsia="方正仿宋_GBK" w:cs="Times New Roman"/>
          <w:color w:val="auto"/>
          <w:spacing w:val="-8"/>
          <w:sz w:val="32"/>
          <w:szCs w:val="32"/>
          <w:lang w:val="en-US" w:eastAsia="zh-CN"/>
        </w:rPr>
        <w:t>予以</w:t>
      </w:r>
      <w:r>
        <w:rPr>
          <w:rFonts w:hint="default" w:ascii="Times New Roman" w:hAnsi="Times New Roman" w:eastAsia="方正仿宋_GBK" w:cs="Times New Roman"/>
          <w:color w:val="auto"/>
          <w:spacing w:val="-8"/>
          <w:sz w:val="32"/>
          <w:szCs w:val="32"/>
        </w:rPr>
        <w:t>住房安置的家庭户</w:t>
      </w:r>
      <w:r>
        <w:rPr>
          <w:rFonts w:hint="default" w:ascii="Times New Roman" w:hAnsi="Times New Roman" w:eastAsia="方正仿宋_GBK" w:cs="Times New Roman"/>
          <w:color w:val="auto"/>
          <w:spacing w:val="-8"/>
          <w:sz w:val="32"/>
          <w:szCs w:val="32"/>
          <w:lang w:val="en-US" w:eastAsia="zh-CN"/>
        </w:rPr>
        <w:t>人员（限为持证人及其配偶和未成年子女），参照政策规定标准支付该户住房搬迁费。以上</w:t>
      </w:r>
      <w:r>
        <w:rPr>
          <w:rFonts w:hint="default" w:ascii="Times New Roman" w:hAnsi="Times New Roman" w:eastAsia="方正仿宋_GBK" w:cs="Times New Roman"/>
          <w:color w:val="auto"/>
          <w:spacing w:val="-8"/>
          <w:sz w:val="32"/>
          <w:szCs w:val="32"/>
        </w:rPr>
        <w:t>两类人员参照住房安置人员标准给予临时</w:t>
      </w:r>
      <w:r>
        <w:rPr>
          <w:rFonts w:hint="default" w:ascii="Times New Roman" w:hAnsi="Times New Roman" w:eastAsia="方正仿宋_GBK" w:cs="Times New Roman"/>
          <w:color w:val="auto"/>
          <w:spacing w:val="-8"/>
          <w:sz w:val="32"/>
          <w:szCs w:val="32"/>
          <w:lang w:val="en-US" w:eastAsia="zh-CN"/>
        </w:rPr>
        <w:t>过渡</w:t>
      </w:r>
      <w:r>
        <w:rPr>
          <w:rFonts w:hint="default" w:ascii="Times New Roman" w:hAnsi="Times New Roman" w:eastAsia="方正仿宋_GBK" w:cs="Times New Roman"/>
          <w:color w:val="auto"/>
          <w:spacing w:val="-8"/>
          <w:sz w:val="32"/>
          <w:szCs w:val="32"/>
        </w:rPr>
        <w:t>费</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lang w:val="en-US" w:eastAsia="zh-CN"/>
        </w:rPr>
        <w:t>按每人36</w:t>
      </w:r>
      <w:r>
        <w:rPr>
          <w:rFonts w:hint="default" w:ascii="Times New Roman" w:hAnsi="Times New Roman" w:eastAsia="方正仿宋_GBK" w:cs="Times New Roman"/>
          <w:color w:val="auto"/>
          <w:spacing w:val="-8"/>
          <w:sz w:val="32"/>
          <w:szCs w:val="32"/>
        </w:rPr>
        <w:t>00元计发。</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outlineLvl w:val="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五、社会保障</w:t>
      </w:r>
    </w:p>
    <w:p>
      <w:pPr>
        <w:keepNext w:val="0"/>
        <w:keepLines w:val="0"/>
        <w:pageBreakBefore w:val="0"/>
        <w:kinsoku/>
        <w:wordWrap/>
        <w:overflowPunct/>
        <w:topLinePunct w:val="0"/>
        <w:bidi w:val="0"/>
        <w:adjustRightInd w:val="0"/>
        <w:snapToGrid w:val="0"/>
        <w:spacing w:line="576" w:lineRule="exact"/>
        <w:ind w:firstLine="608" w:firstLineChars="200"/>
        <w:jc w:val="both"/>
        <w:textAlignment w:val="auto"/>
        <w:rPr>
          <w:rFonts w:eastAsia="方正仿宋_GBK"/>
          <w:color w:val="auto"/>
          <w:spacing w:val="-8"/>
          <w:sz w:val="32"/>
          <w:szCs w:val="32"/>
        </w:rPr>
      </w:pPr>
      <w:r>
        <w:rPr>
          <w:rFonts w:hint="eastAsia" w:eastAsia="方正仿宋_GBK"/>
          <w:color w:val="auto"/>
          <w:spacing w:val="-8"/>
          <w:sz w:val="32"/>
          <w:szCs w:val="32"/>
        </w:rPr>
        <w:t>对符合条件的征地人员安置对象参加基本养老保险实施缴费补贴，具体如下：</w:t>
      </w:r>
    </w:p>
    <w:p>
      <w:pPr>
        <w:pStyle w:val="11"/>
        <w:keepNext w:val="0"/>
        <w:keepLines w:val="0"/>
        <w:pageBreakBefore w:val="0"/>
        <w:kinsoku/>
        <w:wordWrap/>
        <w:overflowPunct/>
        <w:topLinePunct w:val="0"/>
        <w:bidi w:val="0"/>
        <w:adjustRightInd w:val="0"/>
        <w:spacing w:line="576" w:lineRule="exact"/>
        <w:ind w:firstLine="608" w:firstLineChars="200"/>
        <w:jc w:val="both"/>
        <w:textAlignment w:val="auto"/>
        <w:rPr>
          <w:rFonts w:ascii="Times New Roman" w:hAnsi="Times New Roman" w:eastAsia="方正仿宋_GBK" w:cs="Times New Roman"/>
          <w:color w:val="auto"/>
          <w:spacing w:val="-8"/>
          <w:sz w:val="32"/>
          <w:szCs w:val="32"/>
        </w:rPr>
      </w:pPr>
      <w:r>
        <w:rPr>
          <w:rFonts w:hint="eastAsia" w:ascii="方正楷体_GBK" w:hAnsi="方正楷体_GBK" w:eastAsia="方正楷体_GBK" w:cs="方正楷体_GBK"/>
          <w:color w:val="auto"/>
          <w:spacing w:val="-8"/>
          <w:sz w:val="32"/>
          <w:szCs w:val="32"/>
        </w:rPr>
        <w:t>（一）补贴对象。</w:t>
      </w:r>
      <w:r>
        <w:rPr>
          <w:rFonts w:ascii="Times New Roman" w:hAnsi="Times New Roman" w:eastAsia="方正仿宋_GBK" w:cs="Times New Roman"/>
          <w:color w:val="auto"/>
          <w:spacing w:val="-8"/>
          <w:sz w:val="32"/>
          <w:szCs w:val="32"/>
        </w:rPr>
        <w:t>征地人员安置对象中，在征收土地公告当月年满16周岁及以上的人员。</w:t>
      </w:r>
    </w:p>
    <w:p>
      <w:pPr>
        <w:pStyle w:val="11"/>
        <w:keepNext w:val="0"/>
        <w:keepLines w:val="0"/>
        <w:pageBreakBefore w:val="0"/>
        <w:kinsoku/>
        <w:wordWrap/>
        <w:overflowPunct/>
        <w:topLinePunct w:val="0"/>
        <w:bidi w:val="0"/>
        <w:adjustRightInd w:val="0"/>
        <w:spacing w:line="576" w:lineRule="exact"/>
        <w:ind w:firstLine="608" w:firstLineChars="200"/>
        <w:jc w:val="both"/>
        <w:textAlignment w:val="auto"/>
        <w:rPr>
          <w:rFonts w:ascii="Times New Roman" w:hAnsi="Times New Roman" w:eastAsia="方正仿宋_GBK" w:cs="Times New Roman"/>
          <w:color w:val="auto"/>
          <w:spacing w:val="-8"/>
          <w:sz w:val="32"/>
          <w:szCs w:val="32"/>
        </w:rPr>
      </w:pPr>
      <w:r>
        <w:rPr>
          <w:rFonts w:ascii="Times New Roman" w:hAnsi="Times New Roman" w:eastAsia="方正仿宋_GBK" w:cs="Times New Roman"/>
          <w:color w:val="auto"/>
          <w:spacing w:val="-8"/>
          <w:sz w:val="32"/>
          <w:szCs w:val="32"/>
        </w:rPr>
        <w:t>以下人员不属于补贴对象：</w:t>
      </w:r>
    </w:p>
    <w:p>
      <w:pPr>
        <w:pStyle w:val="11"/>
        <w:keepNext w:val="0"/>
        <w:keepLines w:val="0"/>
        <w:pageBreakBefore w:val="0"/>
        <w:numPr>
          <w:ilvl w:val="0"/>
          <w:numId w:val="0"/>
        </w:numPr>
        <w:kinsoku/>
        <w:wordWrap/>
        <w:overflowPunct/>
        <w:topLinePunct w:val="0"/>
        <w:bidi w:val="0"/>
        <w:adjustRightInd w:val="0"/>
        <w:spacing w:line="576" w:lineRule="exact"/>
        <w:ind w:firstLine="608"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pacing w:val="-8"/>
          <w:sz w:val="32"/>
          <w:szCs w:val="32"/>
          <w:lang w:val="en-US" w:eastAsia="zh-CN"/>
        </w:rPr>
        <w:t>1．</w:t>
      </w:r>
      <w:r>
        <w:rPr>
          <w:rFonts w:ascii="Times New Roman" w:hAnsi="Times New Roman" w:eastAsia="方正仿宋_GBK" w:cs="Times New Roman"/>
          <w:color w:val="auto"/>
          <w:spacing w:val="-8"/>
          <w:sz w:val="32"/>
          <w:szCs w:val="32"/>
        </w:rPr>
        <w:t>按照或参照渝府发</w:t>
      </w:r>
      <w:r>
        <w:rPr>
          <w:rFonts w:ascii="Times New Roman" w:hAnsi="Times New Roman" w:eastAsia="方正仿宋_GBK" w:cs="Times New Roman"/>
          <w:color w:val="auto"/>
          <w:sz w:val="32"/>
          <w:szCs w:val="32"/>
        </w:rPr>
        <w:t>〔2008〕26号文件规定，已参加被征地</w:t>
      </w:r>
      <w:r>
        <w:rPr>
          <w:rFonts w:ascii="Times New Roman" w:hAnsi="Times New Roman" w:eastAsia="方正仿宋_GBK" w:cs="Times New Roman"/>
          <w:color w:val="auto"/>
          <w:spacing w:val="-6"/>
          <w:sz w:val="32"/>
          <w:szCs w:val="32"/>
        </w:rPr>
        <w:t>农转非人员（被征地安置人员）基本养老保险的征地人员安置对</w:t>
      </w:r>
      <w:r>
        <w:rPr>
          <w:rFonts w:ascii="Times New Roman" w:hAnsi="Times New Roman" w:eastAsia="方正仿宋_GBK" w:cs="Times New Roman"/>
          <w:color w:val="auto"/>
          <w:sz w:val="32"/>
          <w:szCs w:val="32"/>
        </w:rPr>
        <w:t>象</w:t>
      </w:r>
      <w:r>
        <w:rPr>
          <w:rFonts w:hint="eastAsia" w:ascii="Times New Roman" w:hAnsi="Times New Roman" w:eastAsia="方正仿宋_GBK" w:cs="Times New Roman"/>
          <w:color w:val="auto"/>
          <w:sz w:val="32"/>
          <w:szCs w:val="32"/>
          <w:lang w:eastAsia="zh-CN"/>
        </w:rPr>
        <w:t>。</w:t>
      </w:r>
    </w:p>
    <w:p>
      <w:pPr>
        <w:pStyle w:val="11"/>
        <w:keepNext w:val="0"/>
        <w:keepLines w:val="0"/>
        <w:pageBreakBefore w:val="0"/>
        <w:numPr>
          <w:ilvl w:val="0"/>
          <w:numId w:val="0"/>
        </w:numPr>
        <w:kinsoku/>
        <w:wordWrap/>
        <w:overflowPunct/>
        <w:topLinePunct w:val="0"/>
        <w:bidi w:val="0"/>
        <w:adjustRightInd w:val="0"/>
        <w:spacing w:line="576"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在征收土地公告当月前已死</w:t>
      </w:r>
      <w:r>
        <w:rPr>
          <w:rFonts w:ascii="Times New Roman" w:hAnsi="Times New Roman" w:eastAsia="方正仿宋_GBK" w:cs="Times New Roman"/>
          <w:color w:val="auto"/>
          <w:spacing w:val="-6"/>
          <w:sz w:val="32"/>
          <w:szCs w:val="32"/>
        </w:rPr>
        <w:t>亡，或已出国定居且终止基本养老保险关系的征地人员安置对</w:t>
      </w:r>
      <w:r>
        <w:rPr>
          <w:rFonts w:ascii="Times New Roman" w:hAnsi="Times New Roman" w:eastAsia="方正仿宋_GBK" w:cs="Times New Roman"/>
          <w:color w:val="auto"/>
          <w:sz w:val="32"/>
          <w:szCs w:val="32"/>
        </w:rPr>
        <w:t>象。</w:t>
      </w:r>
    </w:p>
    <w:p>
      <w:pPr>
        <w:pStyle w:val="11"/>
        <w:keepNext w:val="0"/>
        <w:keepLines w:val="0"/>
        <w:pageBreakBefore w:val="0"/>
        <w:kinsoku/>
        <w:wordWrap/>
        <w:overflowPunct/>
        <w:topLinePunct w:val="0"/>
        <w:bidi w:val="0"/>
        <w:adjustRightInd w:val="0"/>
        <w:spacing w:line="576" w:lineRule="exact"/>
        <w:ind w:firstLine="640" w:firstLineChars="200"/>
        <w:jc w:val="both"/>
        <w:textAlignment w:val="auto"/>
        <w:rPr>
          <w:rFonts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（二）补贴年限。</w:t>
      </w:r>
      <w:r>
        <w:rPr>
          <w:rFonts w:ascii="Times New Roman" w:hAnsi="Times New Roman" w:eastAsia="方正仿宋_GBK" w:cs="Times New Roman"/>
          <w:color w:val="auto"/>
          <w:sz w:val="32"/>
          <w:szCs w:val="32"/>
        </w:rPr>
        <w:t>根据补贴对象在征收土地公告当月的年龄确定补贴年限，最低2年，最高15年。具体补贴年限如下：</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7"/>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年龄</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男性：年满50周岁及以上</w:t>
            </w:r>
          </w:p>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女性：年满40周岁及以上</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男性：年满40周岁不满50周岁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年满38周岁不满40周岁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年满36周岁不满38周岁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年满34周岁不满36周岁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年满32周岁不满34周岁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年满30周岁不满32周岁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年满28周岁不满30周岁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年满26周岁不满28周岁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年满24周岁不满26周岁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年满22周岁不满24周岁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年满20周岁不满22周岁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年满18周岁不满20周岁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年满16周岁不满18周岁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2年</w:t>
            </w:r>
          </w:p>
        </w:tc>
      </w:tr>
    </w:tbl>
    <w:p>
      <w:pPr>
        <w:pStyle w:val="11"/>
        <w:keepNext w:val="0"/>
        <w:keepLines w:val="0"/>
        <w:pageBreakBefore w:val="0"/>
        <w:kinsoku/>
        <w:wordWrap/>
        <w:overflowPunct/>
        <w:topLinePunct w:val="0"/>
        <w:bidi w:val="0"/>
        <w:spacing w:line="576" w:lineRule="exact"/>
        <w:ind w:lef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（三）补贴方式</w:t>
      </w:r>
      <w:r>
        <w:rPr>
          <w:rFonts w:hint="eastAsia" w:ascii="方正楷体_GBK" w:hAnsi="方正楷体_GBK" w:eastAsia="方正楷体_GBK" w:cs="方正楷体_GBK"/>
          <w:color w:val="auto"/>
          <w:sz w:val="32"/>
          <w:szCs w:val="32"/>
          <w:lang w:eastAsia="zh-CN"/>
        </w:rPr>
        <w:t>。</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征收土地公告当月，尚未达到基本养老保险金领取条件的补贴对象。</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（1）征收土地公告后，在我市参加企业职工基本养老保险的，缴费补贴按年发放给本人。按月领取企业职工基本养老金后，已发放补贴年限未达到应补贴年限的，一次性将剩余年限缴费补贴发放给本人。</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征收土地公告后，在我市参加城乡居民基本养老保险的，缴费补贴按年记入其个人账户。年满60周岁时，已发放补贴年限未达到应补贴年限的，一次性将剩余年限缴费补贴记入其个人账户，按规定计发基本养老金。</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（3）征收土地公告后，在市外参加基本养老保险的，可凭本人参保缴费凭证申请领取缴费补贴。</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征收土地公告当月，已达到基本养老保险金领取条件，或已超过法定退休年龄且未参加基本养老保险的补贴对象。</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（1）参加我市企业职工基本养老保险并按月领取基本养老金的，一次性将缴费补贴发放给本人。</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（2）参加我市城乡居民基本养老保险并按月领取养老金的，一次性将缴费补贴记入其个人账户，重新核定养老金待遇，从征收土地公告的次月起发放。</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（3）在市外领取基本养老金的，经本人申请，可一次性将缴费补贴发给本人。</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4）年满60周岁及以上，且征地时没有参加基本养老保险的补贴对象，纳入城乡居民基本养老保险，一次性将缴费补贴记入其个人账户，按城乡居民基本养老保险规定计发养老金待遇，从征收土地公告的次月起发放。</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（四）缴费补贴标准。</w:t>
      </w:r>
      <w:r>
        <w:rPr>
          <w:rFonts w:ascii="Times New Roman" w:hAnsi="Times New Roman" w:eastAsia="方正仿宋_GBK" w:cs="Times New Roman"/>
          <w:color w:val="auto"/>
          <w:sz w:val="32"/>
          <w:szCs w:val="32"/>
        </w:rPr>
        <w:t>缴费补贴标准为5500元/人</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年。</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（五）其他事项。</w:t>
      </w:r>
      <w:r>
        <w:rPr>
          <w:rFonts w:ascii="Times New Roman" w:hAnsi="Times New Roman" w:eastAsia="方正仿宋_GBK" w:cs="Times New Roman"/>
          <w:color w:val="auto"/>
          <w:sz w:val="32"/>
          <w:szCs w:val="32"/>
        </w:rPr>
        <w:t>具体补贴办法及其他有关规定，按照《重庆市人民政府办公厅关于做好征地人员安置对象参加基本养老保险并实施缴费补贴政策有关工作的通知》（渝府办发〔2021〕96号）</w:t>
      </w:r>
      <w:r>
        <w:rPr>
          <w:rFonts w:hint="eastAsia" w:ascii="Times New Roman" w:hAnsi="Times New Roman" w:eastAsia="方正仿宋_GBK" w:cs="Times New Roman"/>
          <w:color w:val="auto"/>
          <w:sz w:val="32"/>
          <w:szCs w:val="32"/>
        </w:rPr>
        <w:t>和</w:t>
      </w:r>
      <w:r>
        <w:rPr>
          <w:rFonts w:ascii="Times New Roman" w:hAnsi="Times New Roman" w:eastAsia="方正仿宋_GBK" w:cs="Times New Roman"/>
          <w:color w:val="auto"/>
          <w:sz w:val="32"/>
          <w:szCs w:val="32"/>
        </w:rPr>
        <w:t>《重庆市</w:t>
      </w:r>
      <w:r>
        <w:rPr>
          <w:rFonts w:hint="eastAsia" w:ascii="Times New Roman" w:hAnsi="Times New Roman" w:eastAsia="方正仿宋_GBK" w:cs="Times New Roman"/>
          <w:color w:val="auto"/>
          <w:sz w:val="32"/>
          <w:szCs w:val="32"/>
        </w:rPr>
        <w:t>人力资源和社会保障局重庆市财政局重庆市规划和自然资源局国家税务总局重庆市税务局</w:t>
      </w:r>
      <w:r>
        <w:rPr>
          <w:rFonts w:ascii="Times New Roman" w:hAnsi="Times New Roman" w:eastAsia="方正仿宋_GBK" w:cs="Times New Roman"/>
          <w:color w:val="auto"/>
          <w:sz w:val="32"/>
          <w:szCs w:val="32"/>
        </w:rPr>
        <w:t>关于征地人员安置对象参加基本养老保险并实施缴费补贴政策有关工作的</w:t>
      </w:r>
      <w:r>
        <w:rPr>
          <w:rFonts w:hint="eastAsia" w:ascii="Times New Roman" w:hAnsi="Times New Roman" w:eastAsia="方正仿宋_GBK" w:cs="Times New Roman"/>
          <w:color w:val="auto"/>
          <w:sz w:val="32"/>
          <w:szCs w:val="32"/>
        </w:rPr>
        <w:t>处理意见</w:t>
      </w:r>
      <w:r>
        <w:rPr>
          <w:rFonts w:ascii="Times New Roman" w:hAnsi="Times New Roman" w:eastAsia="方正仿宋_GBK" w:cs="Times New Roman"/>
          <w:color w:val="auto"/>
          <w:sz w:val="32"/>
          <w:szCs w:val="32"/>
        </w:rPr>
        <w:t>》（渝</w:t>
      </w:r>
      <w:r>
        <w:rPr>
          <w:rFonts w:hint="eastAsia" w:ascii="Times New Roman" w:hAnsi="Times New Roman" w:eastAsia="方正仿宋_GBK" w:cs="Times New Roman"/>
          <w:color w:val="auto"/>
          <w:sz w:val="32"/>
          <w:szCs w:val="32"/>
        </w:rPr>
        <w:t>人社</w:t>
      </w:r>
      <w:r>
        <w:rPr>
          <w:rFonts w:ascii="Times New Roman" w:hAnsi="Times New Roman" w:eastAsia="方正仿宋_GBK" w:cs="Times New Roman"/>
          <w:color w:val="auto"/>
          <w:sz w:val="32"/>
          <w:szCs w:val="32"/>
        </w:rPr>
        <w:t>发〔202</w:t>
      </w:r>
      <w:r>
        <w:rPr>
          <w:rFonts w:hint="eastAsia"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〕6号）执行。</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outlineLvl w:val="0"/>
        <w:rPr>
          <w:rFonts w:eastAsia="方正黑体_GBK"/>
          <w:bCs/>
          <w:color w:val="auto"/>
          <w:sz w:val="32"/>
          <w:szCs w:val="32"/>
        </w:rPr>
      </w:pPr>
      <w:r>
        <w:rPr>
          <w:rFonts w:eastAsia="方正黑体_GBK"/>
          <w:bCs/>
          <w:color w:val="auto"/>
          <w:sz w:val="32"/>
          <w:szCs w:val="32"/>
        </w:rPr>
        <w:t>六、其他事项</w:t>
      </w:r>
    </w:p>
    <w:p>
      <w:pPr>
        <w:keepNext w:val="0"/>
        <w:keepLines w:val="0"/>
        <w:pageBreakBefore w:val="0"/>
        <w:widowControl/>
        <w:kinsoku/>
        <w:wordWrap/>
        <w:overflowPunct/>
        <w:topLinePunct w:val="0"/>
        <w:bidi w:val="0"/>
        <w:spacing w:line="576" w:lineRule="exact"/>
        <w:ind w:left="0" w:firstLine="640" w:firstLineChars="200"/>
        <w:jc w:val="both"/>
        <w:textAlignment w:val="auto"/>
        <w:rPr>
          <w:rFonts w:eastAsia="方正仿宋_GBK"/>
          <w:color w:val="auto"/>
          <w:kern w:val="0"/>
          <w:sz w:val="32"/>
          <w:szCs w:val="32"/>
        </w:rPr>
      </w:pPr>
      <w:r>
        <w:rPr>
          <w:rFonts w:hint="eastAsia" w:ascii="方正楷体_GBK" w:hAnsi="方正楷体_GBK" w:eastAsia="方正楷体_GBK" w:cs="方正楷体_GBK"/>
          <w:color w:val="auto"/>
          <w:kern w:val="0"/>
          <w:sz w:val="32"/>
          <w:szCs w:val="32"/>
        </w:rPr>
        <w:t>（一）协议签订期限。</w:t>
      </w:r>
      <w:r>
        <w:rPr>
          <w:rFonts w:hint="eastAsia" w:eastAsia="方正仿宋_GBK"/>
          <w:color w:val="auto"/>
          <w:kern w:val="0"/>
          <w:sz w:val="32"/>
          <w:szCs w:val="32"/>
        </w:rPr>
        <w:t>本项目</w:t>
      </w:r>
      <w:r>
        <w:rPr>
          <w:rFonts w:hint="eastAsia" w:eastAsia="方正仿宋_GBK"/>
          <w:color w:val="auto"/>
          <w:kern w:val="0"/>
          <w:sz w:val="32"/>
          <w:szCs w:val="32"/>
          <w:lang w:val="en-US" w:eastAsia="zh-CN"/>
        </w:rPr>
        <w:t>协议</w:t>
      </w:r>
      <w:r>
        <w:rPr>
          <w:rFonts w:hint="eastAsia" w:eastAsia="方正仿宋_GBK"/>
          <w:color w:val="auto"/>
          <w:kern w:val="0"/>
          <w:sz w:val="32"/>
          <w:szCs w:val="32"/>
        </w:rPr>
        <w:t>签订期限为</w:t>
      </w:r>
      <w:r>
        <w:rPr>
          <w:rFonts w:hint="eastAsia" w:eastAsia="方正仿宋_GBK"/>
          <w:color w:val="auto"/>
          <w:kern w:val="0"/>
          <w:sz w:val="32"/>
          <w:szCs w:val="32"/>
          <w:lang w:val="en-US" w:eastAsia="zh-CN"/>
        </w:rPr>
        <w:t>10个工作</w:t>
      </w:r>
      <w:r>
        <w:rPr>
          <w:rFonts w:hint="eastAsia" w:eastAsia="方正仿宋_GBK"/>
          <w:color w:val="auto"/>
          <w:kern w:val="0"/>
          <w:sz w:val="32"/>
          <w:szCs w:val="32"/>
        </w:rPr>
        <w:t>日，从本府发布征地补偿安置确认方案之日起计算。</w:t>
      </w:r>
    </w:p>
    <w:p>
      <w:pPr>
        <w:keepNext w:val="0"/>
        <w:keepLines w:val="0"/>
        <w:pageBreakBefore w:val="0"/>
        <w:widowControl/>
        <w:kinsoku/>
        <w:wordWrap/>
        <w:overflowPunct/>
        <w:topLinePunct w:val="0"/>
        <w:bidi w:val="0"/>
        <w:spacing w:line="576" w:lineRule="exact"/>
        <w:ind w:left="0" w:firstLine="640" w:firstLineChars="200"/>
        <w:jc w:val="both"/>
        <w:textAlignment w:val="auto"/>
        <w:rPr>
          <w:rFonts w:eastAsia="方正仿宋_GBK"/>
          <w:color w:val="auto"/>
          <w:sz w:val="32"/>
          <w:szCs w:val="32"/>
        </w:rPr>
      </w:pPr>
      <w:r>
        <w:rPr>
          <w:rFonts w:hint="eastAsia" w:ascii="方正楷体_GBK" w:hAnsi="方正楷体_GBK" w:eastAsia="方正楷体_GBK" w:cs="方正楷体_GBK"/>
          <w:color w:val="auto"/>
          <w:kern w:val="0"/>
          <w:sz w:val="32"/>
          <w:szCs w:val="32"/>
        </w:rPr>
        <w:t>（二）交地。</w:t>
      </w:r>
      <w:r>
        <w:rPr>
          <w:rFonts w:hint="eastAsia" w:eastAsia="方正仿宋_GBK"/>
          <w:color w:val="auto"/>
          <w:sz w:val="32"/>
          <w:szCs w:val="32"/>
        </w:rPr>
        <w:t>被征收的土地，应在支付完毕补偿安置费用后1</w:t>
      </w:r>
      <w:r>
        <w:rPr>
          <w:rFonts w:hint="eastAsia" w:eastAsia="方正仿宋_GBK"/>
          <w:color w:val="auto"/>
          <w:sz w:val="32"/>
          <w:szCs w:val="32"/>
          <w:lang w:val="en-US" w:eastAsia="zh-CN"/>
        </w:rPr>
        <w:t>0</w:t>
      </w:r>
      <w:r>
        <w:rPr>
          <w:rFonts w:hint="eastAsia" w:eastAsia="方正仿宋_GBK"/>
          <w:color w:val="auto"/>
          <w:sz w:val="32"/>
          <w:szCs w:val="32"/>
        </w:rPr>
        <w:t>日内交付给重庆市綦江区土地房屋拆迁征收中心。逾期未将集体或个人建（构）筑物按规定和约定时间搬迁拆除的，本府将依法申请人民法院强制执行。</w:t>
      </w:r>
    </w:p>
    <w:p>
      <w:pPr>
        <w:keepNext w:val="0"/>
        <w:keepLines w:val="0"/>
        <w:pageBreakBefore w:val="0"/>
        <w:widowControl/>
        <w:kinsoku/>
        <w:wordWrap/>
        <w:overflowPunct/>
        <w:topLinePunct w:val="0"/>
        <w:bidi w:val="0"/>
        <w:spacing w:line="576" w:lineRule="exact"/>
        <w:ind w:left="0" w:firstLine="640" w:firstLineChars="200"/>
        <w:jc w:val="both"/>
        <w:textAlignment w:val="auto"/>
        <w:outlineLvl w:val="0"/>
        <w:rPr>
          <w:rFonts w:eastAsia="方正仿宋_GBK"/>
          <w:color w:val="auto"/>
          <w:sz w:val="32"/>
          <w:szCs w:val="32"/>
        </w:rPr>
      </w:pPr>
      <w:r>
        <w:rPr>
          <w:rFonts w:hint="eastAsia" w:ascii="方正楷体_GBK" w:hAnsi="方正楷体_GBK" w:eastAsia="方正楷体_GBK" w:cs="方正楷体_GBK"/>
          <w:color w:val="auto"/>
          <w:kern w:val="0"/>
          <w:sz w:val="32"/>
          <w:szCs w:val="32"/>
        </w:rPr>
        <w:t>（三）监督检查。</w:t>
      </w:r>
      <w:r>
        <w:rPr>
          <w:rFonts w:hint="eastAsia" w:eastAsia="方正仿宋_GBK"/>
          <w:color w:val="auto"/>
          <w:sz w:val="32"/>
          <w:szCs w:val="32"/>
        </w:rPr>
        <w:t>在实施征地</w:t>
      </w:r>
      <w:r>
        <w:rPr>
          <w:rFonts w:hint="eastAsia" w:eastAsia="方正仿宋_GBK"/>
          <w:color w:val="auto"/>
          <w:sz w:val="32"/>
          <w:szCs w:val="32"/>
          <w:lang w:val="en-US" w:eastAsia="zh-CN"/>
        </w:rPr>
        <w:t>过</w:t>
      </w:r>
      <w:r>
        <w:rPr>
          <w:rFonts w:hint="eastAsia" w:eastAsia="方正仿宋_GBK"/>
          <w:color w:val="auto"/>
          <w:sz w:val="32"/>
          <w:szCs w:val="32"/>
        </w:rPr>
        <w:t>程中，被征地群众对有关人员徇私舞弊、弄虚作假、违反征地政策规定可进行举报，经调查核实，情况属实并造成国家重大经济损失的，依法追究其责任，构成犯罪的，依法追究其刑事责任。</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hint="eastAsia" w:ascii="方正楷体_GBK" w:hAnsi="方正楷体_GBK" w:eastAsia="方正楷体_GBK" w:cs="方正楷体_GBK"/>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bidi="ar-SA"/>
        </w:rPr>
        <w:t>（四）本方案未尽事宜，按照市、区有关规定执行。</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hint="eastAsia" w:ascii="Times New Roman" w:hAnsi="Times New Roman" w:eastAsia="方正仿宋_GBK" w:cs="Times New Roman"/>
          <w:color w:val="auto"/>
          <w:sz w:val="32"/>
          <w:szCs w:val="32"/>
        </w:rPr>
      </w:pP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附件：</w:t>
      </w:r>
      <w:r>
        <w:rPr>
          <w:rFonts w:ascii="Times New Roman" w:hAnsi="Times New Roman" w:eastAsia="方正仿宋_GBK" w:cs="Times New Roman"/>
          <w:color w:val="auto"/>
          <w:sz w:val="32"/>
          <w:szCs w:val="32"/>
        </w:rPr>
        <w:t>1</w:t>
      </w:r>
      <w:r>
        <w:rPr>
          <w:rFonts w:hint="eastAsia" w:eastAsia="方正仿宋_GBK"/>
          <w:color w:val="auto"/>
          <w:sz w:val="32"/>
          <w:szCs w:val="32"/>
          <w:lang w:val="en-US" w:eastAsia="zh-CN"/>
        </w:rPr>
        <w:t>．</w:t>
      </w:r>
      <w:r>
        <w:rPr>
          <w:rFonts w:hint="eastAsia" w:ascii="Times New Roman" w:hAnsi="Times New Roman" w:eastAsia="方正仿宋_GBK" w:cs="Times New Roman"/>
          <w:bCs/>
          <w:color w:val="auto"/>
          <w:sz w:val="32"/>
          <w:szCs w:val="32"/>
        </w:rPr>
        <w:t>土地分类面积</w:t>
      </w:r>
      <w:r>
        <w:rPr>
          <w:rFonts w:hint="eastAsia" w:ascii="Times New Roman" w:hAnsi="Times New Roman" w:eastAsia="方正仿宋_GBK" w:cs="Times New Roman"/>
          <w:bCs/>
          <w:color w:val="auto"/>
          <w:sz w:val="32"/>
          <w:szCs w:val="32"/>
          <w:lang w:val="en-US" w:eastAsia="zh-CN"/>
        </w:rPr>
        <w:t>和征地安置人员</w:t>
      </w:r>
      <w:r>
        <w:rPr>
          <w:rFonts w:hint="eastAsia" w:ascii="Times New Roman" w:hAnsi="Times New Roman" w:eastAsia="方正仿宋_GBK" w:cs="Times New Roman"/>
          <w:bCs/>
          <w:color w:val="auto"/>
          <w:sz w:val="32"/>
          <w:szCs w:val="32"/>
        </w:rPr>
        <w:t>情况表</w:t>
      </w:r>
    </w:p>
    <w:p>
      <w:pPr>
        <w:pStyle w:val="11"/>
        <w:keepNext w:val="0"/>
        <w:keepLines w:val="0"/>
        <w:pageBreakBefore w:val="0"/>
        <w:kinsoku/>
        <w:wordWrap/>
        <w:overflowPunct/>
        <w:topLinePunct w:val="0"/>
        <w:bidi w:val="0"/>
        <w:spacing w:line="576" w:lineRule="exact"/>
        <w:ind w:left="0" w:firstLine="1600" w:firstLineChars="500"/>
        <w:jc w:val="both"/>
        <w:textAlignment w:val="auto"/>
        <w:rPr>
          <w:rFonts w:eastAsia="方正黑体_GBK"/>
          <w:color w:val="auto"/>
          <w:szCs w:val="32"/>
        </w:rPr>
      </w:pPr>
      <w:r>
        <w:rPr>
          <w:rFonts w:hint="eastAsia" w:ascii="Times New Roman" w:hAnsi="Times New Roman" w:eastAsia="方正仿宋_GBK" w:cs="Times New Roman"/>
          <w:bCs/>
          <w:color w:val="auto"/>
          <w:sz w:val="32"/>
          <w:szCs w:val="32"/>
        </w:rPr>
        <w:t>2</w:t>
      </w:r>
      <w:r>
        <w:rPr>
          <w:rFonts w:hint="eastAsia" w:eastAsia="方正仿宋_GBK"/>
          <w:color w:val="auto"/>
          <w:sz w:val="32"/>
          <w:szCs w:val="32"/>
          <w:lang w:val="en-US" w:eastAsia="zh-CN"/>
        </w:rPr>
        <w:t>．</w:t>
      </w:r>
      <w:r>
        <w:rPr>
          <w:rFonts w:hint="eastAsia" w:eastAsia="方正仿宋_GBK"/>
          <w:color w:val="auto"/>
          <w:sz w:val="32"/>
          <w:szCs w:val="32"/>
        </w:rPr>
        <w:t>土地补偿费</w:t>
      </w:r>
      <w:r>
        <w:rPr>
          <w:rFonts w:hint="eastAsia" w:eastAsia="方正仿宋_GBK"/>
          <w:color w:val="auto"/>
          <w:sz w:val="32"/>
          <w:szCs w:val="32"/>
          <w:lang w:val="en-US" w:eastAsia="zh-CN"/>
        </w:rPr>
        <w:t>和</w:t>
      </w:r>
      <w:r>
        <w:rPr>
          <w:rFonts w:hint="eastAsia" w:eastAsia="方正仿宋_GBK"/>
          <w:color w:val="auto"/>
          <w:sz w:val="32"/>
          <w:szCs w:val="32"/>
        </w:rPr>
        <w:t>安置补助费明细表</w:t>
      </w:r>
    </w:p>
    <w:p>
      <w:pPr>
        <w:pStyle w:val="11"/>
        <w:rPr>
          <w:rFonts w:hint="eastAsia" w:ascii="方正仿宋_GBK" w:hAnsi="方正仿宋_GBK" w:eastAsia="方正仿宋_GBK" w:cs="方正仿宋_GBK"/>
          <w:color w:val="auto"/>
          <w:sz w:val="32"/>
          <w:szCs w:val="32"/>
          <w:lang w:val="en-US" w:eastAsia="zh-CN"/>
        </w:rPr>
      </w:pPr>
      <w:r>
        <w:rPr>
          <w:rFonts w:hint="eastAsia" w:eastAsia="方正黑体_GBK"/>
          <w:color w:val="auto"/>
          <w:szCs w:val="32"/>
          <w:lang w:val="en-US" w:eastAsia="zh-CN"/>
        </w:rPr>
        <w:t xml:space="preserve">        </w:t>
      </w:r>
      <w:r>
        <w:rPr>
          <w:rFonts w:hint="eastAsia" w:eastAsia="方正黑体_GBK"/>
          <w:color w:val="auto"/>
          <w:sz w:val="32"/>
          <w:szCs w:val="32"/>
          <w:lang w:val="en-US" w:eastAsia="zh-CN"/>
        </w:rPr>
        <w:t xml:space="preserve">   </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．房屋附属物及附属设施补偿标准</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p>
    <w:p>
      <w:pPr>
        <w:tabs>
          <w:tab w:val="left" w:pos="2511"/>
        </w:tabs>
        <w:jc w:val="left"/>
        <w:rPr>
          <w:rFonts w:hint="eastAsia"/>
          <w:lang w:val="en-US" w:eastAsia="zh-CN"/>
        </w:rPr>
        <w:sectPr>
          <w:footerReference r:id="rId3" w:type="default"/>
          <w:pgSz w:w="11906" w:h="16838"/>
          <w:pgMar w:top="2098" w:right="1474" w:bottom="1985" w:left="1588" w:header="851" w:footer="992" w:gutter="0"/>
          <w:pgNumType w:fmt="decimal"/>
          <w:cols w:space="720" w:num="1"/>
          <w:docGrid w:type="lines" w:linePitch="312" w:charSpace="0"/>
        </w:sectPr>
      </w:pPr>
    </w:p>
    <w:p>
      <w:pPr>
        <w:overflowPunct w:val="0"/>
        <w:snapToGrid w:val="0"/>
        <w:jc w:val="left"/>
        <w:rPr>
          <w:rFonts w:hint="default" w:ascii="Times New Roman" w:hAnsi="Times New Roman" w:eastAsia="方正黑体_GBK" w:cs="Times New Roman"/>
          <w:color w:val="auto"/>
          <w:sz w:val="32"/>
          <w:szCs w:val="32"/>
          <w:lang w:val="en-US" w:eastAsia="zh-CN"/>
        </w:rPr>
      </w:pPr>
    </w:p>
    <w:p>
      <w:pPr>
        <w:overflowPunct w:val="0"/>
        <w:snapToGrid w:val="0"/>
        <w:jc w:val="center"/>
        <w:rPr>
          <w:rFonts w:hint="eastAsia" w:eastAsia="方正小标宋_GBK" w:cs="方正小标宋_GBK"/>
          <w:color w:val="auto"/>
          <w:sz w:val="44"/>
          <w:szCs w:val="44"/>
        </w:rPr>
      </w:pPr>
    </w:p>
    <w:p>
      <w:pPr>
        <w:overflowPunct w:val="0"/>
        <w:snapToGrid w:val="0"/>
        <w:jc w:val="center"/>
        <w:rPr>
          <w:color w:val="auto"/>
          <w:sz w:val="36"/>
          <w:szCs w:val="36"/>
        </w:rPr>
      </w:pPr>
      <w:r>
        <w:rPr>
          <w:rFonts w:hint="eastAsia" w:eastAsia="方正小标宋_GBK" w:cs="方正小标宋_GBK"/>
          <w:color w:val="auto"/>
          <w:sz w:val="36"/>
          <w:szCs w:val="36"/>
        </w:rPr>
        <w:t>土地分类面积</w:t>
      </w:r>
      <w:r>
        <w:rPr>
          <w:rFonts w:hint="eastAsia" w:eastAsia="方正小标宋_GBK" w:cs="方正小标宋_GBK"/>
          <w:color w:val="auto"/>
          <w:sz w:val="36"/>
          <w:szCs w:val="36"/>
          <w:lang w:val="en-US" w:eastAsia="zh-CN"/>
        </w:rPr>
        <w:t>和征地安置人员</w:t>
      </w:r>
      <w:r>
        <w:rPr>
          <w:rFonts w:hint="eastAsia" w:eastAsia="方正小标宋_GBK" w:cs="方正小标宋_GBK"/>
          <w:color w:val="auto"/>
          <w:sz w:val="36"/>
          <w:szCs w:val="36"/>
        </w:rPr>
        <w:t>情况表</w:t>
      </w:r>
    </w:p>
    <w:tbl>
      <w:tblPr>
        <w:tblStyle w:val="8"/>
        <w:tblpPr w:leftFromText="180" w:rightFromText="180" w:vertAnchor="text" w:horzAnchor="page" w:tblpX="1881" w:tblpY="653"/>
        <w:tblOverlap w:val="never"/>
        <w:tblW w:w="55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771"/>
        <w:gridCol w:w="1369"/>
        <w:gridCol w:w="1267"/>
        <w:gridCol w:w="1167"/>
        <w:gridCol w:w="1297"/>
        <w:gridCol w:w="1345"/>
        <w:gridCol w:w="1615"/>
        <w:gridCol w:w="1664"/>
        <w:gridCol w:w="1403"/>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09" w:type="pct"/>
            <w:gridSpan w:val="3"/>
            <w:vMerge w:val="restar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权属单位</w:t>
            </w:r>
          </w:p>
        </w:tc>
        <w:tc>
          <w:tcPr>
            <w:tcW w:w="442" w:type="pct"/>
            <w:vMerge w:val="restar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本次征地前总面积</w:t>
            </w:r>
          </w:p>
        </w:tc>
        <w:tc>
          <w:tcPr>
            <w:tcW w:w="407" w:type="pct"/>
            <w:vMerge w:val="restar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本次征地前耕地面积</w:t>
            </w:r>
          </w:p>
        </w:tc>
        <w:tc>
          <w:tcPr>
            <w:tcW w:w="2555" w:type="pct"/>
            <w:gridSpan w:val="5"/>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本次征地分类面积</w:t>
            </w:r>
          </w:p>
        </w:tc>
        <w:tc>
          <w:tcPr>
            <w:tcW w:w="485" w:type="pct"/>
            <w:vMerge w:val="restar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lang w:val="en-US" w:eastAsia="zh-CN"/>
              </w:rPr>
            </w:pPr>
            <w:r>
              <w:rPr>
                <w:rFonts w:hint="eastAsia" w:ascii="方正黑体_GBK" w:hAnsi="方正黑体_GBK" w:eastAsia="方正黑体_GBK" w:cs="方正黑体_GBK"/>
                <w:b w:val="0"/>
                <w:bCs w:val="0"/>
                <w:color w:val="auto"/>
                <w:lang w:val="en-US" w:eastAsia="zh-CN"/>
              </w:rPr>
              <w:t>人员安置对象人数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09" w:type="pct"/>
            <w:gridSpan w:val="3"/>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c>
          <w:tcPr>
            <w:tcW w:w="442"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c>
          <w:tcPr>
            <w:tcW w:w="407"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c>
          <w:tcPr>
            <w:tcW w:w="452" w:type="pct"/>
            <w:vMerge w:val="restar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总面积</w:t>
            </w:r>
          </w:p>
        </w:tc>
        <w:tc>
          <w:tcPr>
            <w:tcW w:w="2103" w:type="pct"/>
            <w:gridSpan w:val="4"/>
            <w:tcBorders>
              <w:bottom w:val="single" w:color="auto" w:sz="4" w:space="0"/>
            </w:tcBorders>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其中</w:t>
            </w:r>
          </w:p>
        </w:tc>
        <w:tc>
          <w:tcPr>
            <w:tcW w:w="485"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09" w:type="pct"/>
            <w:gridSpan w:val="3"/>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c>
          <w:tcPr>
            <w:tcW w:w="442"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c>
          <w:tcPr>
            <w:tcW w:w="407"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c>
          <w:tcPr>
            <w:tcW w:w="452"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c>
          <w:tcPr>
            <w:tcW w:w="1032" w:type="pct"/>
            <w:gridSpan w:val="2"/>
            <w:tcBorders>
              <w:bottom w:val="nil"/>
            </w:tcBorders>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农用地</w:t>
            </w:r>
          </w:p>
        </w:tc>
        <w:tc>
          <w:tcPr>
            <w:tcW w:w="580" w:type="pct"/>
            <w:vMerge w:val="restar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建设</w:t>
            </w:r>
          </w:p>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用地</w:t>
            </w:r>
          </w:p>
        </w:tc>
        <w:tc>
          <w:tcPr>
            <w:tcW w:w="489" w:type="pct"/>
            <w:vMerge w:val="restar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未利</w:t>
            </w:r>
          </w:p>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用地</w:t>
            </w:r>
          </w:p>
        </w:tc>
        <w:tc>
          <w:tcPr>
            <w:tcW w:w="485"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9" w:type="pct"/>
            <w:gridSpan w:val="3"/>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sz w:val="21"/>
                <w:szCs w:val="21"/>
              </w:rPr>
            </w:pPr>
          </w:p>
        </w:tc>
        <w:tc>
          <w:tcPr>
            <w:tcW w:w="442"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sz w:val="21"/>
                <w:szCs w:val="21"/>
              </w:rPr>
            </w:pPr>
          </w:p>
        </w:tc>
        <w:tc>
          <w:tcPr>
            <w:tcW w:w="407"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sz w:val="21"/>
                <w:szCs w:val="21"/>
              </w:rPr>
            </w:pPr>
          </w:p>
        </w:tc>
        <w:tc>
          <w:tcPr>
            <w:tcW w:w="452"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sz w:val="21"/>
                <w:szCs w:val="21"/>
              </w:rPr>
            </w:pPr>
          </w:p>
        </w:tc>
        <w:tc>
          <w:tcPr>
            <w:tcW w:w="469" w:type="pct"/>
            <w:tcBorders>
              <w:top w:val="nil"/>
            </w:tcBorders>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sz w:val="21"/>
                <w:szCs w:val="21"/>
              </w:rPr>
            </w:pPr>
          </w:p>
        </w:tc>
        <w:tc>
          <w:tcPr>
            <w:tcW w:w="563" w:type="pc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sz w:val="21"/>
                <w:szCs w:val="21"/>
              </w:rPr>
            </w:pPr>
            <w:r>
              <w:rPr>
                <w:rFonts w:hint="eastAsia" w:ascii="方正黑体_GBK" w:hAnsi="方正黑体_GBK" w:eastAsia="方正黑体_GBK" w:cs="方正黑体_GBK"/>
                <w:b w:val="0"/>
                <w:bCs w:val="0"/>
                <w:color w:val="auto"/>
              </w:rPr>
              <w:t>其中：耕地</w:t>
            </w:r>
          </w:p>
        </w:tc>
        <w:tc>
          <w:tcPr>
            <w:tcW w:w="580" w:type="pct"/>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489" w:type="pct"/>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485" w:type="pct"/>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62" w:type="pct"/>
            <w:vMerge w:val="restart"/>
            <w:tcBorders>
              <w:left w:val="single" w:color="auto" w:sz="4" w:space="0"/>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360" w:lineRule="exact"/>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永城镇</w:t>
            </w:r>
          </w:p>
        </w:tc>
        <w:tc>
          <w:tcPr>
            <w:tcW w:w="269" w:type="pct"/>
            <w:vMerge w:val="restart"/>
            <w:tcBorders>
              <w:left w:val="single" w:color="auto" w:sz="4" w:space="0"/>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360" w:lineRule="exact"/>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黄沙村</w:t>
            </w:r>
          </w:p>
        </w:tc>
        <w:tc>
          <w:tcPr>
            <w:tcW w:w="477" w:type="pct"/>
            <w:tcBorders>
              <w:top w:val="single" w:color="auto" w:sz="4" w:space="0"/>
              <w:left w:val="single" w:color="auto" w:sz="4" w:space="0"/>
              <w:bottom w:val="single" w:color="auto" w:sz="4" w:space="0"/>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36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沙地组</w:t>
            </w:r>
          </w:p>
        </w:tc>
        <w:tc>
          <w:tcPr>
            <w:tcW w:w="442"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118.6109</w:t>
            </w:r>
          </w:p>
        </w:tc>
        <w:tc>
          <w:tcPr>
            <w:tcW w:w="407"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9.9911</w:t>
            </w:r>
          </w:p>
        </w:tc>
        <w:tc>
          <w:tcPr>
            <w:tcW w:w="452"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24"/>
                <w:szCs w:val="24"/>
                <w:lang w:val="en-US" w:eastAsia="zh-CN"/>
              </w:rPr>
              <w:t>0.0139</w:t>
            </w:r>
          </w:p>
        </w:tc>
        <w:tc>
          <w:tcPr>
            <w:tcW w:w="469"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0.0139</w:t>
            </w:r>
          </w:p>
        </w:tc>
        <w:tc>
          <w:tcPr>
            <w:tcW w:w="563"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0.0098</w:t>
            </w:r>
          </w:p>
        </w:tc>
        <w:tc>
          <w:tcPr>
            <w:tcW w:w="580"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w:t>
            </w:r>
          </w:p>
        </w:tc>
        <w:tc>
          <w:tcPr>
            <w:tcW w:w="489"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w:t>
            </w:r>
          </w:p>
        </w:tc>
        <w:tc>
          <w:tcPr>
            <w:tcW w:w="485"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2" w:type="pct"/>
            <w:vMerge w:val="continue"/>
            <w:tcBorders>
              <w:left w:val="single" w:color="auto" w:sz="4" w:space="0"/>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360" w:lineRule="exact"/>
              <w:jc w:val="center"/>
              <w:textAlignment w:val="auto"/>
              <w:rPr>
                <w:rFonts w:hint="eastAsia" w:ascii="Times New Roman" w:hAnsi="Times New Roman" w:eastAsia="方正仿宋_GBK" w:cs="Times New Roman"/>
                <w:color w:val="auto"/>
                <w:lang w:val="en-US" w:eastAsia="zh-CN"/>
              </w:rPr>
            </w:pPr>
          </w:p>
        </w:tc>
        <w:tc>
          <w:tcPr>
            <w:tcW w:w="269" w:type="pct"/>
            <w:vMerge w:val="continue"/>
            <w:tcBorders>
              <w:left w:val="single" w:color="auto" w:sz="4" w:space="0"/>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360" w:lineRule="exact"/>
              <w:jc w:val="center"/>
              <w:textAlignment w:val="auto"/>
              <w:rPr>
                <w:rFonts w:hint="default" w:ascii="Times New Roman" w:hAnsi="Times New Roman" w:eastAsia="方正仿宋_GBK" w:cs="Times New Roman"/>
                <w:color w:val="auto"/>
                <w:lang w:val="en-US" w:eastAsia="zh-CN"/>
              </w:rPr>
            </w:pPr>
          </w:p>
        </w:tc>
        <w:tc>
          <w:tcPr>
            <w:tcW w:w="477" w:type="pct"/>
            <w:tcBorders>
              <w:top w:val="single" w:color="auto" w:sz="4" w:space="0"/>
              <w:left w:val="single" w:color="auto" w:sz="4" w:space="0"/>
              <w:bottom w:val="single" w:color="auto" w:sz="4" w:space="0"/>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36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水井坎组</w:t>
            </w:r>
          </w:p>
        </w:tc>
        <w:tc>
          <w:tcPr>
            <w:tcW w:w="442"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132.2165</w:t>
            </w:r>
          </w:p>
        </w:tc>
        <w:tc>
          <w:tcPr>
            <w:tcW w:w="407"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21.3222</w:t>
            </w:r>
          </w:p>
        </w:tc>
        <w:tc>
          <w:tcPr>
            <w:tcW w:w="452"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1.3605</w:t>
            </w:r>
          </w:p>
        </w:tc>
        <w:tc>
          <w:tcPr>
            <w:tcW w:w="469"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1.3141</w:t>
            </w:r>
          </w:p>
        </w:tc>
        <w:tc>
          <w:tcPr>
            <w:tcW w:w="563"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1.0290</w:t>
            </w:r>
          </w:p>
        </w:tc>
        <w:tc>
          <w:tcPr>
            <w:tcW w:w="580"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0.0464</w:t>
            </w:r>
          </w:p>
        </w:tc>
        <w:tc>
          <w:tcPr>
            <w:tcW w:w="489"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w:t>
            </w:r>
          </w:p>
        </w:tc>
        <w:tc>
          <w:tcPr>
            <w:tcW w:w="485" w:type="pct"/>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109" w:type="pct"/>
            <w:gridSpan w:val="3"/>
            <w:tcBorders>
              <w:top w:val="single" w:color="auto" w:sz="4" w:space="0"/>
              <w:left w:val="single" w:color="auto" w:sz="4" w:space="0"/>
              <w:bottom w:val="single" w:color="auto" w:sz="4" w:space="0"/>
            </w:tcBorders>
            <w:vAlign w:val="center"/>
          </w:tcPr>
          <w:p>
            <w:pPr>
              <w:pStyle w:val="11"/>
              <w:widowControl w:val="0"/>
              <w:overflowPunct w:val="0"/>
              <w:spacing w:line="240" w:lineRule="exact"/>
              <w:jc w:val="center"/>
              <w:rPr>
                <w:rFonts w:hint="default" w:ascii="Times New Roman" w:hAnsi="Times New Roman" w:eastAsia="方正仿宋_GBK" w:cs="Times New Roman"/>
                <w:b/>
                <w:bCs/>
                <w:color w:val="auto"/>
                <w:highlight w:val="yellow"/>
              </w:rPr>
            </w:pPr>
            <w:r>
              <w:rPr>
                <w:rFonts w:hint="default" w:ascii="Times New Roman" w:hAnsi="Times New Roman" w:eastAsia="方正仿宋_GBK" w:cs="Times New Roman"/>
                <w:b w:val="0"/>
                <w:bCs w:val="0"/>
                <w:color w:val="auto"/>
                <w:lang w:val="en-US" w:eastAsia="zh-CN"/>
              </w:rPr>
              <w:t>合计</w:t>
            </w:r>
          </w:p>
        </w:tc>
        <w:tc>
          <w:tcPr>
            <w:tcW w:w="442" w:type="pct"/>
            <w:vAlign w:val="center"/>
          </w:tcPr>
          <w:p>
            <w:pPr>
              <w:pStyle w:val="11"/>
              <w:widowControl w:val="0"/>
              <w:overflowPunct w:val="0"/>
              <w:spacing w:line="240" w:lineRule="exact"/>
              <w:jc w:val="center"/>
              <w:rPr>
                <w:rFonts w:hint="default" w:ascii="Times New Roman" w:hAnsi="Times New Roman" w:eastAsia="方正仿宋_GBK" w:cs="Times New Roman"/>
                <w:b w:val="0"/>
                <w:bCs w:val="0"/>
                <w:color w:val="auto"/>
                <w:highlight w:val="none"/>
                <w:lang w:val="en-US" w:eastAsia="zh-CN"/>
              </w:rPr>
            </w:pPr>
            <w:r>
              <w:rPr>
                <w:rFonts w:hint="default" w:ascii="Times New Roman" w:hAnsi="Times New Roman" w:eastAsia="方正仿宋_GBK" w:cs="Times New Roman"/>
                <w:b w:val="0"/>
                <w:bCs w:val="0"/>
                <w:color w:val="auto"/>
                <w:highlight w:val="none"/>
                <w:lang w:val="en-US" w:eastAsia="zh-CN"/>
              </w:rPr>
              <w:t>250.8274</w:t>
            </w:r>
          </w:p>
        </w:tc>
        <w:tc>
          <w:tcPr>
            <w:tcW w:w="407" w:type="pct"/>
            <w:vAlign w:val="center"/>
          </w:tcPr>
          <w:p>
            <w:pPr>
              <w:pStyle w:val="11"/>
              <w:widowControl w:val="0"/>
              <w:overflowPunct w:val="0"/>
              <w:spacing w:line="240" w:lineRule="exact"/>
              <w:jc w:val="center"/>
              <w:rPr>
                <w:rFonts w:hint="default" w:ascii="Times New Roman" w:hAnsi="Times New Roman" w:eastAsia="方正仿宋_GBK" w:cs="Times New Roman"/>
                <w:b w:val="0"/>
                <w:bCs w:val="0"/>
                <w:color w:val="auto"/>
                <w:highlight w:val="none"/>
                <w:lang w:val="en-US" w:eastAsia="zh-CN"/>
              </w:rPr>
            </w:pPr>
            <w:r>
              <w:rPr>
                <w:rFonts w:hint="default" w:ascii="Times New Roman" w:hAnsi="Times New Roman" w:eastAsia="方正仿宋_GBK" w:cs="Times New Roman"/>
                <w:b w:val="0"/>
                <w:bCs w:val="0"/>
                <w:color w:val="auto"/>
                <w:highlight w:val="none"/>
                <w:lang w:val="en-US" w:eastAsia="zh-CN"/>
              </w:rPr>
              <w:t>31.3133</w:t>
            </w:r>
          </w:p>
        </w:tc>
        <w:tc>
          <w:tcPr>
            <w:tcW w:w="452" w:type="pct"/>
            <w:vAlign w:val="center"/>
          </w:tcPr>
          <w:p>
            <w:pPr>
              <w:pStyle w:val="2"/>
              <w:ind w:left="0" w:leftChars="0" w:firstLine="0" w:firstLineChars="0"/>
              <w:jc w:val="center"/>
              <w:rPr>
                <w:rFonts w:hint="default" w:ascii="Times New Roman" w:hAnsi="Times New Roman" w:eastAsia="方正仿宋_GBK" w:cs="Times New Roman"/>
                <w:b w:val="0"/>
                <w:bCs w:val="0"/>
                <w:color w:val="auto"/>
                <w:kern w:val="0"/>
                <w:sz w:val="24"/>
                <w:szCs w:val="24"/>
                <w:highlight w:val="none"/>
                <w:lang w:val="en-US" w:eastAsia="zh-CN" w:bidi="ar-SA"/>
              </w:rPr>
            </w:pPr>
            <w:r>
              <w:rPr>
                <w:rFonts w:hint="default" w:ascii="Times New Roman" w:hAnsi="Times New Roman" w:eastAsia="方正仿宋_GBK" w:cs="Times New Roman"/>
                <w:b w:val="0"/>
                <w:bCs w:val="0"/>
                <w:color w:val="auto"/>
                <w:kern w:val="0"/>
                <w:sz w:val="24"/>
                <w:szCs w:val="24"/>
                <w:highlight w:val="none"/>
                <w:lang w:val="en-US" w:eastAsia="zh-CN" w:bidi="ar-SA"/>
              </w:rPr>
              <w:t>1.3744</w:t>
            </w:r>
          </w:p>
        </w:tc>
        <w:tc>
          <w:tcPr>
            <w:tcW w:w="469" w:type="pct"/>
            <w:vAlign w:val="center"/>
          </w:tcPr>
          <w:p>
            <w:pPr>
              <w:pStyle w:val="2"/>
              <w:ind w:left="0" w:leftChars="0" w:firstLine="0" w:firstLineChars="0"/>
              <w:jc w:val="center"/>
              <w:rPr>
                <w:rFonts w:hint="default" w:ascii="Times New Roman" w:hAnsi="Times New Roman" w:eastAsia="方正仿宋_GBK" w:cs="Times New Roman"/>
                <w:b w:val="0"/>
                <w:bCs w:val="0"/>
                <w:i w:val="0"/>
                <w:iCs w:val="0"/>
                <w:color w:val="auto"/>
                <w:kern w:val="2"/>
                <w:sz w:val="24"/>
                <w:szCs w:val="24"/>
                <w:u w:val="none"/>
                <w:lang w:val="en-US" w:eastAsia="zh-CN" w:bidi="ar-SA"/>
              </w:rPr>
            </w:pPr>
            <w:r>
              <w:rPr>
                <w:rFonts w:hint="default" w:ascii="Times New Roman" w:hAnsi="Times New Roman" w:eastAsia="方正仿宋_GBK" w:cs="Times New Roman"/>
                <w:b w:val="0"/>
                <w:bCs w:val="0"/>
                <w:i w:val="0"/>
                <w:iCs w:val="0"/>
                <w:color w:val="auto"/>
                <w:kern w:val="2"/>
                <w:sz w:val="24"/>
                <w:szCs w:val="24"/>
                <w:u w:val="none"/>
                <w:lang w:val="en-US" w:eastAsia="zh-CN" w:bidi="ar-SA"/>
              </w:rPr>
              <w:t>1.3280</w:t>
            </w:r>
          </w:p>
        </w:tc>
        <w:tc>
          <w:tcPr>
            <w:tcW w:w="563" w:type="pct"/>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2"/>
                <w:sz w:val="24"/>
                <w:szCs w:val="24"/>
                <w:u w:val="none"/>
                <w:lang w:val="en-US" w:eastAsia="zh-CN" w:bidi="ar-SA"/>
              </w:rPr>
            </w:pPr>
            <w:r>
              <w:rPr>
                <w:rFonts w:hint="default" w:ascii="Times New Roman" w:hAnsi="Times New Roman" w:eastAsia="方正仿宋_GBK" w:cs="Times New Roman"/>
                <w:b w:val="0"/>
                <w:bCs w:val="0"/>
                <w:i w:val="0"/>
                <w:iCs w:val="0"/>
                <w:color w:val="auto"/>
                <w:kern w:val="2"/>
                <w:sz w:val="24"/>
                <w:szCs w:val="24"/>
                <w:u w:val="none"/>
                <w:lang w:val="en-US" w:eastAsia="zh-CN" w:bidi="ar-SA"/>
              </w:rPr>
              <w:t>1.0388</w:t>
            </w:r>
          </w:p>
        </w:tc>
        <w:tc>
          <w:tcPr>
            <w:tcW w:w="580" w:type="pct"/>
            <w:vAlign w:val="center"/>
          </w:tcPr>
          <w:p>
            <w:pPr>
              <w:widowControl/>
              <w:jc w:val="center"/>
              <w:textAlignment w:val="center"/>
              <w:rPr>
                <w:rFonts w:hint="default" w:ascii="Times New Roman" w:hAnsi="Times New Roman" w:eastAsia="方正仿宋_GBK" w:cs="Times New Roman"/>
                <w:b w:val="0"/>
                <w:bCs w:val="0"/>
                <w:i w:val="0"/>
                <w:iCs w:val="0"/>
                <w:color w:val="auto"/>
                <w:kern w:val="2"/>
                <w:sz w:val="24"/>
                <w:szCs w:val="24"/>
                <w:u w:val="none"/>
                <w:lang w:val="en-US" w:eastAsia="zh-CN" w:bidi="ar-SA"/>
              </w:rPr>
            </w:pPr>
            <w:r>
              <w:rPr>
                <w:rFonts w:hint="default" w:ascii="Times New Roman" w:hAnsi="Times New Roman" w:eastAsia="方正仿宋_GBK" w:cs="Times New Roman"/>
                <w:b w:val="0"/>
                <w:bCs w:val="0"/>
                <w:i w:val="0"/>
                <w:iCs w:val="0"/>
                <w:color w:val="auto"/>
                <w:kern w:val="2"/>
                <w:sz w:val="24"/>
                <w:szCs w:val="24"/>
                <w:u w:val="none"/>
                <w:lang w:val="en-US" w:eastAsia="zh-CN" w:bidi="ar-SA"/>
              </w:rPr>
              <w:t>0.0464</w:t>
            </w:r>
          </w:p>
        </w:tc>
        <w:tc>
          <w:tcPr>
            <w:tcW w:w="489" w:type="pct"/>
            <w:vAlign w:val="center"/>
          </w:tcPr>
          <w:p>
            <w:pPr>
              <w:pStyle w:val="11"/>
              <w:widowControl w:val="0"/>
              <w:overflowPunct w:val="0"/>
              <w:spacing w:line="240" w:lineRule="exact"/>
              <w:jc w:val="center"/>
              <w:rPr>
                <w:rFonts w:hint="default" w:ascii="Times New Roman" w:hAnsi="Times New Roman" w:eastAsia="方正仿宋_GBK" w:cs="Times New Roman"/>
                <w:b w:val="0"/>
                <w:bCs w:val="0"/>
                <w:color w:val="auto"/>
                <w:highlight w:val="none"/>
                <w:lang w:val="en-US" w:eastAsia="zh-CN"/>
              </w:rPr>
            </w:pPr>
            <w:r>
              <w:rPr>
                <w:rFonts w:hint="default" w:ascii="Times New Roman" w:hAnsi="Times New Roman" w:eastAsia="方正仿宋_GBK" w:cs="Times New Roman"/>
                <w:b w:val="0"/>
                <w:bCs w:val="0"/>
                <w:color w:val="auto"/>
                <w:highlight w:val="none"/>
                <w:lang w:val="en-US" w:eastAsia="zh-CN"/>
              </w:rPr>
              <w:t>0</w:t>
            </w:r>
          </w:p>
        </w:tc>
        <w:tc>
          <w:tcPr>
            <w:tcW w:w="485" w:type="pct"/>
            <w:vAlign w:val="center"/>
          </w:tcPr>
          <w:p>
            <w:pPr>
              <w:pStyle w:val="11"/>
              <w:widowControl w:val="0"/>
              <w:overflowPunct w:val="0"/>
              <w:spacing w:line="240" w:lineRule="exact"/>
              <w:jc w:val="center"/>
              <w:rPr>
                <w:rFonts w:hint="default" w:ascii="Times New Roman" w:hAnsi="Times New Roman" w:eastAsia="方正仿宋_GBK" w:cs="Times New Roman"/>
                <w:b w:val="0"/>
                <w:bCs w:val="0"/>
                <w:color w:val="auto"/>
                <w:highlight w:val="none"/>
                <w:lang w:val="en-US" w:eastAsia="zh-CN"/>
              </w:rPr>
            </w:pPr>
            <w:r>
              <w:rPr>
                <w:rFonts w:hint="default" w:ascii="Times New Roman" w:hAnsi="Times New Roman" w:eastAsia="方正仿宋_GBK" w:cs="Times New Roman"/>
                <w:b w:val="0"/>
                <w:bCs w:val="0"/>
                <w:color w:val="auto"/>
                <w:highlight w:val="none"/>
                <w:lang w:val="en-US" w:eastAsia="zh-CN"/>
              </w:rPr>
              <w:t>27</w:t>
            </w:r>
          </w:p>
        </w:tc>
      </w:tr>
    </w:tbl>
    <w:p>
      <w:pPr>
        <w:overflowPunct w:val="0"/>
        <w:snapToGrid w:val="0"/>
        <w:ind w:firstLine="480" w:firstLineChars="200"/>
        <w:jc w:val="right"/>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单位：公顷</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人</w:t>
      </w:r>
    </w:p>
    <w:tbl>
      <w:tblPr>
        <w:tblStyle w:val="7"/>
        <w:tblpPr w:leftFromText="180" w:rightFromText="180" w:vertAnchor="text" w:horzAnchor="page" w:tblpXSpec="center" w:tblpY="-5779"/>
        <w:tblOverlap w:val="never"/>
        <w:tblW w:w="14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031"/>
        <w:gridCol w:w="898"/>
        <w:gridCol w:w="1200"/>
        <w:gridCol w:w="875"/>
        <w:gridCol w:w="1194"/>
        <w:gridCol w:w="1145"/>
        <w:gridCol w:w="1010"/>
        <w:gridCol w:w="849"/>
        <w:gridCol w:w="994"/>
        <w:gridCol w:w="1067"/>
        <w:gridCol w:w="102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4056" w:type="dxa"/>
            <w:gridSpan w:val="13"/>
            <w:tcBorders>
              <w:top w:val="nil"/>
              <w:left w:val="nil"/>
              <w:bottom w:val="single" w:color="auto" w:sz="4" w:space="0"/>
              <w:right w:val="nil"/>
            </w:tcBorders>
            <w:noWrap w:val="0"/>
            <w:vAlign w:val="center"/>
          </w:tcPr>
          <w:p>
            <w:pPr>
              <w:tabs>
                <w:tab w:val="left" w:pos="3615"/>
                <w:tab w:val="center" w:pos="6438"/>
              </w:tabs>
              <w:overflowPunct w:val="0"/>
              <w:adjustRightInd w:val="0"/>
              <w:spacing w:line="600" w:lineRule="exact"/>
              <w:jc w:val="left"/>
              <w:rPr>
                <w:rFonts w:hint="eastAsia" w:ascii="方正黑体_GBK" w:hAnsi="方正黑体_GBK" w:eastAsia="方正黑体_GBK" w:cs="方正黑体_GBK"/>
                <w:sz w:val="32"/>
                <w:szCs w:val="32"/>
                <w:lang w:val="en-US" w:eastAsia="zh-CN"/>
              </w:rPr>
            </w:pPr>
          </w:p>
          <w:p>
            <w:pPr>
              <w:tabs>
                <w:tab w:val="left" w:pos="3615"/>
                <w:tab w:val="center" w:pos="6438"/>
              </w:tabs>
              <w:overflowPunct w:val="0"/>
              <w:adjustRightInd w:val="0"/>
              <w:spacing w:line="600" w:lineRule="exact"/>
              <w:jc w:val="left"/>
              <w:rPr>
                <w:rFonts w:hint="eastAsia" w:ascii="方正黑体_GBK" w:hAnsi="方正黑体_GBK" w:eastAsia="方正黑体_GBK" w:cs="方正黑体_GBK"/>
                <w:sz w:val="32"/>
                <w:szCs w:val="32"/>
                <w:lang w:val="en-US" w:eastAsia="zh-CN"/>
              </w:rPr>
            </w:pPr>
          </w:p>
          <w:p>
            <w:pPr>
              <w:tabs>
                <w:tab w:val="left" w:pos="3615"/>
                <w:tab w:val="center" w:pos="6438"/>
              </w:tabs>
              <w:overflowPunct w:val="0"/>
              <w:adjustRightInd w:val="0"/>
              <w:spacing w:line="600" w:lineRule="exact"/>
              <w:jc w:val="left"/>
              <w:rPr>
                <w:rFonts w:hint="eastAsia" w:ascii="方正黑体_GBK" w:hAnsi="方正黑体_GBK" w:eastAsia="方正黑体_GBK" w:cs="方正黑体_GBK"/>
                <w:sz w:val="32"/>
                <w:szCs w:val="32"/>
                <w:lang w:val="en-US" w:eastAsia="zh-CN"/>
              </w:rPr>
            </w:pPr>
          </w:p>
          <w:p>
            <w:pPr>
              <w:pStyle w:val="2"/>
              <w:rPr>
                <w:rFonts w:hint="eastAsia"/>
                <w:lang w:eastAsia="zh-CN"/>
              </w:rPr>
            </w:pPr>
            <w:bookmarkStart w:id="0" w:name="_GoBack"/>
            <w:bookmarkEnd w:id="0"/>
          </w:p>
          <w:p>
            <w:pPr>
              <w:tabs>
                <w:tab w:val="left" w:pos="3615"/>
                <w:tab w:val="center" w:pos="6438"/>
              </w:tabs>
              <w:overflowPunct w:val="0"/>
              <w:adjustRightInd w:val="0"/>
              <w:spacing w:line="600" w:lineRule="exact"/>
              <w:jc w:val="center"/>
              <w:rPr>
                <w:rFonts w:eastAsia="方正小标宋_GBK" w:cs="方正小标宋_GBK"/>
                <w:sz w:val="36"/>
                <w:szCs w:val="36"/>
              </w:rPr>
            </w:pPr>
            <w:r>
              <w:rPr>
                <w:rFonts w:hint="eastAsia" w:eastAsia="方正小标宋_GBK" w:cs="方正小标宋_GBK"/>
                <w:sz w:val="36"/>
                <w:szCs w:val="36"/>
              </w:rPr>
              <w:t>土地补偿费和安置补助费明细表</w:t>
            </w:r>
          </w:p>
          <w:p>
            <w:pPr>
              <w:overflowPunct w:val="0"/>
              <w:adjustRightInd w:val="0"/>
              <w:snapToGrid w:val="0"/>
              <w:spacing w:line="600" w:lineRule="exact"/>
              <w:ind w:firstLine="480" w:firstLineChars="200"/>
              <w:jc w:val="right"/>
            </w:pPr>
            <w:r>
              <w:rPr>
                <w:rFonts w:hint="eastAsia" w:ascii="方正仿宋_GBK" w:hAnsi="方正仿宋_GBK" w:eastAsia="方正仿宋_GBK" w:cs="方正仿宋_GBK"/>
                <w:sz w:val="24"/>
              </w:rPr>
              <w:t>单位：亩、人、万元/亩、万元/人、万元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被征土地</w:t>
            </w:r>
          </w:p>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所有权人</w:t>
            </w:r>
          </w:p>
        </w:tc>
        <w:tc>
          <w:tcPr>
            <w:tcW w:w="10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征地</w:t>
            </w:r>
          </w:p>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面积</w:t>
            </w:r>
          </w:p>
        </w:tc>
        <w:tc>
          <w:tcPr>
            <w:tcW w:w="89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区片综合地价标准</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土地补偿费金额</w:t>
            </w:r>
          </w:p>
        </w:tc>
        <w:tc>
          <w:tcPr>
            <w:tcW w:w="8162" w:type="dxa"/>
            <w:gridSpan w:val="8"/>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安置补助费</w:t>
            </w:r>
          </w:p>
        </w:tc>
        <w:tc>
          <w:tcPr>
            <w:tcW w:w="12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b/>
                <w:bCs/>
                <w:sz w:val="24"/>
                <w:szCs w:val="24"/>
              </w:rPr>
            </w:pPr>
            <w:r>
              <w:rPr>
                <w:rFonts w:hint="eastAsia" w:ascii="方正黑体_GBK" w:hAnsi="方正黑体_GBK" w:eastAsia="方正黑体_GBK" w:cs="方正黑体_GBK"/>
                <w:b w:val="0"/>
                <w:bCs w:val="0"/>
                <w:sz w:val="24"/>
                <w:szCs w:val="24"/>
              </w:rPr>
              <w:t>两费合计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8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42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支付后有结余</w:t>
            </w:r>
          </w:p>
        </w:tc>
        <w:tc>
          <w:tcPr>
            <w:tcW w:w="39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支付后无结余</w:t>
            </w:r>
          </w:p>
        </w:tc>
        <w:tc>
          <w:tcPr>
            <w:tcW w:w="12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5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8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人员安置对象人数</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安置补助费发放标准</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安置补助费结余部分</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补偿</w:t>
            </w:r>
          </w:p>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金额</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人员安置对象人数</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安置补助费发放标准</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安置补助费补足部分</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补偿</w:t>
            </w:r>
          </w:p>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金额</w:t>
            </w:r>
          </w:p>
        </w:tc>
        <w:tc>
          <w:tcPr>
            <w:tcW w:w="12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hint="default" w:ascii="Times New Roman" w:hAnsi="Times New Roman" w:eastAsia="方正仿宋_GBK" w:cs="Times New Roman"/>
                <w:b w:val="0"/>
                <w:bCs w:val="0"/>
                <w:color w:val="auto"/>
                <w:highlight w:val="none"/>
                <w:lang w:val="en-US" w:eastAsia="zh-CN"/>
              </w:rPr>
            </w:pPr>
            <w:r>
              <w:rPr>
                <w:rFonts w:hint="eastAsia" w:eastAsia="方正仿宋_GBK" w:cs="Times New Roman"/>
                <w:b w:val="0"/>
                <w:bCs w:val="0"/>
                <w:color w:val="auto"/>
                <w:highlight w:val="none"/>
                <w:lang w:val="en-US" w:eastAsia="zh-CN"/>
              </w:rPr>
              <w:t>永城镇黄沙村沙地组</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0.2085</w:t>
            </w:r>
          </w:p>
        </w:tc>
        <w:tc>
          <w:tcPr>
            <w:tcW w:w="89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5.25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0.3284</w:t>
            </w: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方正仿宋_GBK"/>
                <w:b w:val="0"/>
                <w:bCs w:val="0"/>
                <w:sz w:val="24"/>
                <w:szCs w:val="24"/>
                <w:lang w:val="en-US" w:eastAsia="zh-CN"/>
              </w:rPr>
            </w:pPr>
          </w:p>
        </w:tc>
        <w:tc>
          <w:tcPr>
            <w:tcW w:w="1194" w:type="dxa"/>
            <w:tcBorders>
              <w:top w:val="single" w:color="auto" w:sz="4" w:space="0"/>
              <w:left w:val="single" w:color="auto" w:sz="4" w:space="0"/>
              <w:right w:val="single" w:color="auto" w:sz="4" w:space="0"/>
            </w:tcBorders>
            <w:noWrap w:val="0"/>
            <w:vAlign w:val="center"/>
          </w:tcPr>
          <w:p>
            <w:pPr>
              <w:jc w:val="center"/>
              <w:rPr>
                <w:rFonts w:hint="default" w:eastAsia="方正仿宋_GBK"/>
                <w:b w:val="0"/>
                <w:bCs w:val="0"/>
                <w:sz w:val="24"/>
                <w:szCs w:val="24"/>
                <w:lang w:val="en-US" w:eastAsia="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val="0"/>
                <w:bCs w:val="0"/>
                <w:color w:val="auto"/>
                <w:sz w:val="24"/>
                <w:szCs w:val="24"/>
                <w:lang w:val="en-US" w:eastAsia="zh-CN"/>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val="0"/>
                <w:bCs w:val="0"/>
                <w:color w:val="auto"/>
                <w:sz w:val="24"/>
                <w:szCs w:val="24"/>
                <w:lang w:val="en-US" w:eastAsia="zh-CN"/>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2</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3.6</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6.4338</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eastAsia="方正仿宋_GBK" w:cs="Times New Roman"/>
                <w:b w:val="0"/>
                <w:bCs w:val="0"/>
                <w:color w:val="auto"/>
                <w:sz w:val="24"/>
                <w:szCs w:val="24"/>
                <w:lang w:val="en-US" w:eastAsia="zh-CN"/>
              </w:rPr>
              <w:t>0.7662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7.5284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hint="default" w:ascii="Times New Roman" w:hAnsi="Times New Roman" w:eastAsia="方正仿宋_GBK" w:cs="Times New Roman"/>
                <w:b w:val="0"/>
                <w:bCs w:val="0"/>
                <w:color w:val="auto"/>
                <w:highlight w:val="none"/>
                <w:lang w:val="en-US" w:eastAsia="zh-CN"/>
              </w:rPr>
            </w:pPr>
            <w:r>
              <w:rPr>
                <w:rFonts w:hint="eastAsia" w:eastAsia="方正仿宋_GBK" w:cs="Times New Roman"/>
                <w:b w:val="0"/>
                <w:bCs w:val="0"/>
                <w:color w:val="auto"/>
                <w:highlight w:val="none"/>
                <w:lang w:val="en-US" w:eastAsia="zh-CN"/>
              </w:rPr>
              <w:t>永城镇黄沙村水井坎组</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20.4075</w:t>
            </w:r>
          </w:p>
        </w:tc>
        <w:tc>
          <w:tcPr>
            <w:tcW w:w="89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5.25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32.1418</w:t>
            </w: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方正仿宋_GBK"/>
                <w:b w:val="0"/>
                <w:bCs w:val="0"/>
                <w:sz w:val="24"/>
                <w:szCs w:val="24"/>
                <w:lang w:val="en-US" w:eastAsia="zh-CN"/>
              </w:rPr>
            </w:pPr>
          </w:p>
        </w:tc>
        <w:tc>
          <w:tcPr>
            <w:tcW w:w="1194" w:type="dxa"/>
            <w:tcBorders>
              <w:left w:val="single" w:color="auto" w:sz="4" w:space="0"/>
              <w:right w:val="single" w:color="auto" w:sz="4" w:space="0"/>
            </w:tcBorders>
            <w:noWrap w:val="0"/>
            <w:vAlign w:val="center"/>
          </w:tcPr>
          <w:p>
            <w:pPr>
              <w:jc w:val="center"/>
              <w:rPr>
                <w:rFonts w:hint="default" w:eastAsia="方正仿宋_GBK"/>
                <w:b w:val="0"/>
                <w:bCs w:val="0"/>
                <w:sz w:val="24"/>
                <w:szCs w:val="24"/>
                <w:lang w:val="en-US" w:eastAsia="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val="0"/>
                <w:bCs w:val="0"/>
                <w:color w:val="auto"/>
                <w:sz w:val="24"/>
                <w:szCs w:val="24"/>
                <w:lang w:val="en-US" w:eastAsia="zh-CN"/>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val="0"/>
                <w:bCs w:val="0"/>
                <w:color w:val="auto"/>
                <w:sz w:val="24"/>
                <w:szCs w:val="24"/>
                <w:lang w:val="en-US" w:eastAsia="zh-CN"/>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25</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3.6</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15.0024</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74.9976</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122.1418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hint="default" w:eastAsia="方正仿宋_GBK"/>
                <w:b w:val="0"/>
                <w:bCs w:val="0"/>
                <w:sz w:val="24"/>
                <w:szCs w:val="24"/>
                <w:lang w:val="en-US" w:eastAsia="zh-CN"/>
              </w:rPr>
            </w:pPr>
            <w:r>
              <w:rPr>
                <w:rFonts w:hint="eastAsia" w:eastAsia="方正仿宋_GBK"/>
                <w:b w:val="0"/>
                <w:bCs w:val="0"/>
                <w:sz w:val="24"/>
                <w:szCs w:val="24"/>
                <w:lang w:val="en-US" w:eastAsia="zh-CN"/>
              </w:rPr>
              <w:t>合计</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cs="Times New Roman"/>
                <w:b w:val="0"/>
                <w:bCs w:val="0"/>
                <w:color w:val="auto"/>
                <w:sz w:val="24"/>
                <w:szCs w:val="24"/>
                <w:lang w:val="en-US" w:eastAsia="zh-CN"/>
              </w:rPr>
            </w:pPr>
            <w:r>
              <w:rPr>
                <w:rFonts w:hint="eastAsia" w:eastAsia="方正仿宋_GBK" w:cs="Times New Roman"/>
                <w:b w:val="0"/>
                <w:bCs w:val="0"/>
                <w:color w:val="auto"/>
                <w:sz w:val="24"/>
                <w:szCs w:val="24"/>
                <w:lang w:val="en-US" w:eastAsia="zh-CN"/>
              </w:rPr>
              <w:t>20.6160</w:t>
            </w:r>
          </w:p>
        </w:tc>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b w:val="0"/>
                <w:bCs w:val="0"/>
                <w:sz w:val="24"/>
                <w:szCs w:val="24"/>
                <w:lang w:val="en-US" w:eastAsia="zh-CN"/>
              </w:rPr>
            </w:pPr>
            <w:r>
              <w:rPr>
                <w:rFonts w:hint="eastAsia" w:eastAsia="方正仿宋_GBK"/>
                <w:b w:val="0"/>
                <w:bCs w:val="0"/>
                <w:sz w:val="24"/>
                <w:szCs w:val="24"/>
                <w:lang w:val="en-US" w:eastAsia="zh-CN"/>
              </w:rPr>
              <w:t>5.25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cs="Times New Roman"/>
                <w:b w:val="0"/>
                <w:bCs w:val="0"/>
                <w:color w:val="auto"/>
                <w:sz w:val="24"/>
                <w:szCs w:val="24"/>
                <w:lang w:val="en-US" w:eastAsia="zh-CN"/>
              </w:rPr>
            </w:pPr>
            <w:r>
              <w:rPr>
                <w:rFonts w:hint="eastAsia" w:eastAsia="方正仿宋_GBK" w:cs="Times New Roman"/>
                <w:b w:val="0"/>
                <w:bCs w:val="0"/>
                <w:color w:val="auto"/>
                <w:sz w:val="24"/>
                <w:szCs w:val="24"/>
                <w:lang w:val="en-US" w:eastAsia="zh-CN"/>
              </w:rPr>
              <w:t>32.4702</w:t>
            </w: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方正仿宋_GBK"/>
                <w:b w:val="0"/>
                <w:bCs w:val="0"/>
                <w:sz w:val="24"/>
                <w:szCs w:val="24"/>
                <w:lang w:val="en-US" w:eastAsia="zh-CN"/>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方正仿宋_GBK"/>
                <w:b w:val="0"/>
                <w:bCs w:val="0"/>
                <w:sz w:val="24"/>
                <w:szCs w:val="24"/>
                <w:lang w:val="en-US" w:eastAsia="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方正仿宋_GBK" w:cs="Times New Roman"/>
                <w:b w:val="0"/>
                <w:bCs w:val="0"/>
                <w:color w:val="auto"/>
                <w:sz w:val="24"/>
                <w:szCs w:val="24"/>
                <w:lang w:val="en-US" w:eastAsia="zh-CN"/>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方正仿宋_GBK" w:cs="Times New Roman"/>
                <w:b w:val="0"/>
                <w:bCs w:val="0"/>
                <w:color w:val="auto"/>
                <w:sz w:val="24"/>
                <w:szCs w:val="24"/>
                <w:lang w:val="en-US" w:eastAsia="zh-CN"/>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b w:val="0"/>
                <w:bCs w:val="0"/>
                <w:sz w:val="24"/>
                <w:szCs w:val="24"/>
                <w:lang w:val="en-US" w:eastAsia="zh-CN"/>
              </w:rPr>
            </w:pPr>
            <w:r>
              <w:rPr>
                <w:rFonts w:hint="eastAsia" w:eastAsia="方正仿宋_GBK"/>
                <w:b w:val="0"/>
                <w:bCs w:val="0"/>
                <w:sz w:val="24"/>
                <w:szCs w:val="24"/>
                <w:lang w:val="en-US" w:eastAsia="zh-CN"/>
              </w:rPr>
              <w:t>27</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b w:val="0"/>
                <w:bCs w:val="0"/>
                <w:sz w:val="24"/>
                <w:szCs w:val="24"/>
                <w:lang w:val="en-US" w:eastAsia="zh-CN"/>
              </w:rPr>
            </w:pPr>
            <w:r>
              <w:rPr>
                <w:rFonts w:hint="eastAsia" w:eastAsia="方正仿宋_GBK"/>
                <w:b w:val="0"/>
                <w:bCs w:val="0"/>
                <w:sz w:val="24"/>
                <w:szCs w:val="24"/>
                <w:lang w:val="en-US" w:eastAsia="zh-CN"/>
              </w:rPr>
              <w:t>3.6</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b w:val="0"/>
                <w:bCs w:val="0"/>
                <w:sz w:val="24"/>
                <w:szCs w:val="24"/>
                <w:lang w:val="en-US" w:eastAsia="zh-CN"/>
              </w:rPr>
            </w:pPr>
            <w:r>
              <w:rPr>
                <w:rFonts w:hint="eastAsia" w:eastAsia="方正仿宋_GBK"/>
                <w:b w:val="0"/>
                <w:bCs w:val="0"/>
                <w:sz w:val="24"/>
                <w:szCs w:val="24"/>
                <w:lang w:val="en-US" w:eastAsia="zh-CN"/>
              </w:rPr>
              <w:t>21.4362</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b w:val="0"/>
                <w:bCs w:val="0"/>
                <w:sz w:val="24"/>
                <w:szCs w:val="24"/>
                <w:lang w:val="en-US" w:eastAsia="zh-CN"/>
              </w:rPr>
            </w:pPr>
            <w:r>
              <w:rPr>
                <w:rFonts w:hint="eastAsia" w:eastAsia="方正仿宋_GBK"/>
                <w:b w:val="0"/>
                <w:bCs w:val="0"/>
                <w:sz w:val="24"/>
                <w:szCs w:val="24"/>
                <w:lang w:val="en-US" w:eastAsia="zh-CN"/>
              </w:rPr>
              <w:t>75.7638</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cs="Times New Roman"/>
                <w:b w:val="0"/>
                <w:bCs w:val="0"/>
                <w:color w:val="auto"/>
                <w:sz w:val="24"/>
                <w:szCs w:val="24"/>
                <w:lang w:val="en-US" w:eastAsia="zh-CN"/>
              </w:rPr>
            </w:pPr>
            <w:r>
              <w:rPr>
                <w:rFonts w:hint="eastAsia" w:eastAsia="方正仿宋_GBK" w:cs="Times New Roman"/>
                <w:b w:val="0"/>
                <w:bCs w:val="0"/>
                <w:color w:val="auto"/>
                <w:sz w:val="24"/>
                <w:szCs w:val="24"/>
                <w:lang w:val="en-US" w:eastAsia="zh-CN"/>
              </w:rPr>
              <w:t>129.6702</w:t>
            </w:r>
          </w:p>
        </w:tc>
      </w:tr>
    </w:tbl>
    <w:p>
      <w:pPr>
        <w:tabs>
          <w:tab w:val="left" w:pos="9016"/>
        </w:tabs>
        <w:jc w:val="left"/>
        <w:rPr>
          <w:rFonts w:hint="default"/>
          <w:lang w:val="en-US" w:eastAsia="zh-CN"/>
        </w:rPr>
      </w:pPr>
    </w:p>
    <w:p>
      <w:pPr>
        <w:pStyle w:val="2"/>
        <w:rPr>
          <w:rFonts w:hint="default"/>
          <w:lang w:val="en-US" w:eastAsia="zh-CN"/>
        </w:rPr>
      </w:pPr>
    </w:p>
    <w:p>
      <w:pPr>
        <w:pStyle w:val="2"/>
        <w:rPr>
          <w:rFonts w:hint="default"/>
          <w:lang w:val="en-US" w:eastAsia="zh-CN"/>
        </w:rPr>
        <w:sectPr>
          <w:footerReference r:id="rId4" w:type="default"/>
          <w:pgSz w:w="16838" w:h="11906" w:orient="landscape"/>
          <w:pgMar w:top="1588" w:right="2098" w:bottom="1474" w:left="1985" w:header="851" w:footer="992" w:gutter="0"/>
          <w:pgNumType w:fmt="decimal"/>
          <w:cols w:space="720" w:num="1"/>
          <w:rtlGutter w:val="0"/>
          <w:docGrid w:type="lines" w:linePitch="312" w:charSpace="0"/>
        </w:sectPr>
      </w:pPr>
    </w:p>
    <w:p>
      <w:pPr>
        <w:spacing w:line="576" w:lineRule="exact"/>
        <w:ind w:firstLine="0" w:firstLineChars="0"/>
        <w:rPr>
          <w:rFonts w:hint="eastAsia"/>
          <w:lang w:val="en-US" w:eastAsia="zh-CN"/>
        </w:rPr>
      </w:pPr>
    </w:p>
    <w:p>
      <w:pPr>
        <w:spacing w:line="576" w:lineRule="exact"/>
        <w:jc w:val="center"/>
        <w:rPr>
          <w:rFonts w:hint="eastAsia" w:ascii="方正小标宋_GBK" w:eastAsia="方正小标宋_GBK"/>
          <w:sz w:val="36"/>
          <w:szCs w:val="36"/>
        </w:rPr>
      </w:pPr>
      <w:r>
        <w:rPr>
          <w:rFonts w:hint="eastAsia" w:ascii="方正小标宋_GBK" w:eastAsia="方正小标宋_GBK"/>
          <w:sz w:val="36"/>
          <w:szCs w:val="36"/>
        </w:rPr>
        <w:t>房屋附属物</w:t>
      </w:r>
      <w:r>
        <w:rPr>
          <w:rFonts w:hint="eastAsia" w:ascii="方正小标宋_GBK" w:eastAsia="方正小标宋_GBK"/>
          <w:sz w:val="36"/>
          <w:szCs w:val="36"/>
          <w:lang w:eastAsia="zh-CN"/>
        </w:rPr>
        <w:t>及</w:t>
      </w:r>
      <w:r>
        <w:rPr>
          <w:rFonts w:hint="eastAsia" w:ascii="方正小标宋_GBK" w:eastAsia="方正小标宋_GBK"/>
          <w:sz w:val="36"/>
          <w:szCs w:val="36"/>
        </w:rPr>
        <w:t>附属设施补偿标准</w:t>
      </w:r>
    </w:p>
    <w:p>
      <w:pPr>
        <w:pStyle w:val="2"/>
        <w:rPr>
          <w:rFonts w:hint="eastAsia"/>
        </w:rPr>
      </w:pPr>
    </w:p>
    <w:p>
      <w:pPr>
        <w:spacing w:line="44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Cs w:val="32"/>
          <w:lang w:val="en-US" w:eastAsia="zh-CN"/>
        </w:rPr>
        <w:t xml:space="preserve">                                                                   </w:t>
      </w:r>
      <w:r>
        <w:rPr>
          <w:rFonts w:hint="eastAsia" w:ascii="方正仿宋_GBK" w:hAnsi="方正仿宋_GBK" w:eastAsia="方正仿宋_GBK" w:cs="方正仿宋_GBK"/>
          <w:sz w:val="24"/>
          <w:szCs w:val="24"/>
          <w:lang w:val="en-US" w:eastAsia="zh-CN"/>
        </w:rPr>
        <w:t>单位：元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323"/>
        <w:gridCol w:w="1042"/>
        <w:gridCol w:w="1206"/>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blHeader/>
        </w:trPr>
        <w:tc>
          <w:tcPr>
            <w:tcW w:w="831" w:type="dxa"/>
            <w:noWrap w:val="0"/>
            <w:vAlign w:val="center"/>
          </w:tcPr>
          <w:p>
            <w:pPr>
              <w:spacing w:line="440" w:lineRule="exact"/>
              <w:jc w:val="center"/>
              <w:rPr>
                <w:rFonts w:hint="eastAsia" w:ascii="方正黑体_GBK" w:eastAsia="方正黑体_GBK"/>
                <w:sz w:val="24"/>
              </w:rPr>
            </w:pPr>
            <w:r>
              <w:rPr>
                <w:rFonts w:hint="eastAsia" w:ascii="方正黑体_GBK" w:eastAsia="方正黑体_GBK"/>
                <w:sz w:val="24"/>
              </w:rPr>
              <w:t>序号</w:t>
            </w:r>
          </w:p>
        </w:tc>
        <w:tc>
          <w:tcPr>
            <w:tcW w:w="2323" w:type="dxa"/>
            <w:noWrap w:val="0"/>
            <w:vAlign w:val="center"/>
          </w:tcPr>
          <w:p>
            <w:pPr>
              <w:spacing w:line="440" w:lineRule="exact"/>
              <w:jc w:val="center"/>
              <w:rPr>
                <w:rFonts w:hint="eastAsia" w:ascii="方正黑体_GBK" w:eastAsia="方正黑体_GBK"/>
                <w:sz w:val="24"/>
              </w:rPr>
            </w:pPr>
            <w:r>
              <w:rPr>
                <w:rFonts w:hint="eastAsia" w:ascii="方正黑体_GBK" w:eastAsia="方正黑体_GBK"/>
                <w:sz w:val="24"/>
              </w:rPr>
              <w:t>项目名称</w:t>
            </w:r>
          </w:p>
        </w:tc>
        <w:tc>
          <w:tcPr>
            <w:tcW w:w="1042" w:type="dxa"/>
            <w:noWrap w:val="0"/>
            <w:vAlign w:val="center"/>
          </w:tcPr>
          <w:p>
            <w:pPr>
              <w:spacing w:line="440" w:lineRule="exact"/>
              <w:jc w:val="center"/>
              <w:rPr>
                <w:rFonts w:hint="eastAsia" w:ascii="方正黑体_GBK" w:eastAsia="方正黑体_GBK"/>
                <w:sz w:val="24"/>
              </w:rPr>
            </w:pPr>
            <w:r>
              <w:rPr>
                <w:rFonts w:hint="eastAsia" w:ascii="方正黑体_GBK" w:eastAsia="方正黑体_GBK"/>
                <w:sz w:val="24"/>
              </w:rPr>
              <w:t>单  位</w:t>
            </w:r>
          </w:p>
        </w:tc>
        <w:tc>
          <w:tcPr>
            <w:tcW w:w="1206" w:type="dxa"/>
            <w:noWrap w:val="0"/>
            <w:vAlign w:val="center"/>
          </w:tcPr>
          <w:p>
            <w:pPr>
              <w:spacing w:line="440" w:lineRule="exact"/>
              <w:jc w:val="center"/>
              <w:rPr>
                <w:rFonts w:hint="eastAsia" w:ascii="方正黑体_GBK" w:eastAsia="方正黑体_GBK"/>
                <w:sz w:val="24"/>
              </w:rPr>
            </w:pPr>
            <w:r>
              <w:rPr>
                <w:rFonts w:hint="eastAsia" w:ascii="方正黑体_GBK" w:eastAsia="方正黑体_GBK"/>
                <w:sz w:val="24"/>
              </w:rPr>
              <w:t>价  格</w:t>
            </w:r>
          </w:p>
        </w:tc>
        <w:tc>
          <w:tcPr>
            <w:tcW w:w="3385" w:type="dxa"/>
            <w:noWrap w:val="0"/>
            <w:vAlign w:val="center"/>
          </w:tcPr>
          <w:p>
            <w:pPr>
              <w:spacing w:line="440" w:lineRule="exact"/>
              <w:jc w:val="center"/>
              <w:rPr>
                <w:rFonts w:hint="eastAsia" w:ascii="方正黑体_GBK" w:eastAsia="方正黑体_GBK"/>
                <w:sz w:val="24"/>
              </w:rPr>
            </w:pPr>
            <w:r>
              <w:rPr>
                <w:rFonts w:hint="eastAsia" w:ascii="方正黑体_GBK" w:eastAsia="方正黑体_GBK"/>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1</w:t>
            </w:r>
          </w:p>
        </w:tc>
        <w:tc>
          <w:tcPr>
            <w:tcW w:w="2323" w:type="dxa"/>
            <w:noWrap w:val="0"/>
            <w:vAlign w:val="center"/>
          </w:tcPr>
          <w:p>
            <w:pPr>
              <w:spacing w:line="560" w:lineRule="exact"/>
              <w:rPr>
                <w:rFonts w:eastAsia="方正仿宋_GBK"/>
                <w:sz w:val="24"/>
              </w:rPr>
            </w:pPr>
            <w:r>
              <w:rPr>
                <w:rFonts w:eastAsia="方正仿宋_GBK"/>
                <w:sz w:val="24"/>
              </w:rPr>
              <w:t>三相电户头</w:t>
            </w:r>
          </w:p>
        </w:tc>
        <w:tc>
          <w:tcPr>
            <w:tcW w:w="1042" w:type="dxa"/>
            <w:noWrap w:val="0"/>
            <w:vAlign w:val="center"/>
          </w:tcPr>
          <w:p>
            <w:pPr>
              <w:spacing w:line="560" w:lineRule="exact"/>
              <w:jc w:val="center"/>
              <w:rPr>
                <w:rFonts w:eastAsia="方正仿宋_GBK"/>
                <w:sz w:val="24"/>
              </w:rPr>
            </w:pPr>
            <w:r>
              <w:rPr>
                <w:rFonts w:eastAsia="方正仿宋_GBK"/>
                <w:sz w:val="24"/>
              </w:rPr>
              <w:t>户</w:t>
            </w:r>
          </w:p>
        </w:tc>
        <w:tc>
          <w:tcPr>
            <w:tcW w:w="1206" w:type="dxa"/>
            <w:noWrap w:val="0"/>
            <w:vAlign w:val="center"/>
          </w:tcPr>
          <w:p>
            <w:pPr>
              <w:spacing w:line="560" w:lineRule="exact"/>
              <w:jc w:val="center"/>
              <w:rPr>
                <w:rFonts w:eastAsia="方正仿宋_GBK"/>
                <w:spacing w:val="-6"/>
                <w:sz w:val="24"/>
              </w:rPr>
            </w:pPr>
            <w:r>
              <w:rPr>
                <w:rFonts w:eastAsia="方正仿宋_GBK"/>
                <w:spacing w:val="-6"/>
                <w:sz w:val="24"/>
              </w:rPr>
              <w:t>1850</w:t>
            </w:r>
          </w:p>
        </w:tc>
        <w:tc>
          <w:tcPr>
            <w:tcW w:w="3385" w:type="dxa"/>
            <w:noWrap w:val="0"/>
            <w:vAlign w:val="center"/>
          </w:tcPr>
          <w:p>
            <w:pPr>
              <w:spacing w:line="560" w:lineRule="exact"/>
              <w:rPr>
                <w:rFonts w:eastAsia="方正仿宋_GBK"/>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2</w:t>
            </w:r>
          </w:p>
        </w:tc>
        <w:tc>
          <w:tcPr>
            <w:tcW w:w="2323" w:type="dxa"/>
            <w:noWrap w:val="0"/>
            <w:vAlign w:val="center"/>
          </w:tcPr>
          <w:p>
            <w:pPr>
              <w:spacing w:line="560" w:lineRule="exact"/>
              <w:rPr>
                <w:rFonts w:eastAsia="方正仿宋_GBK"/>
                <w:sz w:val="24"/>
              </w:rPr>
            </w:pPr>
            <w:r>
              <w:rPr>
                <w:rFonts w:eastAsia="方正仿宋_GBK"/>
                <w:sz w:val="24"/>
              </w:rPr>
              <w:t>热水器</w:t>
            </w:r>
          </w:p>
        </w:tc>
        <w:tc>
          <w:tcPr>
            <w:tcW w:w="1042" w:type="dxa"/>
            <w:noWrap w:val="0"/>
            <w:vAlign w:val="center"/>
          </w:tcPr>
          <w:p>
            <w:pPr>
              <w:spacing w:line="560" w:lineRule="exact"/>
              <w:jc w:val="center"/>
              <w:rPr>
                <w:rFonts w:eastAsia="方正仿宋_GBK"/>
                <w:sz w:val="24"/>
              </w:rPr>
            </w:pPr>
            <w:r>
              <w:rPr>
                <w:rFonts w:eastAsia="方正仿宋_GBK"/>
                <w:sz w:val="24"/>
              </w:rPr>
              <w:t>台</w:t>
            </w:r>
          </w:p>
        </w:tc>
        <w:tc>
          <w:tcPr>
            <w:tcW w:w="1206" w:type="dxa"/>
            <w:noWrap w:val="0"/>
            <w:vAlign w:val="center"/>
          </w:tcPr>
          <w:p>
            <w:pPr>
              <w:spacing w:line="560" w:lineRule="exact"/>
              <w:jc w:val="center"/>
              <w:rPr>
                <w:rFonts w:eastAsia="方正仿宋_GBK"/>
                <w:sz w:val="24"/>
              </w:rPr>
            </w:pPr>
            <w:r>
              <w:rPr>
                <w:rFonts w:eastAsia="方正仿宋_GBK"/>
                <w:sz w:val="24"/>
              </w:rPr>
              <w:t>50</w:t>
            </w:r>
          </w:p>
        </w:tc>
        <w:tc>
          <w:tcPr>
            <w:tcW w:w="3385" w:type="dxa"/>
            <w:noWrap w:val="0"/>
            <w:vAlign w:val="center"/>
          </w:tcPr>
          <w:p>
            <w:pPr>
              <w:spacing w:line="560" w:lineRule="exact"/>
              <w:rPr>
                <w:rFonts w:eastAsia="方正仿宋_GBK"/>
                <w:sz w:val="24"/>
              </w:rPr>
            </w:pPr>
            <w:r>
              <w:rPr>
                <w:rFonts w:eastAsia="方正仿宋_GBK"/>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3</w:t>
            </w:r>
          </w:p>
        </w:tc>
        <w:tc>
          <w:tcPr>
            <w:tcW w:w="2323" w:type="dxa"/>
            <w:noWrap w:val="0"/>
            <w:vAlign w:val="center"/>
          </w:tcPr>
          <w:p>
            <w:pPr>
              <w:spacing w:line="560" w:lineRule="exact"/>
              <w:rPr>
                <w:rFonts w:eastAsia="方正仿宋_GBK"/>
                <w:sz w:val="24"/>
              </w:rPr>
            </w:pPr>
            <w:r>
              <w:rPr>
                <w:rFonts w:eastAsia="方正仿宋_GBK"/>
                <w:sz w:val="24"/>
              </w:rPr>
              <w:t>太阳能热水器</w:t>
            </w:r>
          </w:p>
        </w:tc>
        <w:tc>
          <w:tcPr>
            <w:tcW w:w="1042" w:type="dxa"/>
            <w:noWrap w:val="0"/>
            <w:vAlign w:val="center"/>
          </w:tcPr>
          <w:p>
            <w:pPr>
              <w:spacing w:line="560" w:lineRule="exact"/>
              <w:jc w:val="center"/>
              <w:rPr>
                <w:rFonts w:eastAsia="方正仿宋_GBK"/>
                <w:sz w:val="24"/>
              </w:rPr>
            </w:pPr>
            <w:r>
              <w:rPr>
                <w:rFonts w:eastAsia="方正仿宋_GBK"/>
                <w:sz w:val="24"/>
              </w:rPr>
              <w:t>台</w:t>
            </w:r>
          </w:p>
        </w:tc>
        <w:tc>
          <w:tcPr>
            <w:tcW w:w="1206" w:type="dxa"/>
            <w:noWrap w:val="0"/>
            <w:vAlign w:val="center"/>
          </w:tcPr>
          <w:p>
            <w:pPr>
              <w:spacing w:line="560" w:lineRule="exact"/>
              <w:jc w:val="center"/>
              <w:rPr>
                <w:rFonts w:eastAsia="方正仿宋_GBK"/>
                <w:sz w:val="24"/>
              </w:rPr>
            </w:pPr>
            <w:r>
              <w:rPr>
                <w:rFonts w:eastAsia="方正仿宋_GBK"/>
                <w:sz w:val="24"/>
              </w:rPr>
              <w:t>1500</w:t>
            </w:r>
          </w:p>
        </w:tc>
        <w:tc>
          <w:tcPr>
            <w:tcW w:w="3385" w:type="dxa"/>
            <w:noWrap w:val="0"/>
            <w:vAlign w:val="center"/>
          </w:tcPr>
          <w:p>
            <w:pPr>
              <w:spacing w:line="560" w:lineRule="exact"/>
              <w:rPr>
                <w:rFonts w:eastAsia="方正仿宋_GBK"/>
                <w:sz w:val="24"/>
              </w:rPr>
            </w:pPr>
            <w:r>
              <w:rPr>
                <w:rFonts w:eastAsia="方正仿宋_GBK"/>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default" w:eastAsia="方正仿宋_GBK"/>
                <w:sz w:val="24"/>
                <w:lang w:val="en-US" w:eastAsia="zh-CN"/>
              </w:rPr>
            </w:pPr>
            <w:r>
              <w:rPr>
                <w:rFonts w:hint="eastAsia" w:eastAsia="方正仿宋_GBK"/>
                <w:sz w:val="24"/>
                <w:lang w:val="en-US" w:eastAsia="zh-CN"/>
              </w:rPr>
              <w:t>4</w:t>
            </w:r>
          </w:p>
        </w:tc>
        <w:tc>
          <w:tcPr>
            <w:tcW w:w="2323" w:type="dxa"/>
            <w:noWrap w:val="0"/>
            <w:vAlign w:val="center"/>
          </w:tcPr>
          <w:p>
            <w:pPr>
              <w:spacing w:line="560" w:lineRule="exact"/>
              <w:rPr>
                <w:rFonts w:hint="eastAsia" w:eastAsia="方正仿宋_GBK"/>
                <w:sz w:val="24"/>
                <w:lang w:eastAsia="zh-CN"/>
              </w:rPr>
            </w:pPr>
            <w:r>
              <w:rPr>
                <w:rFonts w:hint="eastAsia" w:eastAsia="方正仿宋_GBK"/>
                <w:sz w:val="24"/>
                <w:lang w:eastAsia="zh-CN"/>
              </w:rPr>
              <w:t>电视卫星接收器</w:t>
            </w:r>
          </w:p>
        </w:tc>
        <w:tc>
          <w:tcPr>
            <w:tcW w:w="1042" w:type="dxa"/>
            <w:noWrap w:val="0"/>
            <w:vAlign w:val="center"/>
          </w:tcPr>
          <w:p>
            <w:pPr>
              <w:spacing w:line="560" w:lineRule="exact"/>
              <w:jc w:val="center"/>
              <w:rPr>
                <w:rFonts w:hint="eastAsia" w:eastAsia="方正仿宋_GBK"/>
                <w:sz w:val="24"/>
                <w:lang w:eastAsia="zh-CN"/>
              </w:rPr>
            </w:pPr>
            <w:r>
              <w:rPr>
                <w:rFonts w:hint="eastAsia" w:eastAsia="方正仿宋_GBK"/>
                <w:sz w:val="24"/>
                <w:lang w:eastAsia="zh-CN"/>
              </w:rPr>
              <w:t>台</w:t>
            </w:r>
          </w:p>
        </w:tc>
        <w:tc>
          <w:tcPr>
            <w:tcW w:w="1206" w:type="dxa"/>
            <w:noWrap w:val="0"/>
            <w:vAlign w:val="center"/>
          </w:tcPr>
          <w:p>
            <w:pPr>
              <w:spacing w:line="560" w:lineRule="exact"/>
              <w:jc w:val="center"/>
              <w:rPr>
                <w:rFonts w:hint="default" w:eastAsia="方正仿宋_GBK"/>
                <w:sz w:val="24"/>
                <w:lang w:val="en-US" w:eastAsia="zh-CN"/>
              </w:rPr>
            </w:pPr>
            <w:r>
              <w:rPr>
                <w:rFonts w:hint="eastAsia" w:eastAsia="方正仿宋_GBK"/>
                <w:sz w:val="24"/>
                <w:lang w:val="en-US" w:eastAsia="zh-CN"/>
              </w:rPr>
              <w:t>300</w:t>
            </w:r>
          </w:p>
        </w:tc>
        <w:tc>
          <w:tcPr>
            <w:tcW w:w="3385" w:type="dxa"/>
            <w:noWrap w:val="0"/>
            <w:vAlign w:val="center"/>
          </w:tcPr>
          <w:p>
            <w:pPr>
              <w:spacing w:line="5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5</w:t>
            </w:r>
          </w:p>
        </w:tc>
        <w:tc>
          <w:tcPr>
            <w:tcW w:w="2323" w:type="dxa"/>
            <w:noWrap w:val="0"/>
            <w:vAlign w:val="center"/>
          </w:tcPr>
          <w:p>
            <w:pPr>
              <w:spacing w:line="560" w:lineRule="exact"/>
              <w:rPr>
                <w:rFonts w:eastAsia="方正仿宋_GBK"/>
                <w:sz w:val="24"/>
              </w:rPr>
            </w:pPr>
            <w:r>
              <w:rPr>
                <w:rFonts w:eastAsia="方正仿宋_GBK"/>
                <w:sz w:val="24"/>
              </w:rPr>
              <w:t>柜式空调</w:t>
            </w:r>
          </w:p>
        </w:tc>
        <w:tc>
          <w:tcPr>
            <w:tcW w:w="1042" w:type="dxa"/>
            <w:noWrap w:val="0"/>
            <w:vAlign w:val="center"/>
          </w:tcPr>
          <w:p>
            <w:pPr>
              <w:spacing w:line="560" w:lineRule="exact"/>
              <w:jc w:val="center"/>
              <w:rPr>
                <w:rFonts w:eastAsia="方正仿宋_GBK"/>
                <w:sz w:val="24"/>
              </w:rPr>
            </w:pPr>
            <w:r>
              <w:rPr>
                <w:rFonts w:eastAsia="方正仿宋_GBK"/>
                <w:sz w:val="24"/>
              </w:rPr>
              <w:t>台</w:t>
            </w:r>
          </w:p>
        </w:tc>
        <w:tc>
          <w:tcPr>
            <w:tcW w:w="1206" w:type="dxa"/>
            <w:noWrap w:val="0"/>
            <w:vAlign w:val="center"/>
          </w:tcPr>
          <w:p>
            <w:pPr>
              <w:spacing w:line="560" w:lineRule="exact"/>
              <w:jc w:val="center"/>
              <w:rPr>
                <w:rFonts w:eastAsia="方正仿宋_GBK"/>
                <w:sz w:val="24"/>
              </w:rPr>
            </w:pPr>
            <w:r>
              <w:rPr>
                <w:rFonts w:eastAsia="方正仿宋_GBK"/>
                <w:sz w:val="24"/>
              </w:rPr>
              <w:t>150</w:t>
            </w:r>
          </w:p>
        </w:tc>
        <w:tc>
          <w:tcPr>
            <w:tcW w:w="3385" w:type="dxa"/>
            <w:noWrap w:val="0"/>
            <w:vAlign w:val="center"/>
          </w:tcPr>
          <w:p>
            <w:pPr>
              <w:spacing w:line="560" w:lineRule="exact"/>
              <w:rPr>
                <w:rFonts w:eastAsia="方正仿宋_GBK"/>
                <w:sz w:val="24"/>
              </w:rPr>
            </w:pPr>
            <w:r>
              <w:rPr>
                <w:rFonts w:eastAsia="方正仿宋_GBK"/>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6</w:t>
            </w:r>
          </w:p>
        </w:tc>
        <w:tc>
          <w:tcPr>
            <w:tcW w:w="2323" w:type="dxa"/>
            <w:noWrap w:val="0"/>
            <w:vAlign w:val="center"/>
          </w:tcPr>
          <w:p>
            <w:pPr>
              <w:spacing w:line="560" w:lineRule="exact"/>
              <w:rPr>
                <w:rFonts w:eastAsia="方正仿宋_GBK"/>
                <w:sz w:val="24"/>
              </w:rPr>
            </w:pPr>
            <w:r>
              <w:rPr>
                <w:rFonts w:eastAsia="方正仿宋_GBK"/>
                <w:sz w:val="24"/>
              </w:rPr>
              <w:t>挂式空调</w:t>
            </w:r>
          </w:p>
        </w:tc>
        <w:tc>
          <w:tcPr>
            <w:tcW w:w="1042" w:type="dxa"/>
            <w:noWrap w:val="0"/>
            <w:vAlign w:val="center"/>
          </w:tcPr>
          <w:p>
            <w:pPr>
              <w:spacing w:line="560" w:lineRule="exact"/>
              <w:jc w:val="center"/>
              <w:rPr>
                <w:rFonts w:eastAsia="方正仿宋_GBK"/>
                <w:sz w:val="24"/>
              </w:rPr>
            </w:pPr>
            <w:r>
              <w:rPr>
                <w:rFonts w:eastAsia="方正仿宋_GBK"/>
                <w:sz w:val="24"/>
              </w:rPr>
              <w:t>台</w:t>
            </w:r>
          </w:p>
        </w:tc>
        <w:tc>
          <w:tcPr>
            <w:tcW w:w="1206" w:type="dxa"/>
            <w:noWrap w:val="0"/>
            <w:vAlign w:val="center"/>
          </w:tcPr>
          <w:p>
            <w:pPr>
              <w:spacing w:line="560" w:lineRule="exact"/>
              <w:jc w:val="center"/>
              <w:rPr>
                <w:rFonts w:eastAsia="方正仿宋_GBK"/>
                <w:sz w:val="24"/>
              </w:rPr>
            </w:pPr>
            <w:r>
              <w:rPr>
                <w:rFonts w:eastAsia="方正仿宋_GBK"/>
                <w:sz w:val="24"/>
              </w:rPr>
              <w:t>150</w:t>
            </w:r>
          </w:p>
        </w:tc>
        <w:tc>
          <w:tcPr>
            <w:tcW w:w="3385" w:type="dxa"/>
            <w:noWrap w:val="0"/>
            <w:vAlign w:val="center"/>
          </w:tcPr>
          <w:p>
            <w:pPr>
              <w:spacing w:line="560" w:lineRule="exact"/>
              <w:rPr>
                <w:rFonts w:eastAsia="方正仿宋_GBK"/>
                <w:sz w:val="24"/>
              </w:rPr>
            </w:pPr>
            <w:r>
              <w:rPr>
                <w:rFonts w:eastAsia="方正仿宋_GBK"/>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7</w:t>
            </w:r>
          </w:p>
        </w:tc>
        <w:tc>
          <w:tcPr>
            <w:tcW w:w="2323" w:type="dxa"/>
            <w:noWrap w:val="0"/>
            <w:vAlign w:val="center"/>
          </w:tcPr>
          <w:p>
            <w:pPr>
              <w:spacing w:line="560" w:lineRule="exact"/>
              <w:rPr>
                <w:rFonts w:eastAsia="方正仿宋_GBK"/>
                <w:sz w:val="24"/>
              </w:rPr>
            </w:pPr>
            <w:r>
              <w:rPr>
                <w:rFonts w:eastAsia="方正仿宋_GBK"/>
                <w:sz w:val="24"/>
              </w:rPr>
              <w:t>窗式空调</w:t>
            </w:r>
          </w:p>
        </w:tc>
        <w:tc>
          <w:tcPr>
            <w:tcW w:w="1042" w:type="dxa"/>
            <w:noWrap w:val="0"/>
            <w:vAlign w:val="center"/>
          </w:tcPr>
          <w:p>
            <w:pPr>
              <w:spacing w:line="560" w:lineRule="exact"/>
              <w:jc w:val="center"/>
              <w:rPr>
                <w:rFonts w:eastAsia="方正仿宋_GBK"/>
                <w:sz w:val="24"/>
              </w:rPr>
            </w:pPr>
            <w:r>
              <w:rPr>
                <w:rFonts w:eastAsia="方正仿宋_GBK"/>
                <w:sz w:val="24"/>
              </w:rPr>
              <w:t>台</w:t>
            </w:r>
          </w:p>
        </w:tc>
        <w:tc>
          <w:tcPr>
            <w:tcW w:w="1206" w:type="dxa"/>
            <w:noWrap w:val="0"/>
            <w:vAlign w:val="center"/>
          </w:tcPr>
          <w:p>
            <w:pPr>
              <w:spacing w:line="560" w:lineRule="exact"/>
              <w:jc w:val="center"/>
              <w:rPr>
                <w:rFonts w:eastAsia="方正仿宋_GBK"/>
                <w:sz w:val="24"/>
              </w:rPr>
            </w:pPr>
            <w:r>
              <w:rPr>
                <w:rFonts w:eastAsia="方正仿宋_GBK"/>
                <w:sz w:val="24"/>
              </w:rPr>
              <w:t>60</w:t>
            </w:r>
          </w:p>
        </w:tc>
        <w:tc>
          <w:tcPr>
            <w:tcW w:w="3385" w:type="dxa"/>
            <w:noWrap w:val="0"/>
            <w:vAlign w:val="center"/>
          </w:tcPr>
          <w:p>
            <w:pPr>
              <w:spacing w:line="560" w:lineRule="exact"/>
              <w:rPr>
                <w:rFonts w:eastAsia="方正仿宋_GBK"/>
                <w:sz w:val="24"/>
              </w:rPr>
            </w:pPr>
            <w:r>
              <w:rPr>
                <w:rFonts w:eastAsia="方正仿宋_GBK"/>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8</w:t>
            </w:r>
          </w:p>
        </w:tc>
        <w:tc>
          <w:tcPr>
            <w:tcW w:w="2323" w:type="dxa"/>
            <w:noWrap w:val="0"/>
            <w:vAlign w:val="center"/>
          </w:tcPr>
          <w:p>
            <w:pPr>
              <w:spacing w:line="560" w:lineRule="exact"/>
              <w:rPr>
                <w:rFonts w:hint="eastAsia" w:eastAsia="方正仿宋_GBK"/>
                <w:sz w:val="24"/>
              </w:rPr>
            </w:pPr>
            <w:r>
              <w:rPr>
                <w:rFonts w:hint="eastAsia" w:eastAsia="方正仿宋_GBK"/>
                <w:sz w:val="24"/>
              </w:rPr>
              <w:t>混凝土挡土墙</w:t>
            </w:r>
          </w:p>
        </w:tc>
        <w:tc>
          <w:tcPr>
            <w:tcW w:w="1042" w:type="dxa"/>
            <w:noWrap w:val="0"/>
            <w:vAlign w:val="center"/>
          </w:tcPr>
          <w:p>
            <w:pPr>
              <w:spacing w:line="560" w:lineRule="exact"/>
              <w:jc w:val="center"/>
              <w:rPr>
                <w:rFonts w:eastAsia="方正仿宋_GBK"/>
                <w:sz w:val="24"/>
              </w:rPr>
            </w:pPr>
            <w:r>
              <w:rPr>
                <w:rFonts w:hint="eastAsia" w:eastAsia="方正仿宋_GBK"/>
                <w:sz w:val="24"/>
              </w:rPr>
              <w:t>M</w:t>
            </w:r>
          </w:p>
        </w:tc>
        <w:tc>
          <w:tcPr>
            <w:tcW w:w="1206" w:type="dxa"/>
            <w:noWrap w:val="0"/>
            <w:vAlign w:val="center"/>
          </w:tcPr>
          <w:p>
            <w:pPr>
              <w:spacing w:line="560" w:lineRule="exact"/>
              <w:jc w:val="center"/>
              <w:rPr>
                <w:rFonts w:eastAsia="方正仿宋_GBK"/>
                <w:sz w:val="24"/>
              </w:rPr>
            </w:pPr>
            <w:r>
              <w:rPr>
                <w:rFonts w:hint="eastAsia" w:eastAsia="方正仿宋_GBK"/>
                <w:sz w:val="24"/>
              </w:rPr>
              <w:t>330—380</w:t>
            </w:r>
          </w:p>
        </w:tc>
        <w:tc>
          <w:tcPr>
            <w:tcW w:w="3385" w:type="dxa"/>
            <w:noWrap w:val="0"/>
            <w:vAlign w:val="center"/>
          </w:tcPr>
          <w:p>
            <w:pPr>
              <w:spacing w:line="560" w:lineRule="exact"/>
              <w:rPr>
                <w:rFonts w:hint="eastAsia" w:eastAsia="方正仿宋_GBK"/>
                <w:sz w:val="24"/>
              </w:rPr>
            </w:pPr>
            <w:r>
              <w:rPr>
                <w:rFonts w:hint="eastAsia" w:eastAsia="方正仿宋_GBK"/>
                <w:sz w:val="24"/>
              </w:rPr>
              <w:t>在综合定额补偿费中列支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9</w:t>
            </w:r>
          </w:p>
        </w:tc>
        <w:tc>
          <w:tcPr>
            <w:tcW w:w="2323" w:type="dxa"/>
            <w:noWrap w:val="0"/>
            <w:vAlign w:val="center"/>
          </w:tcPr>
          <w:p>
            <w:pPr>
              <w:spacing w:line="560" w:lineRule="exact"/>
              <w:rPr>
                <w:rFonts w:hint="eastAsia" w:eastAsia="方正仿宋_GBK"/>
                <w:sz w:val="24"/>
              </w:rPr>
            </w:pPr>
            <w:r>
              <w:rPr>
                <w:rFonts w:hint="eastAsia" w:eastAsia="方正仿宋_GBK"/>
                <w:sz w:val="24"/>
              </w:rPr>
              <w:t>钢筋混凝土挡土墙</w:t>
            </w:r>
          </w:p>
        </w:tc>
        <w:tc>
          <w:tcPr>
            <w:tcW w:w="1042" w:type="dxa"/>
            <w:noWrap w:val="0"/>
            <w:vAlign w:val="center"/>
          </w:tcPr>
          <w:p>
            <w:pPr>
              <w:spacing w:line="560" w:lineRule="exact"/>
              <w:jc w:val="center"/>
              <w:rPr>
                <w:rFonts w:eastAsia="方正仿宋_GBK"/>
                <w:sz w:val="24"/>
              </w:rPr>
            </w:pPr>
            <w:r>
              <w:rPr>
                <w:rFonts w:hint="eastAsia" w:eastAsia="方正仿宋_GBK"/>
                <w:sz w:val="24"/>
              </w:rPr>
              <w:t>M</w:t>
            </w:r>
          </w:p>
        </w:tc>
        <w:tc>
          <w:tcPr>
            <w:tcW w:w="1206" w:type="dxa"/>
            <w:noWrap w:val="0"/>
            <w:vAlign w:val="center"/>
          </w:tcPr>
          <w:p>
            <w:pPr>
              <w:spacing w:line="560" w:lineRule="exact"/>
              <w:jc w:val="center"/>
              <w:rPr>
                <w:rFonts w:eastAsia="方正仿宋_GBK"/>
                <w:sz w:val="24"/>
              </w:rPr>
            </w:pPr>
            <w:r>
              <w:rPr>
                <w:rFonts w:hint="eastAsia" w:eastAsia="方正仿宋_GBK"/>
                <w:sz w:val="24"/>
              </w:rPr>
              <w:t>400—450</w:t>
            </w:r>
          </w:p>
        </w:tc>
        <w:tc>
          <w:tcPr>
            <w:tcW w:w="3385" w:type="dxa"/>
            <w:noWrap w:val="0"/>
            <w:vAlign w:val="center"/>
          </w:tcPr>
          <w:p>
            <w:pPr>
              <w:spacing w:line="560" w:lineRule="exact"/>
              <w:rPr>
                <w:rFonts w:eastAsia="方正仿宋_GBK"/>
                <w:sz w:val="24"/>
              </w:rPr>
            </w:pPr>
            <w:r>
              <w:rPr>
                <w:rFonts w:hint="eastAsia" w:eastAsia="方正仿宋_GBK"/>
                <w:sz w:val="24"/>
              </w:rPr>
              <w:t>在综合定额补偿费中列支</w:t>
            </w:r>
          </w:p>
        </w:tc>
      </w:tr>
    </w:tbl>
    <w:p>
      <w:pPr>
        <w:spacing w:line="440" w:lineRule="exact"/>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说明：室内构筑物一律不另作补偿。</w:t>
      </w:r>
    </w:p>
    <w:p>
      <w:pPr>
        <w:pStyle w:val="2"/>
        <w:rPr>
          <w:rFonts w:hint="eastAsia" w:ascii="方正黑体_GBK" w:hAnsi="方正黑体_GBK" w:eastAsia="方正黑体_GBK" w:cs="方正黑体_GBK"/>
          <w:sz w:val="32"/>
          <w:szCs w:val="32"/>
          <w:lang w:val="en-US" w:eastAsia="zh-CN"/>
        </w:rPr>
      </w:pPr>
    </w:p>
    <w:p>
      <w:pPr>
        <w:pStyle w:val="2"/>
        <w:rPr>
          <w:rFonts w:hint="default"/>
          <w:lang w:val="en-US" w:eastAsia="zh-CN"/>
        </w:rPr>
      </w:pPr>
    </w:p>
    <w:p>
      <w:pPr>
        <w:ind w:firstLine="0"/>
        <w:jc w:val="left"/>
        <w:rPr>
          <w:rFonts w:hint="eastAsia"/>
          <w:lang w:val="en-US" w:eastAsia="zh-CN"/>
        </w:rPr>
      </w:pPr>
    </w:p>
    <w:p>
      <w:pPr>
        <w:pStyle w:val="2"/>
        <w:rPr>
          <w:lang w:val="en-US" w:eastAsia="zh-CN"/>
        </w:rPr>
      </w:pPr>
    </w:p>
    <mc:AlternateContent>
      <mc:Choice Requires="wpsCustomData">
        <wpsCustomData:docfieldEnd id="0"/>
      </mc:Choice>
    </mc:AlternateContent>
    <w:p>
      <w:pPr>
        <w:pStyle w:val="2"/>
        <w:rPr>
          <w:lang w:val="en-US" w:eastAsia="zh-CN"/>
        </w:rPr>
      </w:pPr>
    </w:p>
    <w:sectPr>
      <w:headerReference r:id="rId5" w:type="default"/>
      <w:footerReference r:id="rId6" w:type="default"/>
      <w:footerReference r:id="rId7" w:type="even"/>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AFF" w:usb1="C0007843" w:usb2="00000009" w:usb3="00000000" w:csb0="400001FF" w:csb1="FFFF0000"/>
  </w:font>
  <w:font w:name="仿宋_GB2312">
    <w:altName w:val="方正仿宋_GBK"/>
    <w:panose1 w:val="02010609030101010101"/>
    <w:charset w:val="00"/>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ascii="宋体" w:hAnsi="宋体" w:eastAsia="宋体" w:cs="宋体"/>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ascii="宋体" w:hAnsi="宋体" w:eastAsia="宋体" w:cs="宋体"/>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w:pict>
        <v:shape id="_x0000_s2049" o:spid="_x0000_s2049" o:spt="202" type="#_x0000_t202" style="position:absolute;left:0pt;margin-top:-25.55pt;height:45.85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w:txbxContent>
              <w:p>
                <w:pPr>
                  <w:ind w:right="360" w:firstLine="360"/>
                  <w:jc w:val="right"/>
                  <w:rPr>
                    <w:sz w:val="28"/>
                  </w:rPr>
                </w:pPr>
                <w:r>
                  <w:rPr>
                    <w:rFonts w:hint="eastAsia"/>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rFonts w:hint="eastAsia"/>
                    <w:kern w:val="0"/>
                    <w:sz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60" w:firstLine="360"/>
      <w:jc w:val="right"/>
      <w:rPr>
        <w:sz w:val="28"/>
      </w:rPr>
    </w:pPr>
    <w:r>
      <w:rPr>
        <w:rStyle w:val="10"/>
        <w:rFonts w:hint="eastAsia"/>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rFonts w:hint="eastAsia"/>
        <w:kern w:val="0"/>
        <w:sz w:val="28"/>
      </w:rPr>
      <w:t xml:space="preserve"> —</w:t>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A7550"/>
    <w:multiLevelType w:val="singleLevel"/>
    <w:tmpl w:val="865A7550"/>
    <w:lvl w:ilvl="0" w:tentative="0">
      <w:start w:val="1"/>
      <w:numFmt w:val="decimal"/>
      <w:suff w:val="space"/>
      <w:lvlText w:val="%1."/>
      <w:lvlJc w:val="left"/>
    </w:lvl>
  </w:abstractNum>
  <w:abstractNum w:abstractNumId="1">
    <w:nsid w:val="9B99F46A"/>
    <w:multiLevelType w:val="singleLevel"/>
    <w:tmpl w:val="9B99F46A"/>
    <w:lvl w:ilvl="0" w:tentative="0">
      <w:start w:val="1"/>
      <w:numFmt w:val="decimal"/>
      <w:suff w:val="space"/>
      <w:lvlText w:val="%1."/>
      <w:lvlJc w:val="left"/>
    </w:lvl>
  </w:abstractNum>
  <w:abstractNum w:abstractNumId="2">
    <w:nsid w:val="0E472390"/>
    <w:multiLevelType w:val="singleLevel"/>
    <w:tmpl w:val="0E472390"/>
    <w:lvl w:ilvl="0" w:tentative="0">
      <w:start w:val="1"/>
      <w:numFmt w:val="chineseCounting"/>
      <w:suff w:val="nothing"/>
      <w:lvlText w:val="%1、"/>
      <w:lvlJc w:val="left"/>
      <w:rPr>
        <w:rFonts w:hint="eastAsia"/>
      </w:rPr>
    </w:lvl>
  </w:abstractNum>
  <w:abstractNum w:abstractNumId="3">
    <w:nsid w:val="20717430"/>
    <w:multiLevelType w:val="singleLevel"/>
    <w:tmpl w:val="20717430"/>
    <w:lvl w:ilvl="0" w:tentative="0">
      <w:start w:val="1"/>
      <w:numFmt w:val="decimal"/>
      <w:suff w:val="space"/>
      <w:lvlText w:val="%1."/>
      <w:lvlJc w:val="left"/>
    </w:lvl>
  </w:abstractNum>
  <w:abstractNum w:abstractNumId="4">
    <w:nsid w:val="28212F8A"/>
    <w:multiLevelType w:val="singleLevel"/>
    <w:tmpl w:val="28212F8A"/>
    <w:lvl w:ilvl="0" w:tentative="0">
      <w:start w:val="5"/>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BE3564E1"/>
    <w:rsid w:val="2F73F8CD"/>
    <w:rsid w:val="3EFF136F"/>
    <w:rsid w:val="709C6675"/>
    <w:rsid w:val="7BDB5351"/>
    <w:rsid w:val="7BFFB058"/>
    <w:rsid w:val="7D3F216C"/>
    <w:rsid w:val="7DFE86EB"/>
    <w:rsid w:val="7FEDB034"/>
    <w:rsid w:val="7FF3D5EE"/>
    <w:rsid w:val="86B7498A"/>
    <w:rsid w:val="BE3564E1"/>
    <w:rsid w:val="D4734D39"/>
    <w:rsid w:val="DDFB0CE3"/>
    <w:rsid w:val="E7FFCBE1"/>
    <w:rsid w:val="EDF86D9A"/>
    <w:rsid w:val="F9E5A34D"/>
    <w:rsid w:val="FEFF5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Style w:val="7"/>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next w:val="1"/>
    <w:qFormat/>
    <w:uiPriority w:val="1"/>
    <w:pPr>
      <w:ind w:left="100" w:firstLine="559"/>
      <w:jc w:val="left"/>
    </w:pPr>
    <w:rPr>
      <w:rFonts w:ascii="宋体" w:hAnsi="宋体" w:eastAsia="宋体"/>
      <w:kern w:val="0"/>
      <w:sz w:val="28"/>
      <w:szCs w:val="28"/>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ascii="Times New Roman" w:hAnsi="Times New Roman"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2">
    <w:name w:val="_Style 6"/>
    <w:basedOn w:val="1"/>
    <w:qFormat/>
    <w:uiPriority w:val="0"/>
    <w:rPr>
      <w:rFonts w:ascii="Arial" w:hAnsi="Arial" w:eastAsia="仿宋_GB2312"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769</Words>
  <Characters>805</Characters>
  <Lines>27</Lines>
  <Paragraphs>7</Paragraphs>
  <TotalTime>1</TotalTime>
  <ScaleCrop>false</ScaleCrop>
  <LinksUpToDate>false</LinksUpToDate>
  <CharactersWithSpaces>840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guest</cp:lastModifiedBy>
  <cp:lastPrinted>2025-03-10T09:55:00Z</cp:lastPrinted>
  <dcterms:modified xsi:type="dcterms:W3CDTF">2025-03-12T09:44:59Z</dcterms:modified>
  <dc:title>重庆市綦江区人民政府</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98BB3B98F4B042B19B58F04B0E1484E8</vt:lpwstr>
  </property>
</Properties>
</file>