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632" w:afterAutospacing="0" w:line="450" w:lineRule="atLeast"/>
        <w:ind w:left="0" w:right="0" w:firstLine="3150" w:firstLineChars="1500"/>
        <w:rPr>
          <w:rFonts w:ascii="微软雅黑" w:hAnsi="微软雅黑" w:eastAsia="微软雅黑" w:cs="微软雅黑"/>
          <w:color w:val="333333"/>
          <w:sz w:val="24"/>
          <w:szCs w:val="24"/>
          <w:shd w:val="clear" w:fill="FFFFFF"/>
        </w:rPr>
      </w:pPr>
      <w:r>
        <w:rPr>
          <w:rFonts w:ascii="微软雅黑" w:hAnsi="微软雅黑" w:eastAsia="微软雅黑" w:cs="微软雅黑"/>
          <w:i w:val="0"/>
          <w:iCs w:val="0"/>
          <w:caps w:val="0"/>
          <w:color w:val="171A1D"/>
          <w:spacing w:val="0"/>
          <w:sz w:val="21"/>
          <w:szCs w:val="21"/>
          <w:shd w:val="clear" w:fill="C9E7FF"/>
        </w:rPr>
        <w:t>渝农发〔2024〕145号</w:t>
      </w:r>
    </w:p>
    <w:p>
      <w:pPr>
        <w:pStyle w:val="46"/>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ascii="微软雅黑" w:hAnsi="微软雅黑" w:eastAsia="微软雅黑" w:cs="微软雅黑"/>
          <w:b/>
          <w:bCs/>
          <w:kern w:val="0"/>
          <w:sz w:val="45"/>
          <w:szCs w:val="45"/>
          <w:shd w:val="clear" w:fill="FFFFFF"/>
          <w:lang w:val="en-US" w:eastAsia="zh-CN" w:bidi="ar"/>
        </w:rPr>
      </w:pPr>
      <w:r>
        <w:rPr>
          <w:rFonts w:ascii="微软雅黑" w:hAnsi="微软雅黑" w:eastAsia="微软雅黑" w:cs="微软雅黑"/>
          <w:b/>
          <w:bCs/>
          <w:kern w:val="0"/>
          <w:sz w:val="45"/>
          <w:szCs w:val="45"/>
          <w:shd w:val="clear" w:fill="FFFFFF"/>
          <w:lang w:val="en-US" w:eastAsia="zh-CN" w:bidi="ar"/>
        </w:rPr>
        <w:t>重庆市农业农村委员会重庆市财政局</w:t>
      </w:r>
    </w:p>
    <w:p>
      <w:pPr>
        <w:pStyle w:val="46"/>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pPr>
      <w:r>
        <w:rPr>
          <w:rFonts w:ascii="微软雅黑" w:hAnsi="微软雅黑" w:eastAsia="微软雅黑" w:cs="微软雅黑"/>
          <w:b/>
          <w:bCs/>
          <w:kern w:val="0"/>
          <w:sz w:val="45"/>
          <w:szCs w:val="45"/>
          <w:shd w:val="clear" w:fill="FFFFFF"/>
          <w:lang w:val="en-US" w:eastAsia="zh-CN" w:bidi="ar"/>
        </w:rPr>
        <w:t>关于印发重庆市2024—2026年农机购置与应用补贴实施方案的通知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ascii="微软雅黑" w:hAnsi="微软雅黑" w:eastAsia="微软雅黑" w:cs="微软雅黑"/>
          <w:color w:val="333333"/>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仿宋_GB2312" w:hAnsi="仿宋_GB2312" w:eastAsia="仿宋_GB2312" w:cs="仿宋_GB2312"/>
        </w:rPr>
      </w:pPr>
      <w:bookmarkStart w:id="0" w:name="_GoBack"/>
      <w:r>
        <w:rPr>
          <w:rFonts w:hint="eastAsia" w:ascii="仿宋_GB2312" w:hAnsi="仿宋_GB2312" w:eastAsia="仿宋_GB2312" w:cs="仿宋_GB2312"/>
          <w:color w:val="333333"/>
          <w:sz w:val="24"/>
          <w:szCs w:val="24"/>
          <w:shd w:val="clear" w:fill="FFFFFF"/>
        </w:rPr>
        <w:t>各区县（自治县）农业农村委、财政局，重庆高新区改革发展局、财政局，万盛经开区农业农村局、财政局：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根据农业部办公厅、财政部办公厅《关于印发2024—2026年农机购置与应用补贴实施意见的通知》（农办机〔2024〕3号）精神，我们结合实际制定了《重庆市2024—2026年农机购置与应用补贴实施方案》，现印发给你们，请遵照执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本通知自印发之日起实施。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重庆市农业农村委员会      重庆市财政局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2024年10月16日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br w:type="page"/>
      </w: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jc w:val="center"/>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重庆市2024—2026年农机购置与应用补贴实施方案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为认真落实国家农机购置与应用补贴政策，助推我市农业机械化高质量发展，现根据农业农村部办公厅、财政部办公厅《关于印发2024—2026年农机购置与应用补贴实施意见的通知》要求，结合我市实际，制定本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一、总体要求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以及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二、补贴范围和补贴机具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（一）常规机具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从中央财政资金全国农机购置与应用补贴机具种类范围（25大类55个小类155个品目，以下简称“全国补贴范围”）中选取21个大类45个小类123个品目作为我市补贴机具种类范围（详见附件）。补贴机具种类范围可按年度根据实际情况在全国补贴范围内增减。继续开展农用无人驾驶航空器购置补贴工作，具体方案另行制定，方案出台前仍按现行政策执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常规机具必须是我市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（二）农机创新产品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1.专项鉴定产品。可根据我市农业生产和农机装备补短板需要，按照《农机专项鉴定产品购置补贴实施工作规范（试行）》有关要求，通过征集建议、专家评议、审定公示、发布实施等程序，将符合条件的产品列入补贴范围（具体安排另行通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2.农机新产品。继续实施中央财政农机新产品购置补贴试点，按照《农机新产品购置补贴试点工作指引》要求，将符合条件的创新产品列入农机新产品补贴范围，积极争取将暂不能开展农机试验鉴定的新型农机产品和不适宜鉴定的成套设施装备列入农机新产品补贴范围（具体安排另行通知）。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创新产品补贴品目实行总量控制，年度总数量不超过10个（由农业农村部、财政部共同确认的保障粮食和重要农产品稳定安全供给重大战略需要、农业生产急需的农机创新产品不占用该指标），按年度进行调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除上述机具外，可根据需要，将我市特色农业发展所需和小区域适用性强的机具列入市级资金的补贴范围，补贴额测算比例不得超过35%，具体补贴机具品目和补贴标准另行制定。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三、补贴对象和补贴标准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（一）补贴对象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补贴对象为从事农业生产的农民和农业生产经营组织（以下简称“购机者”），其中农业生产经营组织包括农村集体经济组织、农民专业合作经济组织、农业企业和其他从事农业生产经营服务的组织。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（二）补贴标准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中央财政农机购置与应用补贴实行定额补贴，补贴标准由市农业农村委按相关规定测算确定后另行发布。我市原则上按照同类同档产品上年市场销售均价的30%测算确定补贴额标准。围绕农业生产急需适用、重点短板机具的推广应用，可选择部分产品提高补贴额测算比例至35%。对我市保有量明显过多、技术相对落后的机具品目或档次降低补贴标准，补贴额测算比例不超过20%，并逐步退出补贴范围。结合防灾减灾农机储备和调用制度，在严格控制资金总量的前提下，对我市严重不足、生产急需的移动式烘干机、履带式拖拉机、履带式收获机，补贴额测算比例可提高至40%，机具需纳入全国农机作业指挥调度平台统一管理，具体方案另行发布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区县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四、资金分配和使用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购置与应用补贴中央资金主要用于支持购置使用先进适用的农业机械，以及开展有关试点和农机报废更新等，农机购置与应用补贴中央资金必须足额保障，不得挤占、截留、挪用或用于其他支出。各区县因保障粮食和重要农产品稳定安全供给重大战略需要、农业生产急需适用等情况，需实施累加补贴的，须由区县农业农村部门、财政部门报市农业农村委、市财政局备案同意后再行实施，未按程序报备自行实施的，将扣减下一年度购机补贴资金预算。市财政局会同市农业农村委加强资金使用情况监测，定期调度和通报各区县资金使用进度，督促相关区县优先使用结转资金，督促预算执行较慢区县加快使用，并按需组织开展县际余缺调剂，及时将实施进度低于序时进度区县的补贴资金调增给需求较大的区县，确保不发生资金大量结转，促进资金使用实现两年动态紧平衡。对于发生严重违法违规行为并造成不良影响的区县以及预算执行进度严重滞后的区县，扣减下一年度补贴资金预算。我市按照履行法定支出责任要求，按照相关规定足额安排农机购置与应用补贴市级资金，保障补贴资金需求；中央和市级财政安排资金要优先用于以往年度已录入但尚未兑付及当年已购机的补贴申请，并通过农机购置与应用补贴申请办理服务系统（以下简称“办理服务系统”）予以体现，相关工作开展情况纳入责任制考核。市、区县两级财政部门要保障补贴工作实施必要的组织管理经费，包括政策实施绩效考核、机具核验、信息化建设、第三方抽查核验等工作经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五、操作实施流程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农机购置与应用补贴政策实行“自主购机、定额补贴、先购后补，区县结算、直补到卡（户）”。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补贴资金申请与受理。购机行为完成后，购机者自愿到户籍所在地、农业生产经营组织注册登记地的乡镇（街道）农业农村部门提出补贴资金申领事项。购机者跨地区稳定从事农业生产经营的，也可在经营所在地的乡镇（街道）农业农村部门提出补贴资金申领事项。申请时签署告知承诺书，承诺购买行为、发票购机价格等信息真实有效，按相关规定申办补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乡镇（街道）农业农村部门在收到购机者完成签字确认的补贴申请后，应于2个工作日内作出是否受理的决定，对因资料不齐全等原因无法受理的，应注明原因，按原渠道退回申请，并告知购机者，做好咨询答疑。各区县可结合实际，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区县补贴资金申请数量达到或超过当年可用资金（含结转资金、调剂资金）时，购机者提交的补贴申请可继续录入进行预登记，但应及时告知购机者有关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三）机具核验。根据《重庆市农业农村委员会关于进一步做好农机购置补贴机具核验工作的通知》开展机具核验工作，鼓励探索多种核验方式，提高补贴机具核验水平。结合我市实际，将“三合一”机具完成规定作业面积或作业量作为机具核验的前提条件，并探索打造农机管理干部、农机技术人员、第三方机构、有经验有意愿的农机使用一线“土专家”和农机手参加的核验队伍，切实强化核验工作人力资源保障。对高风险及补贴额超过3000元的机具，应逐台核验；对安装类、设施类或安全风险较高类补贴机具，以及当地初次出现的高补贴额机具，在安装完成且生产应用一段时间后进行现场核验和补贴兑付；对其他机具，各区县结合实际，确定抽查核验比例。对丘陵山区所用的量大面广的小型机具，可结合实际制定实施便利化可监测的核验方法；对成套设施装备，农业农村部门、财政部门可组织符合条件的第三方开展核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四）审验公示信息。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乡镇（街道）农业农村部门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五）兑付补贴资金。区县农业农村部门在公示完成后5个工作日内，向区县财政部门提交资金兑付申请与有关材料，区县财政部门于15个工作日内通过“一卡通”向符合要求的购机者兑付补贴资金。农业农村部门和财政部门应在申请录入后共计40个工作日内完成受理、核验、公示和补贴资金兑付。严禁挤占挪用农机购置与应用补贴资金。区县财政部门因资金不足或违法违规处理等原因需要延期兑付的，应会同农业农村部门做细政策解读，告知并稳定购机者预期，同时联合向上报告资金供需情况。各区县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会同财政局，根据我市农业生产需求，可指定有关品目（或档次）优先录入、优先兑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六）组织抽查。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5"/>
          <w:rFonts w:hint="eastAsia" w:ascii="仿宋_GB2312" w:hAnsi="仿宋_GB2312" w:eastAsia="仿宋_GB2312" w:cs="仿宋_GB2312"/>
          <w:color w:val="333333"/>
          <w:sz w:val="24"/>
          <w:szCs w:val="24"/>
          <w:shd w:val="clear" w:fill="FFFFFF"/>
        </w:rPr>
        <w:t>六、实施要求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加强领导，明确分工。各区县农业农村、财政部门要建立健全政府领导下的联合实施和监管机制，切实加强组织协调，密切沟通配合，健全完善风险防控制度和内部控制规程，稳定相关补贴岗位工作人员，明确职责分工，形成工作合力。要组织开展业务培训和廉政警示教育，提高补贴工作人员业务素质和风险防控能力意识。深入落实区县及以下农业农村部门组织实施、审核监管责任和财政部门资金兑付、资金监管责任。要加强绩效管理，形成管理闭环，切实提升政策实施管理工作能力水平。</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创新鉴定，强化支撑。市农业农村委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市鉴定能力不足时，可委托外省有鉴定能力的机构鉴定，并组织相关鉴定机构和农业农村部门及农机推广机构开展全流程监管。用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市销售使用的补贴机具进行抽查核验，发现问题的要及时调查处理，同时采取封闭措施，商财政部门后，暂停受理相关产品的补贴申请，并将相关情况发送有关鉴定（认证）机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三）优化服务，提升效能。优化简化资金兑付流程，增加结算批次，推进补贴全流程线上办理，探索建立加快补贴资金兑付的新机制，提高补贴办理便利性，确保及时兑付。依托办理服务系统动态分析基层农业农村和财政部门办理补贴申请具体时限，及时预警和定期通报超时办理行为，督促各区县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（四）公开信息，接受监督。各级农业农村部门要根据财政部等5部门《关于进一步健全完善惠农补贴管理长效机制的指导意见》（财办〔2024〕21号）和重庆市财政局等 12 部门《关于做好惠民惠农财政补贴信息公开工作的通知》（渝财农〔2023〕9 号）要求加大补贴政策宣传和公开力度，综合运用各类媒体，采取多种宣传方式进行大力宣传，利用农机购置与应用补贴信息公开专栏、乡镇公开栏、村务公开栏等载体，将补贴依据文件、补贴政策清单、补贴申报指南、补贴申报和发放信息、咨询投诉渠道等内容公开到村级。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五）加强监管，严惩违规。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县（自治县、区）、乡（镇、街）三级监管机制，加强风险防控和异常情形主动报告，更加严格实施信用管理和农机产销企业承诺制。区县财政部门和农业农村部门要加强补贴资金监管，提高财政补贴资金绩效水平，对于以往年度结转结余较大，兑现补贴进度偏慢的区县，市财政局和市农业农村委将在当年及时收回资金并重新分配。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各区县在每年12月15日前，将全年农机购置补贴政策实施总结报告报送市农业农村委、市财政局。</w:t>
      </w:r>
    </w:p>
    <w:bookmarkEnd w:id="0"/>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有关联系电话：</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政策咨询：023-12316、89133208（市农业农村委）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023-67909982（市农机总站）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补贴系统：023-67909982（市农机总站）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产品投档：023-67909980（市农机总站）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质量投诉：023-49876370（市农机产品质量投诉监督站）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投诉举报：023-89133208（市农业农村委）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023-67909950（市农机总站）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材料报送：023-89133208（市农业农村委）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023-67172697（市财政局）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rPr>
          <w:rFonts w:ascii="微软雅黑" w:hAnsi="微软雅黑" w:eastAsia="微软雅黑" w:cs="微软雅黑"/>
          <w:color w:val="333333"/>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ascii="微软雅黑" w:hAnsi="微软雅黑" w:eastAsia="微软雅黑" w:cs="微软雅黑"/>
          <w:color w:val="333333"/>
          <w:sz w:val="24"/>
          <w:szCs w:val="24"/>
          <w:shd w:val="clear" w:fill="FFFFFF"/>
        </w:rPr>
        <w:t>附件：1.重庆市2024-2026年农机购置补贴机具种类</w:t>
      </w:r>
      <w:r>
        <w:rPr>
          <w:rFonts w:hint="eastAsia" w:ascii="微软雅黑" w:hAnsi="微软雅黑" w:eastAsia="微软雅黑" w:cs="微软雅黑"/>
          <w:color w:val="333333"/>
          <w:sz w:val="24"/>
          <w:szCs w:val="24"/>
          <w:shd w:val="clear" w:fill="FFFFFF"/>
        </w:rPr>
        <w:t>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      2.重庆市农机购置与应用补贴办理流程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r>
        <w:rPr>
          <w:rFonts w:hint="eastAsia" w:ascii="微软雅黑" w:hAnsi="微软雅黑" w:eastAsia="微软雅黑" w:cs="微软雅黑"/>
          <w:color w:val="333333"/>
          <w:sz w:val="24"/>
          <w:szCs w:val="24"/>
          <w:shd w:val="clear" w:fill="FFFFFF"/>
        </w:rPr>
        <w:br w:type="page"/>
      </w: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color w:val="333333"/>
          <w:sz w:val="24"/>
          <w:szCs w:val="24"/>
          <w:shd w:val="clear" w:fill="FFFFFF"/>
        </w:rPr>
        <w:t>附件1  重庆市2024-2026年农机购置与应用补贴机具种类范围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jc w:val="center"/>
        <w:textAlignment w:val="auto"/>
      </w:pPr>
      <w:r>
        <w:rPr>
          <w:rFonts w:hint="eastAsia" w:ascii="微软雅黑" w:hAnsi="微软雅黑" w:eastAsia="微软雅黑" w:cs="微软雅黑"/>
          <w:color w:val="333333"/>
          <w:sz w:val="24"/>
          <w:szCs w:val="24"/>
          <w:shd w:val="clear" w:fill="FFFFFF"/>
        </w:rPr>
        <w:t>（21个大类45个小类123个品目）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r>
        <w:rPr>
          <w:rFonts w:hint="eastAsia" w:ascii="微软雅黑" w:hAnsi="微软雅黑" w:eastAsia="微软雅黑" w:cs="微软雅黑"/>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1.耕整地机械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1.1耕地机械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1.1.2旋耕机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1.1.3微型耕耘机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1.1.4耕整机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1.1.5深松机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1.1.6开沟机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1.1.7挖坑（成穴）机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1.1.8机耕（滚）船（新增）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1.2整地机械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1.2.1耙（限圆盘耙）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1.2.2埋茬起浆机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1.2.3起垄机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1.2.4筑埂机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1.2.5灭茬机（不含平茬机、宿根整理机）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1.2.6铺膜机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1.3耕整地联合作业机械（可含施肥功能）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1.3.1联合整地机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1.3.2深松整地联合作业机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2.种植施肥机械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2.1种子播前处理和育苗机械设备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2.1.1种子催芽机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2.1.2苗床用土粉碎机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2.1.3育秧（苗）播种设备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2.1.4营养钵压制机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2.2播种机械（可含施肥功能）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2.2.1条播机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2.2.2穴播机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2.2.3单粒（精密）播种机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2.2.4根（块）茎种子播种机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2.3耕整地播种作业机械（可含施肥功能）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2.3.1旋耕播种机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2.3.2铺膜（带）播种机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2.3.3秸秆还田整地播种机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2.4栽植机械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2.4.1插秧机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2.4.2抛秧机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2.4.3移栽机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2.5施肥机械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2.5.1施肥机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2.5.2撒（抛）肥机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2.5.3侧深施肥装置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3.田间管理机械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3.1中耕机械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3.1.1中耕机（新增）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3.1.2田园管理机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3.1.3割草机（含果园无人割草机）（全国新增）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3.2植保机械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3.2.1喷雾机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3.2.2植保无人驾驶航空器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3.3修剪防护管理机械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3.3.1修剪机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3.3.2枝条切碎机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3.3.3农用升降作业平台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4.灌溉机械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4.1喷灌机械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4.1.1喷灌机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4.2微灌设备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4.2.1微喷灌设备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4.2.2灌溉首部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5.收获机械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5.1粮食作物收获机械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5.1.1割晒机（新增）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5.1.2谷物联合收割机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5.1.3玉米收获机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5.1.4薯类收获机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5.2油料作物收获机械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5.2.1大豆收获机（全国新增）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5.2.2油菜籽收获机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5.3果菜茶烟草药收获机械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5.3.1叶类采收机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5.3.2根（茎）类收获机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5.4秸秆收集处理机械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5.4.1秸秆粉碎还田机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5.5收获割台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5.5.1大豆收获专用割台（全国新增）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5.5.2玉米收获专用割台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6.设施种植机械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6.1食用菌生产设备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6.1.1菌料灭菌设备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6.1.2菌料装瓶（袋）机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7.田间监测及作业监控设备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7.1田间作业监控设备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7.1.1辅助驾驶（系统）设备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8.种植业废弃物处理设备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8.1农田废弃物收集设备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8.1.1残膜回收机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8.2农作物废弃物处理设备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8.2.1生物质气化设备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8.2.2秸秆压块（粒、棒）机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9.饲料（草）收获加工运输设备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9.1饲料（草）收获机械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9.1.1割草（压扁）机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9.1.2打（压）捆机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9.1.3草捆包膜机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9.1.4青（黄）饲料收获机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9.1.5打捆包膜机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9.2饲料（草）加工机械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9.2.1铡草机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9.2.2青贮切碎机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9.2.3饲料（草）粉碎机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9.2.4颗粒饲料压制机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9.2.5饲料混合机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9.2.6饲料膨化机（新增）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9.2.7全混合日粮制备机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10.畜禽养殖机械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10.1畜禽养殖成套设备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10.1.1蜜蜂养殖设备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10.2畜禽养殖消杀防疫机械（全国新增）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10.2.1药浴机（全国新增）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10.3畜禽繁育设备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10.3.1孵化机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10.4饲养设备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10.4.1喂（送）料机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11.畜禽产品采集储运设备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11.1畜禽产品采集设备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11.1.1挤奶机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11.1.2生鲜乳速冷设备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11.1.3散装乳冷藏罐</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11.2畜禽产品储运设备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11.2.1储奶罐</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12.畜禽养殖废弃物及病死畜禽处理设备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12.1畜禽粪污资源化利用设备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12.1.1清粪机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12.1.2畜禽粪污固液分离机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12.1.3畜禽粪便发酵处理设备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12.1.4畜禽粪便干燥设备（新增）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12.1.5畜禽粪便翻堆设备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12.1.6沼液沼渣抽排设备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12.2病死畜禽储运及处理设备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12.2.1病死畜禽处理设备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13.水产养殖机械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13.1投饲机械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13.1.1投（饲）饵机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13.2水质调控设备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13.2.1增氧机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13.2.2水质调控监控设备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14.种子初加工机械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14.1种子初加工机械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14.1.1种子清选机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14.1.2种子包衣机（全国新增）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15.粮油糖初加工机械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15.1粮食初加工机械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15.1.1粮食清选机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15.1.2谷物（粮食）干燥机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15.1.3碾米机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15.1.4粮食色选机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15.1.5磨粉机（新增）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15.1.6磨浆机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15.2油料初加工机械（新增）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15.2.1油菜籽干燥机（新增）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16.果菜茶初加工机械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16.1果蔬初加工机械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16.1.1果蔬分级机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16.1.2果蔬清洗机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16.1.3水果打蜡机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16.1.4果蔬干燥机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16.1.5果蔬冷藏保鲜设备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16.2茶叶初加工机械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16.2.1茶叶做青机（全国新增）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16.2.2茶叶杀青机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16.2.3茶叶揉捻机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16.2.4茶叶压扁机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16.2.5茶叶理条机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16.2.6茶叶炒（烘）干机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16.2.7茶叶清选机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16.2.8茶叶色选机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16.2.9茶叶输送机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17.农用动力机械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17.1.1轮式拖拉机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17.1.2履带式拖拉机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18.农用搬运机械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18.1农用运输机械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18.1.1田间搬运机（全国新增）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18.1.2轨道运输机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19.农用水泵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19.1农用水泵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19.1.1地面泵（机组）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20.设施环境控制设备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20.1设施环境控制设备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20.1.1加温设备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20.1.2湿帘降温设备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5"/>
          <w:rFonts w:hint="eastAsia" w:ascii="微软雅黑" w:hAnsi="微软雅黑" w:eastAsia="微软雅黑" w:cs="微软雅黑"/>
          <w:color w:val="333333"/>
          <w:sz w:val="24"/>
          <w:szCs w:val="24"/>
          <w:shd w:val="clear" w:fill="FFFFFF"/>
        </w:rPr>
        <w:t>21.农田基本建设机械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21.1平地机械（限与拖拉机配套）</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21.1.1平地机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21.2清理机械（全国新增）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21.2.1捡（清）石机（全国新增）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jc w:val="left"/>
        <w:textAlignment w:val="auto"/>
      </w:pPr>
      <w:r>
        <w:rPr>
          <w:rFonts w:ascii="方正黑体_GBK" w:hAnsi="方正黑体_GBK" w:eastAsia="方正黑体_GBK" w:cs="方正黑体_GBK"/>
          <w:color w:val="333333"/>
          <w:sz w:val="31"/>
          <w:szCs w:val="31"/>
          <w:shd w:val="clear" w:fill="FFFFFF"/>
        </w:rPr>
        <w:t>附件</w:t>
      </w:r>
      <w:r>
        <w:rPr>
          <w:rFonts w:hint="eastAsia" w:ascii="微软雅黑" w:hAnsi="微软雅黑" w:eastAsia="微软雅黑" w:cs="微软雅黑"/>
          <w:color w:val="333333"/>
          <w:sz w:val="31"/>
          <w:szCs w:val="31"/>
          <w:shd w:val="clear" w:fill="FFFFFF"/>
        </w:rPr>
        <w:t>2</w:t>
      </w:r>
    </w:p>
    <w:p>
      <w:pPr>
        <w:pStyle w:val="2"/>
        <w:keepNext w:val="0"/>
        <w:keepLines w:val="0"/>
        <w:widowControl/>
        <w:suppressLineNumbers w:val="0"/>
        <w:spacing w:before="0" w:beforeAutospacing="0" w:after="632" w:afterAutospacing="0" w:line="600" w:lineRule="atLeast"/>
        <w:ind w:left="0" w:right="0"/>
        <w:jc w:val="center"/>
      </w:pPr>
      <w:r>
        <w:rPr>
          <w:rFonts w:ascii="方正小标宋_GBK" w:hAnsi="方正小标宋_GBK" w:eastAsia="方正小标宋_GBK" w:cs="方正小标宋_GBK"/>
          <w:color w:val="333333"/>
          <w:sz w:val="43"/>
          <w:szCs w:val="43"/>
          <w:shd w:val="clear" w:fill="FFFFFF"/>
        </w:rPr>
        <w:t>重庆市农机购置与应用补贴办理流程</w:t>
      </w:r>
    </w:p>
    <w:p>
      <w:pPr>
        <w:pStyle w:val="2"/>
        <w:keepNext w:val="0"/>
        <w:keepLines w:val="0"/>
        <w:widowControl/>
        <w:suppressLineNumbers w:val="0"/>
        <w:spacing w:before="0" w:beforeAutospacing="0" w:after="632" w:afterAutospacing="0" w:line="450" w:lineRule="atLeast"/>
        <w:ind w:left="0" w:right="0"/>
        <w:jc w:val="center"/>
      </w:pPr>
      <w:r>
        <w:rPr>
          <w:rFonts w:hint="eastAsia" w:ascii="微软雅黑" w:hAnsi="微软雅黑" w:eastAsia="微软雅黑" w:cs="微软雅黑"/>
          <w:color w:val="333333"/>
          <w:sz w:val="24"/>
          <w:szCs w:val="24"/>
          <w:shd w:val="clear" w:fill="FFFFFF"/>
        </w:rPr>
        <w:drawing>
          <wp:inline distT="0" distB="0" distL="114300" distR="114300">
            <wp:extent cx="5715000" cy="7077075"/>
            <wp:effectExtent l="0" t="0" r="0" b="9525"/>
            <wp:docPr id="1"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png"/>
                    <pic:cNvPicPr>
                      <a:picLocks noChangeAspect="1"/>
                    </pic:cNvPicPr>
                  </pic:nvPicPr>
                  <pic:blipFill>
                    <a:blip r:embed="rId6"/>
                    <a:stretch>
                      <a:fillRect/>
                    </a:stretch>
                  </pic:blipFill>
                  <pic:spPr>
                    <a:xfrm>
                      <a:off x="0" y="0"/>
                      <a:ext cx="5715000" cy="70770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5E354C2B"/>
    <w:rsid w:val="6A883F89"/>
    <w:rsid w:val="73B7BB1D"/>
    <w:rsid w:val="76DFC76B"/>
    <w:rsid w:val="FDDF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rPr>
  </w:style>
  <w:style w:type="character" w:styleId="6">
    <w:name w:val="FollowedHyperlink"/>
    <w:basedOn w:val="4"/>
    <w:semiHidden/>
    <w:unhideWhenUsed/>
    <w:qFormat/>
    <w:uiPriority w:val="99"/>
    <w:rPr>
      <w:color w:val="333333"/>
      <w:u w:val="none"/>
    </w:rPr>
  </w:style>
  <w:style w:type="character" w:styleId="7">
    <w:name w:val="Hyperlink"/>
    <w:basedOn w:val="4"/>
    <w:semiHidden/>
    <w:unhideWhenUsed/>
    <w:qFormat/>
    <w:uiPriority w:val="99"/>
    <w:rPr>
      <w:color w:val="333333"/>
      <w:u w:val="none"/>
    </w:rPr>
  </w:style>
  <w:style w:type="character" w:customStyle="1" w:styleId="8">
    <w:name w:val="yjr"/>
    <w:basedOn w:val="4"/>
    <w:qFormat/>
    <w:uiPriority w:val="0"/>
  </w:style>
  <w:style w:type="character" w:customStyle="1" w:styleId="9">
    <w:name w:val="red"/>
    <w:basedOn w:val="4"/>
    <w:qFormat/>
    <w:uiPriority w:val="0"/>
    <w:rPr>
      <w:color w:val="E1211F"/>
    </w:rPr>
  </w:style>
  <w:style w:type="character" w:customStyle="1" w:styleId="10">
    <w:name w:val="red1"/>
    <w:basedOn w:val="4"/>
    <w:qFormat/>
    <w:uiPriority w:val="0"/>
    <w:rPr>
      <w:color w:val="E1211F"/>
    </w:rPr>
  </w:style>
  <w:style w:type="character" w:customStyle="1" w:styleId="11">
    <w:name w:val="red2"/>
    <w:basedOn w:val="4"/>
    <w:qFormat/>
    <w:uiPriority w:val="0"/>
    <w:rPr>
      <w:color w:val="E1211F"/>
    </w:rPr>
  </w:style>
  <w:style w:type="character" w:customStyle="1" w:styleId="12">
    <w:name w:val="red3"/>
    <w:basedOn w:val="4"/>
    <w:qFormat/>
    <w:uiPriority w:val="0"/>
    <w:rPr>
      <w:color w:val="E33938"/>
      <w:u w:val="single"/>
    </w:rPr>
  </w:style>
  <w:style w:type="character" w:customStyle="1" w:styleId="13">
    <w:name w:val="red4"/>
    <w:basedOn w:val="4"/>
    <w:qFormat/>
    <w:uiPriority w:val="0"/>
    <w:rPr>
      <w:color w:val="E1211F"/>
      <w:u w:val="single"/>
    </w:rPr>
  </w:style>
  <w:style w:type="character" w:customStyle="1" w:styleId="14">
    <w:name w:val="red5"/>
    <w:basedOn w:val="4"/>
    <w:qFormat/>
    <w:uiPriority w:val="0"/>
    <w:rPr>
      <w:color w:val="E1211F"/>
    </w:rPr>
  </w:style>
  <w:style w:type="character" w:customStyle="1" w:styleId="15">
    <w:name w:val="yjl"/>
    <w:basedOn w:val="4"/>
    <w:qFormat/>
    <w:uiPriority w:val="0"/>
    <w:rPr>
      <w:color w:val="999999"/>
    </w:rPr>
  </w:style>
  <w:style w:type="character" w:customStyle="1" w:styleId="16">
    <w:name w:val="yj-blue"/>
    <w:basedOn w:val="4"/>
    <w:qFormat/>
    <w:uiPriority w:val="0"/>
    <w:rPr>
      <w:b/>
      <w:bCs/>
      <w:color w:val="FFFFFF"/>
      <w:sz w:val="21"/>
      <w:szCs w:val="21"/>
      <w:shd w:val="clear" w:fill="1E84CB"/>
    </w:rPr>
  </w:style>
  <w:style w:type="character" w:customStyle="1" w:styleId="17">
    <w:name w:val="yj-time"/>
    <w:basedOn w:val="4"/>
    <w:qFormat/>
    <w:uiPriority w:val="0"/>
    <w:rPr>
      <w:color w:val="AAAAAA"/>
      <w:sz w:val="18"/>
      <w:szCs w:val="18"/>
    </w:rPr>
  </w:style>
  <w:style w:type="character" w:customStyle="1" w:styleId="18">
    <w:name w:val="yj-time1"/>
    <w:basedOn w:val="4"/>
    <w:qFormat/>
    <w:uiPriority w:val="0"/>
    <w:rPr>
      <w:color w:val="AAAAAA"/>
      <w:sz w:val="18"/>
      <w:szCs w:val="18"/>
    </w:rPr>
  </w:style>
  <w:style w:type="character" w:customStyle="1" w:styleId="19">
    <w:name w:val="w100"/>
    <w:basedOn w:val="4"/>
    <w:qFormat/>
    <w:uiPriority w:val="0"/>
  </w:style>
  <w:style w:type="character" w:customStyle="1" w:styleId="20">
    <w:name w:val="con4"/>
    <w:basedOn w:val="4"/>
    <w:qFormat/>
    <w:uiPriority w:val="0"/>
  </w:style>
  <w:style w:type="character" w:customStyle="1" w:styleId="21">
    <w:name w:val="tit26"/>
    <w:basedOn w:val="4"/>
    <w:qFormat/>
    <w:uiPriority w:val="0"/>
    <w:rPr>
      <w:b/>
      <w:bCs/>
      <w:color w:val="333333"/>
      <w:sz w:val="39"/>
      <w:szCs w:val="39"/>
    </w:rPr>
  </w:style>
  <w:style w:type="character" w:customStyle="1" w:styleId="22">
    <w:name w:val="hover65"/>
    <w:basedOn w:val="4"/>
    <w:qFormat/>
    <w:uiPriority w:val="0"/>
    <w:rPr>
      <w:b/>
      <w:bCs/>
    </w:rPr>
  </w:style>
  <w:style w:type="character" w:customStyle="1" w:styleId="23">
    <w:name w:val="cur7"/>
    <w:basedOn w:val="4"/>
    <w:qFormat/>
    <w:uiPriority w:val="0"/>
    <w:rPr>
      <w:color w:val="3354A2"/>
    </w:rPr>
  </w:style>
  <w:style w:type="character" w:customStyle="1" w:styleId="24">
    <w:name w:val="name"/>
    <w:basedOn w:val="4"/>
    <w:qFormat/>
    <w:uiPriority w:val="0"/>
    <w:rPr>
      <w:color w:val="2760B7"/>
    </w:rPr>
  </w:style>
  <w:style w:type="character" w:customStyle="1" w:styleId="25">
    <w:name w:val="tyhl"/>
    <w:basedOn w:val="4"/>
    <w:qFormat/>
    <w:uiPriority w:val="0"/>
    <w:rPr>
      <w:shd w:val="clear" w:fill="FFFFFF"/>
    </w:rPr>
  </w:style>
  <w:style w:type="character" w:customStyle="1" w:styleId="26">
    <w:name w:val="arrow4"/>
    <w:basedOn w:val="4"/>
    <w:qFormat/>
    <w:uiPriority w:val="0"/>
  </w:style>
  <w:style w:type="character" w:customStyle="1" w:styleId="27">
    <w:name w:val="sp2"/>
    <w:basedOn w:val="4"/>
    <w:qFormat/>
    <w:uiPriority w:val="0"/>
    <w:rPr>
      <w:b/>
      <w:bCs/>
      <w:color w:val="307CD2"/>
    </w:rPr>
  </w:style>
  <w:style w:type="character" w:customStyle="1" w:styleId="28">
    <w:name w:val="name2"/>
    <w:basedOn w:val="4"/>
    <w:qFormat/>
    <w:uiPriority w:val="0"/>
    <w:rPr>
      <w:color w:val="2760B7"/>
    </w:rPr>
  </w:style>
  <w:style w:type="character" w:customStyle="1" w:styleId="29">
    <w:name w:val="tit28"/>
    <w:basedOn w:val="4"/>
    <w:qFormat/>
    <w:uiPriority w:val="0"/>
    <w:rPr>
      <w:b/>
      <w:bCs/>
      <w:color w:val="333333"/>
      <w:sz w:val="39"/>
      <w:szCs w:val="39"/>
    </w:rPr>
  </w:style>
  <w:style w:type="character" w:customStyle="1" w:styleId="30">
    <w:name w:val="arrow"/>
    <w:basedOn w:val="4"/>
    <w:qFormat/>
    <w:uiPriority w:val="0"/>
  </w:style>
  <w:style w:type="character" w:customStyle="1" w:styleId="31">
    <w:name w:val="sp"/>
    <w:basedOn w:val="4"/>
    <w:qFormat/>
    <w:uiPriority w:val="0"/>
    <w:rPr>
      <w:b/>
      <w:bCs/>
      <w:color w:val="307CD2"/>
    </w:rPr>
  </w:style>
  <w:style w:type="paragraph" w:customStyle="1" w:styleId="32">
    <w:name w:val="tit"/>
    <w:basedOn w:val="1"/>
    <w:qFormat/>
    <w:uiPriority w:val="0"/>
    <w:pPr>
      <w:jc w:val="left"/>
    </w:pPr>
    <w:rPr>
      <w:b/>
      <w:bCs/>
      <w:color w:val="2760B7"/>
      <w:kern w:val="0"/>
      <w:sz w:val="27"/>
      <w:szCs w:val="27"/>
      <w:lang w:val="en-US" w:eastAsia="zh-CN" w:bidi="ar"/>
    </w:rPr>
  </w:style>
  <w:style w:type="paragraph" w:customStyle="1" w:styleId="33">
    <w:name w:val="tit2"/>
    <w:basedOn w:val="1"/>
    <w:qFormat/>
    <w:uiPriority w:val="0"/>
    <w:pPr>
      <w:jc w:val="left"/>
    </w:pPr>
    <w:rPr>
      <w:kern w:val="0"/>
      <w:lang w:val="en-US" w:eastAsia="zh-CN" w:bidi="ar"/>
    </w:rPr>
  </w:style>
  <w:style w:type="paragraph" w:customStyle="1" w:styleId="34">
    <w:name w:val="tit4"/>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35">
    <w:name w:val="tit6"/>
    <w:basedOn w:val="1"/>
    <w:qFormat/>
    <w:uiPriority w:val="0"/>
    <w:pPr>
      <w:ind w:left="150"/>
      <w:jc w:val="left"/>
    </w:pPr>
    <w:rPr>
      <w:b/>
      <w:bCs/>
      <w:color w:val="333333"/>
      <w:kern w:val="0"/>
      <w:sz w:val="30"/>
      <w:szCs w:val="30"/>
      <w:lang w:val="en-US" w:eastAsia="zh-CN" w:bidi="ar"/>
    </w:rPr>
  </w:style>
  <w:style w:type="paragraph" w:customStyle="1" w:styleId="36">
    <w:name w:val="tit8"/>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37">
    <w:name w:val="tit10"/>
    <w:basedOn w:val="1"/>
    <w:qFormat/>
    <w:uiPriority w:val="0"/>
    <w:pPr>
      <w:spacing w:line="750" w:lineRule="atLeast"/>
      <w:ind w:right="270"/>
      <w:jc w:val="right"/>
    </w:pPr>
    <w:rPr>
      <w:color w:val="333333"/>
      <w:kern w:val="0"/>
      <w:sz w:val="24"/>
      <w:szCs w:val="24"/>
      <w:lang w:val="en-US" w:eastAsia="zh-CN" w:bidi="ar"/>
    </w:rPr>
  </w:style>
  <w:style w:type="paragraph" w:customStyle="1" w:styleId="38">
    <w:name w:val="tit12"/>
    <w:basedOn w:val="1"/>
    <w:qFormat/>
    <w:uiPriority w:val="0"/>
    <w:pPr>
      <w:spacing w:line="390" w:lineRule="atLeast"/>
      <w:ind w:right="330"/>
      <w:jc w:val="left"/>
    </w:pPr>
    <w:rPr>
      <w:b/>
      <w:bCs/>
      <w:color w:val="666666"/>
      <w:kern w:val="0"/>
      <w:sz w:val="21"/>
      <w:szCs w:val="21"/>
      <w:lang w:val="en-US" w:eastAsia="zh-CN" w:bidi="ar"/>
    </w:rPr>
  </w:style>
  <w:style w:type="paragraph" w:customStyle="1" w:styleId="39">
    <w:name w:val="tit14"/>
    <w:basedOn w:val="1"/>
    <w:qFormat/>
    <w:uiPriority w:val="0"/>
    <w:pPr>
      <w:jc w:val="left"/>
    </w:pPr>
    <w:rPr>
      <w:b/>
      <w:bCs/>
      <w:color w:val="333333"/>
      <w:kern w:val="0"/>
      <w:sz w:val="24"/>
      <w:szCs w:val="24"/>
      <w:lang w:val="en-US" w:eastAsia="zh-CN" w:bidi="ar"/>
    </w:rPr>
  </w:style>
  <w:style w:type="paragraph" w:customStyle="1" w:styleId="40">
    <w:name w:val="tit16"/>
    <w:basedOn w:val="1"/>
    <w:qFormat/>
    <w:uiPriority w:val="0"/>
    <w:pPr>
      <w:jc w:val="left"/>
    </w:pPr>
    <w:rPr>
      <w:b/>
      <w:bCs/>
      <w:color w:val="333333"/>
      <w:kern w:val="0"/>
      <w:sz w:val="27"/>
      <w:szCs w:val="27"/>
      <w:lang w:val="en-US" w:eastAsia="zh-CN" w:bidi="ar"/>
    </w:rPr>
  </w:style>
  <w:style w:type="paragraph" w:customStyle="1" w:styleId="41">
    <w:name w:val="tit18"/>
    <w:basedOn w:val="1"/>
    <w:qFormat/>
    <w:uiPriority w:val="0"/>
    <w:pPr>
      <w:jc w:val="left"/>
    </w:pPr>
    <w:rPr>
      <w:b/>
      <w:bCs/>
      <w:color w:val="7D8085"/>
      <w:kern w:val="0"/>
      <w:sz w:val="27"/>
      <w:szCs w:val="27"/>
      <w:lang w:val="en-US" w:eastAsia="zh-CN" w:bidi="ar"/>
    </w:rPr>
  </w:style>
  <w:style w:type="paragraph" w:customStyle="1" w:styleId="42">
    <w:name w:val="tit20"/>
    <w:basedOn w:val="1"/>
    <w:qFormat/>
    <w:uiPriority w:val="0"/>
    <w:pPr>
      <w:jc w:val="left"/>
    </w:pPr>
    <w:rPr>
      <w:b/>
      <w:bCs/>
      <w:color w:val="2775CC"/>
      <w:kern w:val="0"/>
      <w:sz w:val="30"/>
      <w:szCs w:val="30"/>
      <w:lang w:val="en-US" w:eastAsia="zh-CN" w:bidi="ar"/>
    </w:rPr>
  </w:style>
  <w:style w:type="paragraph" w:customStyle="1" w:styleId="43">
    <w:name w:val="tit22"/>
    <w:basedOn w:val="1"/>
    <w:qFormat/>
    <w:uiPriority w:val="0"/>
    <w:pPr>
      <w:pBdr>
        <w:bottom w:val="single" w:color="2775CC" w:sz="18" w:space="0"/>
      </w:pBdr>
      <w:spacing w:line="600" w:lineRule="atLeast"/>
      <w:jc w:val="left"/>
    </w:pPr>
    <w:rPr>
      <w:b/>
      <w:bCs/>
      <w:color w:val="2775CC"/>
      <w:kern w:val="0"/>
      <w:sz w:val="36"/>
      <w:szCs w:val="36"/>
      <w:lang w:val="en-US" w:eastAsia="zh-CN" w:bidi="ar"/>
    </w:rPr>
  </w:style>
  <w:style w:type="paragraph" w:customStyle="1" w:styleId="44">
    <w:name w:val="tit24"/>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45">
    <w:name w:val="tit25"/>
    <w:basedOn w:val="1"/>
    <w:qFormat/>
    <w:uiPriority w:val="0"/>
    <w:pPr>
      <w:spacing w:before="390" w:beforeAutospacing="0"/>
      <w:jc w:val="left"/>
    </w:pPr>
    <w:rPr>
      <w:color w:val="333333"/>
      <w:kern w:val="0"/>
      <w:sz w:val="30"/>
      <w:szCs w:val="30"/>
      <w:lang w:val="en-US" w:eastAsia="zh-CN" w:bidi="ar"/>
    </w:rPr>
  </w:style>
  <w:style w:type="paragraph" w:customStyle="1" w:styleId="46">
    <w:name w:val="tit27"/>
    <w:basedOn w:val="1"/>
    <w:qFormat/>
    <w:uiPriority w:val="0"/>
    <w:pPr>
      <w:spacing w:line="510" w:lineRule="atLeast"/>
      <w:jc w:val="left"/>
    </w:pPr>
    <w:rPr>
      <w:b/>
      <w:bCs/>
      <w:color w:val="333333"/>
      <w:kern w:val="0"/>
      <w:sz w:val="24"/>
      <w:szCs w:val="24"/>
      <w:lang w:val="en-US" w:eastAsia="zh-CN" w:bidi="ar"/>
    </w:rPr>
  </w:style>
  <w:style w:type="character" w:customStyle="1" w:styleId="47">
    <w:name w:val="cur11"/>
    <w:basedOn w:val="4"/>
    <w:qFormat/>
    <w:uiPriority w:val="0"/>
    <w:rPr>
      <w:color w:val="3354A2"/>
    </w:rPr>
  </w:style>
  <w:style w:type="character" w:customStyle="1" w:styleId="48">
    <w:name w:val="tit5"/>
    <w:basedOn w:val="4"/>
    <w:qFormat/>
    <w:uiPriority w:val="0"/>
    <w:rPr>
      <w:b/>
      <w:bCs/>
      <w:color w:val="333333"/>
      <w:sz w:val="39"/>
      <w:szCs w:val="39"/>
    </w:rPr>
  </w:style>
  <w:style w:type="character" w:customStyle="1" w:styleId="49">
    <w:name w:val="con"/>
    <w:basedOn w:val="4"/>
    <w:qFormat/>
    <w:uiPriority w:val="0"/>
  </w:style>
  <w:style w:type="character" w:customStyle="1" w:styleId="50">
    <w:name w:val="hover63"/>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1</Lines>
  <Paragraphs>1</Paragraphs>
  <TotalTime>6</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2024-12-18T10:36:38Z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1DEEE7A7701140F2B07CA8261FC34E20</vt:lpwstr>
  </property>
</Properties>
</file>