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5E" w:rsidRDefault="00DC49AE">
      <w:pPr>
        <w:pStyle w:val="a5"/>
        <w:shd w:val="clear" w:color="auto" w:fill="FFFFFF"/>
        <w:spacing w:before="0" w:beforeAutospacing="0" w:after="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重庆市綦江区物业管理所</w:t>
      </w:r>
    </w:p>
    <w:p w:rsidR="00B63E5E" w:rsidRDefault="00DC49AE">
      <w:pPr>
        <w:pStyle w:val="a5"/>
        <w:shd w:val="clear" w:color="auto" w:fill="FFFFFF"/>
        <w:spacing w:before="0" w:beforeAutospacing="0" w:after="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2020年度部门决算情况说明</w:t>
      </w:r>
    </w:p>
    <w:p w:rsidR="00B63E5E" w:rsidRDefault="00B63E5E">
      <w:pPr>
        <w:pStyle w:val="a5"/>
        <w:shd w:val="clear" w:color="auto" w:fill="FFFFFF"/>
        <w:spacing w:before="0" w:beforeAutospacing="0" w:after="0" w:afterAutospacing="0" w:line="540" w:lineRule="exact"/>
        <w:jc w:val="center"/>
        <w:rPr>
          <w:rFonts w:ascii="方正小标宋_GBK" w:eastAsia="方正小标宋_GBK" w:hAnsi="方正小标宋_GBK" w:cs="方正小标宋_GBK"/>
          <w:sz w:val="44"/>
          <w:szCs w:val="44"/>
        </w:rPr>
      </w:pPr>
    </w:p>
    <w:p w:rsidR="00B63E5E" w:rsidRDefault="00DC49AE">
      <w:pPr>
        <w:pStyle w:val="a5"/>
        <w:shd w:val="clear" w:color="auto" w:fill="FFFFFF"/>
        <w:spacing w:before="0" w:beforeAutospacing="0" w:after="0" w:afterAutospacing="0" w:line="600" w:lineRule="exact"/>
        <w:ind w:firstLineChars="200" w:firstLine="640"/>
        <w:rPr>
          <w:rFonts w:ascii="方正黑体_GBK" w:eastAsia="方正黑体_GBK" w:hAnsi="方正黑体_GBK" w:cs="方正黑体_GBK"/>
          <w:sz w:val="32"/>
          <w:szCs w:val="32"/>
        </w:rPr>
      </w:pPr>
      <w:r>
        <w:rPr>
          <w:rStyle w:val="a6"/>
          <w:rFonts w:ascii="方正黑体_GBK" w:eastAsia="方正黑体_GBK" w:hAnsi="方正黑体_GBK" w:cs="方正黑体_GBK" w:hint="eastAsia"/>
          <w:b w:val="0"/>
          <w:bCs w:val="0"/>
          <w:sz w:val="32"/>
          <w:szCs w:val="32"/>
        </w:rPr>
        <w:t>一、部门基本情况</w:t>
      </w:r>
    </w:p>
    <w:p w:rsidR="00B63E5E" w:rsidRDefault="00DC49AE">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（一）职能职责</w:t>
      </w:r>
    </w:p>
    <w:p w:rsidR="00B63E5E" w:rsidRDefault="00DC49AE">
      <w:pPr>
        <w:autoSpaceDN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1.负责贯彻落实物业管理有关法律法规政策。</w:t>
      </w:r>
    </w:p>
    <w:p w:rsidR="00B63E5E" w:rsidRDefault="00DC49AE">
      <w:pPr>
        <w:autoSpaceDN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2.负责对全区新建物业进行区域备案、前期物业备案、物业承接查验备案和新建物业备案。 </w:t>
      </w:r>
      <w:r>
        <w:rPr>
          <w:rFonts w:ascii="方正仿宋_GBK" w:eastAsia="方正仿宋_GBK" w:hAnsi="方正仿宋_GBK" w:cs="方正仿宋_GBK" w:hint="eastAsia"/>
          <w:kern w:val="0"/>
          <w:sz w:val="32"/>
          <w:szCs w:val="32"/>
        </w:rPr>
        <w:br/>
        <w:t xml:space="preserve">    3.指导各镇（街道）开展物业管理工作，协调物业管理的重大矛盾纠纷。 </w:t>
      </w:r>
      <w:r>
        <w:rPr>
          <w:rFonts w:ascii="方正仿宋_GBK" w:eastAsia="方正仿宋_GBK" w:hAnsi="方正仿宋_GBK" w:cs="方正仿宋_GBK" w:hint="eastAsia"/>
          <w:kern w:val="0"/>
          <w:sz w:val="32"/>
          <w:szCs w:val="32"/>
        </w:rPr>
        <w:br/>
        <w:t xml:space="preserve">    4.负责对《房屋使用公约》、《业主公约》和《物业管理合同》进行备案管理。 </w:t>
      </w:r>
      <w:r>
        <w:rPr>
          <w:rFonts w:ascii="方正仿宋_GBK" w:eastAsia="方正仿宋_GBK" w:hAnsi="方正仿宋_GBK" w:cs="方正仿宋_GBK" w:hint="eastAsia"/>
          <w:kern w:val="0"/>
          <w:sz w:val="32"/>
          <w:szCs w:val="32"/>
        </w:rPr>
        <w:br/>
        <w:t xml:space="preserve">    5.参与制定物业管理企业的收费标准，协助主管部门监督管理大修基金的归集和使用。 </w:t>
      </w:r>
      <w:r>
        <w:rPr>
          <w:rFonts w:ascii="方正仿宋_GBK" w:eastAsia="方正仿宋_GBK" w:hAnsi="方正仿宋_GBK" w:cs="方正仿宋_GBK" w:hint="eastAsia"/>
          <w:kern w:val="0"/>
          <w:sz w:val="32"/>
          <w:szCs w:val="32"/>
        </w:rPr>
        <w:br/>
        <w:t xml:space="preserve">    6.负责全区的物管从业人员进行业务培训，指导物管队伍建设。 </w:t>
      </w:r>
      <w:r>
        <w:rPr>
          <w:rFonts w:ascii="方正仿宋_GBK" w:eastAsia="方正仿宋_GBK" w:hAnsi="方正仿宋_GBK" w:cs="方正仿宋_GBK" w:hint="eastAsia"/>
          <w:kern w:val="0"/>
          <w:sz w:val="32"/>
          <w:szCs w:val="32"/>
        </w:rPr>
        <w:br/>
        <w:t xml:space="preserve">    7.配合主管部门对物业管理公司经营活动进行监督检查。 </w:t>
      </w:r>
    </w:p>
    <w:p w:rsidR="00B63E5E" w:rsidRDefault="00DC49AE">
      <w:pPr>
        <w:autoSpaceDN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8.完成主管部门交办的其他工作。</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（二）机构设置</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FF0000"/>
          <w:sz w:val="32"/>
          <w:szCs w:val="32"/>
        </w:rPr>
        <w:t> </w:t>
      </w:r>
      <w:r>
        <w:rPr>
          <w:rFonts w:ascii="方正仿宋_GBK" w:eastAsia="方正仿宋_GBK" w:hAnsi="方正仿宋_GBK" w:cs="方正仿宋_GBK" w:hint="eastAsia"/>
          <w:sz w:val="32"/>
          <w:szCs w:val="32"/>
        </w:rPr>
        <w:t>本单位无内设科室。</w:t>
      </w:r>
    </w:p>
    <w:p w:rsidR="00B63E5E" w:rsidRDefault="00DC49AE">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r>
        <w:rPr>
          <w:rFonts w:ascii="方正楷体_GBK" w:eastAsia="方正楷体_GBK" w:hAnsi="方正楷体_GBK" w:cs="方正楷体_GBK" w:hint="eastAsia"/>
          <w:sz w:val="32"/>
          <w:szCs w:val="32"/>
        </w:rPr>
        <w:t> </w:t>
      </w:r>
      <w:r>
        <w:rPr>
          <w:rStyle w:val="a6"/>
          <w:rFonts w:ascii="方正楷体_GBK" w:eastAsia="方正楷体_GBK" w:hAnsi="方正楷体_GBK" w:cs="方正楷体_GBK" w:hint="eastAsia"/>
          <w:b w:val="0"/>
          <w:bCs w:val="0"/>
          <w:sz w:val="32"/>
          <w:szCs w:val="32"/>
        </w:rPr>
        <w:t>（三）单位构成</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本单位无下属事业单位</w:t>
      </w:r>
    </w:p>
    <w:p w:rsidR="00B63E5E" w:rsidRDefault="00DC49AE">
      <w:pPr>
        <w:pStyle w:val="a5"/>
        <w:shd w:val="clear" w:color="auto" w:fill="FFFFFF"/>
        <w:spacing w:before="0" w:beforeAutospacing="0" w:after="0" w:afterAutospacing="0" w:line="600" w:lineRule="exact"/>
        <w:ind w:firstLineChars="200" w:firstLine="640"/>
        <w:rPr>
          <w:rFonts w:ascii="方正黑体_GBK" w:eastAsia="方正黑体_GBK" w:hAnsi="方正黑体_GBK" w:cs="方正黑体_GBK"/>
          <w:sz w:val="32"/>
          <w:szCs w:val="32"/>
        </w:rPr>
      </w:pPr>
      <w:r>
        <w:rPr>
          <w:rStyle w:val="a6"/>
          <w:rFonts w:ascii="方正黑体_GBK" w:eastAsia="方正黑体_GBK" w:hAnsi="方正黑体_GBK" w:cs="方正黑体_GBK" w:hint="eastAsia"/>
          <w:b w:val="0"/>
          <w:bCs w:val="0"/>
          <w:sz w:val="32"/>
          <w:szCs w:val="32"/>
        </w:rPr>
        <w:t>二、部门决算情况说明</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（一）收入支出决算总体情况说明</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hint="eastAsia"/>
          <w:b w:val="0"/>
          <w:bCs w:val="0"/>
          <w:sz w:val="32"/>
          <w:szCs w:val="32"/>
        </w:rPr>
        <w:t>1.总体情况</w:t>
      </w:r>
      <w:r>
        <w:rPr>
          <w:rFonts w:ascii="方正仿宋_GBK" w:eastAsia="方正仿宋_GBK" w:hAnsi="方正仿宋_GBK" w:cs="方正仿宋_GBK" w:hint="eastAsia"/>
          <w:sz w:val="32"/>
          <w:szCs w:val="32"/>
        </w:rPr>
        <w:t>。2020年度收入总计78.48万元，支出总计78.48万元。收支较上年决算数 增加13.90万元、增长21.5%，主要原因是运转性项目支出增加。</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hint="eastAsia"/>
          <w:b w:val="0"/>
          <w:bCs w:val="0"/>
          <w:sz w:val="32"/>
          <w:szCs w:val="32"/>
        </w:rPr>
        <w:t>2.收入情况。</w:t>
      </w:r>
      <w:r>
        <w:rPr>
          <w:rFonts w:ascii="方正仿宋_GBK" w:eastAsia="方正仿宋_GBK" w:hAnsi="方正仿宋_GBK" w:cs="方正仿宋_GBK" w:hint="eastAsia"/>
          <w:sz w:val="32"/>
          <w:szCs w:val="32"/>
        </w:rPr>
        <w:t>2020年度收入合计75.32万元，较上年决算数增加10.74万元，增长16.6%，主要原因是运转性项目支出增加。其中：财政拨款收入75.32万元，占100%；年初结转和结余3.15万元。</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hint="eastAsia"/>
          <w:b w:val="0"/>
          <w:bCs w:val="0"/>
          <w:sz w:val="32"/>
          <w:szCs w:val="32"/>
        </w:rPr>
        <w:t>3.支出情况。</w:t>
      </w:r>
      <w:r>
        <w:rPr>
          <w:rFonts w:ascii="方正仿宋_GBK" w:eastAsia="方正仿宋_GBK" w:hAnsi="方正仿宋_GBK" w:cs="方正仿宋_GBK" w:hint="eastAsia"/>
          <w:sz w:val="32"/>
          <w:szCs w:val="32"/>
        </w:rPr>
        <w:t>2020年度支出合计75.08万元，较上年决算数增加13.65万元，增长22.2%，主要原因是运转性项目支出增加。其中：基本支出 54.23万元，占72.2%；项目支出20.85万元，占27.8%。</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hint="eastAsia"/>
          <w:b w:val="0"/>
          <w:bCs w:val="0"/>
          <w:sz w:val="32"/>
          <w:szCs w:val="32"/>
        </w:rPr>
        <w:t>4.结转结余情况。</w:t>
      </w:r>
      <w:r>
        <w:rPr>
          <w:rFonts w:ascii="方正仿宋_GBK" w:eastAsia="方正仿宋_GBK" w:hAnsi="方正仿宋_GBK" w:cs="方正仿宋_GBK" w:hint="eastAsia"/>
          <w:sz w:val="32"/>
          <w:szCs w:val="32"/>
        </w:rPr>
        <w:t>2020年度年末结转和结余3.40万元，较上年决算数增加0.25万元，增长7.9%，主要原因是部分人员经费结转下年使用。</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（二）财政拨款收入支出决算总体情况说明</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2020年度财政拨款收、支总计78.48万元。与2019年相比，财政拨款收、支总计各增加13.90万元，增长21.5%。主要原因是运转性项目支出增加。</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lastRenderedPageBreak/>
        <w:t>（三）一般公共预算财政拨款支出决算情况说明</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hint="eastAsia"/>
          <w:b w:val="0"/>
          <w:bCs w:val="0"/>
          <w:sz w:val="32"/>
          <w:szCs w:val="32"/>
        </w:rPr>
        <w:t>1.收入情况。</w:t>
      </w:r>
      <w:r>
        <w:rPr>
          <w:rFonts w:ascii="方正仿宋_GBK" w:eastAsia="方正仿宋_GBK" w:hAnsi="方正仿宋_GBK" w:cs="方正仿宋_GBK" w:hint="eastAsia"/>
          <w:sz w:val="32"/>
          <w:szCs w:val="32"/>
        </w:rPr>
        <w:t>2020年度一般公共预算财政拨款收入75.32万元，较上年决算数增加10.74万元，增长16.6%。主要原因是运转性项目支出增加。较年初预算数增加0.81万元，增长1.1%。主要原因是人员支出有所增加。此外，年初财政拨款结转和结余3.15万元。</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hint="eastAsia"/>
          <w:b w:val="0"/>
          <w:bCs w:val="0"/>
          <w:sz w:val="32"/>
          <w:szCs w:val="32"/>
        </w:rPr>
        <w:t>2.支出情况。</w:t>
      </w:r>
      <w:r>
        <w:rPr>
          <w:rFonts w:ascii="方正仿宋_GBK" w:eastAsia="方正仿宋_GBK" w:hAnsi="方正仿宋_GBK" w:cs="方正仿宋_GBK" w:hint="eastAsia"/>
          <w:sz w:val="32"/>
          <w:szCs w:val="32"/>
        </w:rPr>
        <w:t>2020年度一般公共预算财政拨款支出75.08万元，较上年决算数增加13.65万元，增长22.2%。主要原因是运转性项目支出增加。较年初预算数 减少2.58万 元，下降3.3%。主要原因是部分人员经费结转下年使用。</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hint="eastAsia"/>
          <w:b w:val="0"/>
          <w:bCs w:val="0"/>
          <w:sz w:val="32"/>
          <w:szCs w:val="32"/>
        </w:rPr>
        <w:t>3.结转结余情况。</w:t>
      </w:r>
      <w:r>
        <w:rPr>
          <w:rFonts w:ascii="方正仿宋_GBK" w:eastAsia="方正仿宋_GBK" w:hAnsi="方正仿宋_GBK" w:cs="方正仿宋_GBK" w:hint="eastAsia"/>
          <w:sz w:val="32"/>
          <w:szCs w:val="32"/>
        </w:rPr>
        <w:t>2020年度年末一般公共预算财政拨款结转和结余3.40万元，较上年决算数增加0.25万元，增长7.9%，主要原因是部分人员经费结转下年使用。</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hint="eastAsia"/>
          <w:b w:val="0"/>
          <w:bCs w:val="0"/>
          <w:sz w:val="32"/>
          <w:szCs w:val="32"/>
        </w:rPr>
        <w:t>4.比较情况</w:t>
      </w:r>
      <w:r>
        <w:rPr>
          <w:rFonts w:ascii="方正仿宋_GBK" w:eastAsia="方正仿宋_GBK" w:hAnsi="方正仿宋_GBK" w:cs="方正仿宋_GBK" w:hint="eastAsia"/>
          <w:sz w:val="32"/>
          <w:szCs w:val="32"/>
        </w:rPr>
        <w:t xml:space="preserve">。本部门2020年度一般公共预算财政拨款支出主要用于以下几个方面： </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（1）一般公共服务支出0.00万元，占0%，较年初预算数减少23.85万元，下降100%，主要原因是功能科目调整。</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（2）社会保障与就业支出4.81万元，占6.4%，与年初预算数持平。</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（3）卫生健康支出2.38万元，占3.2%，与年初预算数持平。</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（4）城乡社区支出65.68万元，占87.5%，较年初预算数增加21.47万元，增长48.6%，主要原因是运转性项目支出增加。</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（5）住房保障支出2.21万元，占2.9%，较年初预算数减少0.20万元，下降8.3%，主要原因是部分公积金未清算缴纳。</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（四）一般公共预算财政拨款基本支出决算情况说明</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2020年度一般公共财政拨款基本支出54.23万元。其中：人员经费46.51万元，较上年决算数增加1.97万元，增长4.4%，主要原因是增加人员经费。人员经费用途主要包括：基本工资、津贴补贴、绩效工资、社会保障缴费、公积金等。公用经费7.72万元，较上年决算数增加0.61万元，增长8.6%，主要原因是办公经费支出增加。公用经费用途主要包括：办公费、水费、电费、邮费、公车运行费、差旅费等。</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（五）政府性基金预算收支决算情况说明</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本部门2020年度无政府性基金预算财政拨款收支。</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（六）国有资本经营预算财政拨款支决算情况说明。</w:t>
      </w:r>
      <w:r>
        <w:rPr>
          <w:rFonts w:ascii="方正仿宋_GBK" w:eastAsia="方正仿宋_GBK" w:hAnsi="方正仿宋_GBK" w:cs="方正仿宋_GBK" w:hint="eastAsia"/>
          <w:sz w:val="32"/>
          <w:szCs w:val="32"/>
        </w:rPr>
        <w:br/>
        <w:t>  本部门2020年度无国有资本经营预算财政拨款支出。</w:t>
      </w:r>
    </w:p>
    <w:p w:rsidR="00B63E5E" w:rsidRDefault="00DC49AE">
      <w:pPr>
        <w:pStyle w:val="a5"/>
        <w:shd w:val="clear" w:color="auto" w:fill="FFFFFF"/>
        <w:spacing w:before="0" w:beforeAutospacing="0" w:after="0" w:afterAutospacing="0" w:line="600" w:lineRule="exact"/>
        <w:ind w:firstLineChars="200" w:firstLine="640"/>
        <w:rPr>
          <w:rFonts w:ascii="方正黑体_GBK" w:eastAsia="方正黑体_GBK" w:hAnsi="方正黑体_GBK" w:cs="方正黑体_GBK"/>
          <w:sz w:val="32"/>
          <w:szCs w:val="32"/>
        </w:rPr>
      </w:pPr>
      <w:r>
        <w:rPr>
          <w:rStyle w:val="a6"/>
          <w:rFonts w:ascii="方正黑体_GBK" w:eastAsia="方正黑体_GBK" w:hAnsi="方正黑体_GBK" w:cs="方正黑体_GBK" w:hint="eastAsia"/>
          <w:b w:val="0"/>
          <w:bCs w:val="0"/>
          <w:sz w:val="32"/>
          <w:szCs w:val="32"/>
        </w:rPr>
        <w:t>三、“三公”经费情况说明</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（一）“三公”经费支出总体情况说明</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2020年度“三公”经费支出共计0.19万元，较年初预算数减少0.01万元，下降5%</w:t>
      </w:r>
      <w:r w:rsidR="0088461D">
        <w:rPr>
          <w:rFonts w:ascii="方正仿宋_GBK" w:eastAsia="方正仿宋_GBK" w:hAnsi="方正仿宋_GBK" w:cs="方正仿宋_GBK" w:hint="eastAsia"/>
          <w:sz w:val="32"/>
          <w:szCs w:val="32"/>
        </w:rPr>
        <w:t>，主要原因是贯彻落实中央八项</w:t>
      </w:r>
      <w:bookmarkStart w:id="0" w:name="_GoBack"/>
      <w:bookmarkEnd w:id="0"/>
      <w:r>
        <w:rPr>
          <w:rFonts w:ascii="方正仿宋_GBK" w:eastAsia="方正仿宋_GBK" w:hAnsi="方正仿宋_GBK" w:cs="方正仿宋_GBK" w:hint="eastAsia"/>
          <w:sz w:val="32"/>
          <w:szCs w:val="32"/>
        </w:rPr>
        <w:t>规定，</w:t>
      </w:r>
      <w:r>
        <w:rPr>
          <w:rFonts w:ascii="方正仿宋_GBK" w:eastAsia="方正仿宋_GBK" w:hAnsi="方正仿宋_GBK" w:cs="方正仿宋_GBK" w:hint="eastAsia"/>
          <w:sz w:val="32"/>
          <w:szCs w:val="32"/>
        </w:rPr>
        <w:lastRenderedPageBreak/>
        <w:t>本着节约原则，缩减开支。较上年支出数增加0.19万元，增长%，主要原因是接待相关部门协商工作。</w:t>
      </w:r>
    </w:p>
    <w:p w:rsidR="00B63E5E" w:rsidRDefault="00DC49AE">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（二）“三公”经费分项支出情况</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本单位2020年度未发生因公出国（境）支出。</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本单位2020年未发生公务车购置费。</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本单位2020年未发生公务车运行维护费。</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公务接待费0.19万元，主要用于接待相关部门。费用支出较年初预算数减少0.01万元，下降5%，主要原因是本着节约原则，缩减支出。较上年支出数增加0.19万元，增长%，主要原因是接待相关部门协商工作。</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（三）“三公”经费实物量情况</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2020年度本部门未安排因公出国（境）；未购置公务用车，公务车保有量为0辆；国内公务接待7批次50人。2020年本部门人均接待费38.00元。</w:t>
      </w:r>
    </w:p>
    <w:p w:rsidR="00B63E5E" w:rsidRDefault="00DC49AE">
      <w:pPr>
        <w:pStyle w:val="a5"/>
        <w:shd w:val="clear" w:color="auto" w:fill="FFFFFF"/>
        <w:spacing w:before="0" w:beforeAutospacing="0" w:after="0" w:afterAutospacing="0" w:line="600" w:lineRule="exact"/>
        <w:ind w:firstLineChars="200" w:firstLine="640"/>
        <w:rPr>
          <w:rFonts w:ascii="方正黑体_GBK" w:eastAsia="方正黑体_GBK" w:hAnsi="方正黑体_GBK" w:cs="方正黑体_GBK"/>
          <w:sz w:val="32"/>
          <w:szCs w:val="32"/>
        </w:rPr>
      </w:pPr>
      <w:r>
        <w:rPr>
          <w:rStyle w:val="a6"/>
          <w:rFonts w:ascii="方正黑体_GBK" w:eastAsia="方正黑体_GBK" w:hAnsi="方正黑体_GBK" w:cs="方正黑体_GBK" w:hint="eastAsia"/>
          <w:b w:val="0"/>
          <w:bCs w:val="0"/>
          <w:sz w:val="32"/>
          <w:szCs w:val="32"/>
        </w:rPr>
        <w:t>四、其他需要说明的事项</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（一）机关运行经费情况说明</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我单位不在机关运行经费统计范围之内。</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本年度会议费支出0.21万元，较上年决算数减少0.07万元，下降25%，主要原因是减少会议支出；本年度培训费支出 0.00万元，较上年决算数增加0.00万元，增长%，主要原因是没有培训支出。</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lastRenderedPageBreak/>
        <w:t>（二）国有资产占用情况说明</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截至2020年12月31日，本部门共有车辆0辆。单价50万元（含）以上通用设备0台（套），单价100万元（含）以上专用设备0台（套）。</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（三）政府采购支出情况说明</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2020年度我单位未发生政府采购事项，无相关经费支出。</w:t>
      </w:r>
    </w:p>
    <w:p w:rsidR="00B63E5E" w:rsidRDefault="00DC49AE">
      <w:pPr>
        <w:pStyle w:val="a5"/>
        <w:shd w:val="clear" w:color="auto" w:fill="FFFFFF"/>
        <w:spacing w:before="0" w:beforeAutospacing="0" w:after="0" w:afterAutospacing="0" w:line="600" w:lineRule="exact"/>
        <w:ind w:firstLineChars="200" w:firstLine="640"/>
        <w:rPr>
          <w:rFonts w:ascii="方正黑体_GBK" w:eastAsia="方正黑体_GBK" w:hAnsi="方正黑体_GBK" w:cs="方正黑体_GBK"/>
          <w:sz w:val="32"/>
          <w:szCs w:val="32"/>
        </w:rPr>
      </w:pPr>
      <w:r>
        <w:rPr>
          <w:rStyle w:val="a6"/>
          <w:rFonts w:ascii="方正黑体_GBK" w:eastAsia="方正黑体_GBK" w:hAnsi="方正黑体_GBK" w:cs="方正黑体_GBK" w:hint="eastAsia"/>
          <w:b w:val="0"/>
          <w:bCs w:val="0"/>
          <w:sz w:val="32"/>
          <w:szCs w:val="32"/>
        </w:rPr>
        <w:t>五、预算绩效管理情况说明</w:t>
      </w:r>
    </w:p>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（一）预算绩效管理工作开展情况</w:t>
      </w:r>
    </w:p>
    <w:p w:rsidR="00B63E5E" w:rsidRDefault="00DC49AE">
      <w:pPr>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预算绩效管理工作开展情况。根据预算绩效管理要求，本单位</w:t>
      </w:r>
      <w:r>
        <w:rPr>
          <w:rFonts w:ascii="方正仿宋_GBK" w:eastAsia="方正仿宋_GBK" w:hAnsi="方正仿宋_GBK" w:cs="方正仿宋_GBK" w:hint="eastAsia"/>
          <w:kern w:val="0"/>
          <w:sz w:val="32"/>
          <w:szCs w:val="32"/>
        </w:rPr>
        <w:t>对</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kern w:val="0"/>
          <w:sz w:val="32"/>
          <w:szCs w:val="32"/>
        </w:rPr>
        <w:t>个一般性项目开展了绩效自评，涉及资金</w:t>
      </w:r>
      <w:r>
        <w:rPr>
          <w:rFonts w:ascii="方正仿宋_GBK" w:eastAsia="方正仿宋_GBK" w:hAnsi="方正仿宋_GBK" w:cs="方正仿宋_GBK" w:hint="eastAsia"/>
          <w:sz w:val="32"/>
          <w:szCs w:val="32"/>
        </w:rPr>
        <w:t>20.85</w:t>
      </w:r>
      <w:r>
        <w:rPr>
          <w:rFonts w:ascii="方正仿宋_GBK" w:eastAsia="方正仿宋_GBK" w:hAnsi="方正仿宋_GBK" w:cs="方正仿宋_GBK" w:hint="eastAsia"/>
          <w:kern w:val="0"/>
          <w:sz w:val="32"/>
          <w:szCs w:val="32"/>
        </w:rPr>
        <w:t>万元。主要保障本单位日常工作正常开展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kern w:val="0"/>
          <w:sz w:val="32"/>
          <w:szCs w:val="32"/>
        </w:rPr>
        <w:t>从评价情况来看，自评等级为优。</w:t>
      </w:r>
    </w:p>
    <w:p w:rsidR="00B63E5E" w:rsidRDefault="00DC49AE">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（二）绩效自评结果</w:t>
      </w:r>
    </w:p>
    <w:p w:rsidR="00B63E5E" w:rsidRDefault="00DC49AE">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r>
        <w:rPr>
          <w:rStyle w:val="a6"/>
          <w:rFonts w:ascii="方正仿宋_GBK" w:eastAsia="方正仿宋_GBK" w:hAnsi="方正仿宋_GBK" w:cs="方正仿宋_GBK" w:hint="eastAsia"/>
          <w:b w:val="0"/>
          <w:bCs w:val="0"/>
          <w:sz w:val="32"/>
          <w:szCs w:val="32"/>
        </w:rPr>
        <w:t>1.绩效自评表</w:t>
      </w:r>
    </w:p>
    <w:p w:rsidR="00B63E5E" w:rsidRDefault="00B63E5E">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p>
    <w:p w:rsidR="00B63E5E" w:rsidRDefault="00B63E5E">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p>
    <w:p w:rsidR="00B63E5E" w:rsidRDefault="00B63E5E">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p>
    <w:p w:rsidR="00B63E5E" w:rsidRDefault="00B63E5E">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p>
    <w:p w:rsidR="00B63E5E" w:rsidRDefault="00B63E5E">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p>
    <w:p w:rsidR="00B63E5E" w:rsidRDefault="00B63E5E">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p>
    <w:p w:rsidR="00B63E5E" w:rsidRDefault="00B63E5E">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p>
    <w:tbl>
      <w:tblPr>
        <w:tblW w:w="11061" w:type="dxa"/>
        <w:jc w:val="center"/>
        <w:tblLook w:val="04A0" w:firstRow="1" w:lastRow="0" w:firstColumn="1" w:lastColumn="0" w:noHBand="0" w:noVBand="1"/>
      </w:tblPr>
      <w:tblGrid>
        <w:gridCol w:w="940"/>
        <w:gridCol w:w="310"/>
        <w:gridCol w:w="1630"/>
        <w:gridCol w:w="1063"/>
        <w:gridCol w:w="1267"/>
        <w:gridCol w:w="1740"/>
        <w:gridCol w:w="1559"/>
        <w:gridCol w:w="1291"/>
        <w:gridCol w:w="1261"/>
      </w:tblGrid>
      <w:tr w:rsidR="00B63E5E" w:rsidTr="007E0F05">
        <w:trPr>
          <w:trHeight w:val="330"/>
          <w:jc w:val="center"/>
        </w:trPr>
        <w:tc>
          <w:tcPr>
            <w:tcW w:w="940" w:type="dxa"/>
            <w:tcBorders>
              <w:top w:val="nil"/>
              <w:left w:val="nil"/>
              <w:bottom w:val="nil"/>
              <w:right w:val="nil"/>
            </w:tcBorders>
            <w:shd w:val="clear" w:color="auto" w:fill="auto"/>
            <w:noWrap/>
            <w:vAlign w:val="center"/>
          </w:tcPr>
          <w:p w:rsidR="00B63E5E" w:rsidRDefault="00B63E5E">
            <w:pPr>
              <w:widowControl/>
              <w:jc w:val="left"/>
              <w:rPr>
                <w:rFonts w:ascii="黑体" w:eastAsia="黑体" w:hAnsi="黑体" w:cs="宋体"/>
                <w:kern w:val="0"/>
                <w:sz w:val="24"/>
                <w:szCs w:val="24"/>
              </w:rPr>
            </w:pPr>
          </w:p>
        </w:tc>
        <w:tc>
          <w:tcPr>
            <w:tcW w:w="1940" w:type="dxa"/>
            <w:gridSpan w:val="2"/>
            <w:tcBorders>
              <w:top w:val="nil"/>
              <w:left w:val="nil"/>
              <w:bottom w:val="nil"/>
              <w:right w:val="nil"/>
            </w:tcBorders>
            <w:shd w:val="clear" w:color="auto" w:fill="auto"/>
            <w:vAlign w:val="center"/>
          </w:tcPr>
          <w:p w:rsidR="00B63E5E" w:rsidRDefault="00B63E5E">
            <w:pPr>
              <w:widowControl/>
              <w:jc w:val="left"/>
              <w:rPr>
                <w:rFonts w:ascii="黑体" w:eastAsia="黑体" w:hAnsi="黑体" w:cs="宋体"/>
                <w:kern w:val="0"/>
                <w:sz w:val="24"/>
                <w:szCs w:val="24"/>
              </w:rPr>
            </w:pPr>
          </w:p>
        </w:tc>
        <w:tc>
          <w:tcPr>
            <w:tcW w:w="1063" w:type="dxa"/>
            <w:tcBorders>
              <w:top w:val="nil"/>
              <w:left w:val="nil"/>
              <w:bottom w:val="nil"/>
              <w:right w:val="nil"/>
            </w:tcBorders>
            <w:shd w:val="clear" w:color="auto" w:fill="auto"/>
            <w:vAlign w:val="center"/>
          </w:tcPr>
          <w:p w:rsidR="00B63E5E" w:rsidRDefault="00B63E5E">
            <w:pPr>
              <w:widowControl/>
              <w:jc w:val="left"/>
              <w:rPr>
                <w:rFonts w:ascii="黑体" w:eastAsia="黑体" w:hAnsi="黑体" w:cs="宋体"/>
                <w:kern w:val="0"/>
                <w:sz w:val="24"/>
                <w:szCs w:val="24"/>
              </w:rPr>
            </w:pPr>
          </w:p>
        </w:tc>
        <w:tc>
          <w:tcPr>
            <w:tcW w:w="1267" w:type="dxa"/>
            <w:tcBorders>
              <w:top w:val="nil"/>
              <w:left w:val="nil"/>
              <w:bottom w:val="nil"/>
              <w:right w:val="nil"/>
            </w:tcBorders>
            <w:shd w:val="clear" w:color="auto" w:fill="auto"/>
            <w:vAlign w:val="center"/>
          </w:tcPr>
          <w:p w:rsidR="00B63E5E" w:rsidRDefault="00B63E5E">
            <w:pPr>
              <w:widowControl/>
              <w:jc w:val="left"/>
              <w:rPr>
                <w:rFonts w:ascii="宋体" w:eastAsia="宋体" w:hAnsi="宋体" w:cs="宋体"/>
                <w:kern w:val="0"/>
                <w:sz w:val="24"/>
                <w:szCs w:val="24"/>
              </w:rPr>
            </w:pPr>
          </w:p>
        </w:tc>
        <w:tc>
          <w:tcPr>
            <w:tcW w:w="1740" w:type="dxa"/>
            <w:tcBorders>
              <w:top w:val="nil"/>
              <w:left w:val="nil"/>
              <w:bottom w:val="nil"/>
              <w:right w:val="nil"/>
            </w:tcBorders>
            <w:shd w:val="clear" w:color="auto" w:fill="auto"/>
            <w:vAlign w:val="center"/>
          </w:tcPr>
          <w:p w:rsidR="00B63E5E" w:rsidRDefault="00B63E5E">
            <w:pPr>
              <w:widowControl/>
              <w:jc w:val="left"/>
              <w:rPr>
                <w:rFonts w:ascii="宋体" w:eastAsia="宋体" w:hAnsi="宋体" w:cs="宋体"/>
                <w:kern w:val="0"/>
                <w:sz w:val="24"/>
                <w:szCs w:val="24"/>
              </w:rPr>
            </w:pPr>
          </w:p>
        </w:tc>
        <w:tc>
          <w:tcPr>
            <w:tcW w:w="1559" w:type="dxa"/>
            <w:tcBorders>
              <w:top w:val="nil"/>
              <w:left w:val="nil"/>
              <w:bottom w:val="nil"/>
              <w:right w:val="nil"/>
            </w:tcBorders>
            <w:shd w:val="clear" w:color="auto" w:fill="auto"/>
            <w:vAlign w:val="center"/>
          </w:tcPr>
          <w:p w:rsidR="00B63E5E" w:rsidRDefault="00B63E5E">
            <w:pPr>
              <w:widowControl/>
              <w:jc w:val="left"/>
              <w:rPr>
                <w:rFonts w:ascii="宋体" w:eastAsia="宋体" w:hAnsi="宋体" w:cs="宋体"/>
                <w:kern w:val="0"/>
                <w:sz w:val="24"/>
                <w:szCs w:val="24"/>
              </w:rPr>
            </w:pPr>
          </w:p>
        </w:tc>
        <w:tc>
          <w:tcPr>
            <w:tcW w:w="1291" w:type="dxa"/>
            <w:tcBorders>
              <w:top w:val="nil"/>
              <w:left w:val="nil"/>
              <w:bottom w:val="nil"/>
              <w:right w:val="nil"/>
            </w:tcBorders>
            <w:shd w:val="clear" w:color="auto" w:fill="auto"/>
            <w:vAlign w:val="center"/>
          </w:tcPr>
          <w:p w:rsidR="00B63E5E" w:rsidRDefault="00B63E5E">
            <w:pPr>
              <w:widowControl/>
              <w:jc w:val="left"/>
              <w:rPr>
                <w:rFonts w:ascii="宋体" w:eastAsia="宋体" w:hAnsi="宋体" w:cs="宋体"/>
                <w:kern w:val="0"/>
                <w:sz w:val="24"/>
                <w:szCs w:val="24"/>
              </w:rPr>
            </w:pPr>
          </w:p>
        </w:tc>
        <w:tc>
          <w:tcPr>
            <w:tcW w:w="1261" w:type="dxa"/>
            <w:tcBorders>
              <w:top w:val="nil"/>
              <w:left w:val="nil"/>
              <w:bottom w:val="nil"/>
              <w:right w:val="nil"/>
            </w:tcBorders>
            <w:shd w:val="clear" w:color="auto" w:fill="auto"/>
            <w:vAlign w:val="center"/>
          </w:tcPr>
          <w:p w:rsidR="00B63E5E" w:rsidRDefault="00B63E5E">
            <w:pPr>
              <w:widowControl/>
              <w:jc w:val="left"/>
              <w:rPr>
                <w:rFonts w:ascii="宋体" w:eastAsia="宋体" w:hAnsi="宋体" w:cs="宋体"/>
                <w:kern w:val="0"/>
                <w:sz w:val="24"/>
                <w:szCs w:val="24"/>
              </w:rPr>
            </w:pPr>
          </w:p>
        </w:tc>
      </w:tr>
      <w:tr w:rsidR="00B63E5E" w:rsidTr="00EF745E">
        <w:trPr>
          <w:trHeight w:val="585"/>
          <w:jc w:val="center"/>
        </w:trPr>
        <w:tc>
          <w:tcPr>
            <w:tcW w:w="11061" w:type="dxa"/>
            <w:gridSpan w:val="9"/>
            <w:tcBorders>
              <w:top w:val="nil"/>
              <w:left w:val="nil"/>
              <w:bottom w:val="nil"/>
              <w:right w:val="nil"/>
            </w:tcBorders>
            <w:shd w:val="clear" w:color="auto" w:fill="auto"/>
            <w:vAlign w:val="center"/>
          </w:tcPr>
          <w:p w:rsidR="00B63E5E" w:rsidRDefault="00DC49AE">
            <w:pPr>
              <w:widowControl/>
              <w:jc w:val="center"/>
              <w:rPr>
                <w:rFonts w:ascii="宋体" w:eastAsia="宋体" w:hAnsi="宋体" w:cs="宋体"/>
                <w:b/>
                <w:bCs/>
                <w:color w:val="000000"/>
                <w:kern w:val="0"/>
                <w:sz w:val="32"/>
                <w:szCs w:val="32"/>
              </w:rPr>
            </w:pPr>
            <w:r>
              <w:rPr>
                <w:rFonts w:ascii="方正小标宋_GBK" w:eastAsia="方正小标宋_GBK" w:hAnsi="方正小标宋_GBK" w:cs="方正小标宋_GBK" w:hint="eastAsia"/>
                <w:bCs/>
                <w:color w:val="000000"/>
                <w:kern w:val="0"/>
                <w:sz w:val="32"/>
                <w:szCs w:val="32"/>
              </w:rPr>
              <w:t>2020年度部门（单位）项目支出绩效自评表</w:t>
            </w:r>
          </w:p>
        </w:tc>
      </w:tr>
      <w:tr w:rsidR="00B63E5E" w:rsidTr="007E0F05">
        <w:trPr>
          <w:trHeight w:val="585"/>
          <w:jc w:val="center"/>
        </w:trPr>
        <w:tc>
          <w:tcPr>
            <w:tcW w:w="2880" w:type="dxa"/>
            <w:gridSpan w:val="3"/>
            <w:tcBorders>
              <w:top w:val="nil"/>
              <w:left w:val="nil"/>
              <w:bottom w:val="single" w:sz="4" w:space="0" w:color="auto"/>
              <w:right w:val="nil"/>
            </w:tcBorders>
            <w:shd w:val="clear" w:color="auto" w:fill="auto"/>
            <w:vAlign w:val="center"/>
          </w:tcPr>
          <w:p w:rsidR="00B63E5E" w:rsidRDefault="00DC49AE">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填表单位（盖章）：重庆市綦江区物业管理所</w:t>
            </w:r>
          </w:p>
        </w:tc>
        <w:tc>
          <w:tcPr>
            <w:tcW w:w="1063" w:type="dxa"/>
            <w:tcBorders>
              <w:top w:val="nil"/>
              <w:left w:val="nil"/>
              <w:bottom w:val="nil"/>
              <w:right w:val="nil"/>
            </w:tcBorders>
            <w:shd w:val="clear" w:color="auto" w:fill="auto"/>
            <w:vAlign w:val="center"/>
          </w:tcPr>
          <w:p w:rsidR="00B63E5E" w:rsidRDefault="00B63E5E">
            <w:pPr>
              <w:widowControl/>
              <w:jc w:val="center"/>
              <w:rPr>
                <w:rFonts w:ascii="宋体" w:eastAsia="宋体" w:hAnsi="宋体" w:cs="宋体"/>
                <w:b/>
                <w:bCs/>
                <w:color w:val="000000"/>
                <w:kern w:val="0"/>
                <w:sz w:val="32"/>
                <w:szCs w:val="32"/>
              </w:rPr>
            </w:pPr>
          </w:p>
        </w:tc>
        <w:tc>
          <w:tcPr>
            <w:tcW w:w="1267" w:type="dxa"/>
            <w:tcBorders>
              <w:top w:val="nil"/>
              <w:left w:val="nil"/>
              <w:bottom w:val="nil"/>
              <w:right w:val="nil"/>
            </w:tcBorders>
            <w:shd w:val="clear" w:color="auto" w:fill="auto"/>
            <w:vAlign w:val="center"/>
          </w:tcPr>
          <w:p w:rsidR="00B63E5E" w:rsidRDefault="00B63E5E">
            <w:pPr>
              <w:widowControl/>
              <w:jc w:val="center"/>
              <w:rPr>
                <w:rFonts w:ascii="宋体" w:eastAsia="宋体" w:hAnsi="宋体" w:cs="宋体"/>
                <w:b/>
                <w:bCs/>
                <w:color w:val="000000"/>
                <w:kern w:val="0"/>
                <w:sz w:val="32"/>
                <w:szCs w:val="32"/>
              </w:rPr>
            </w:pPr>
          </w:p>
        </w:tc>
        <w:tc>
          <w:tcPr>
            <w:tcW w:w="1740" w:type="dxa"/>
            <w:tcBorders>
              <w:top w:val="nil"/>
              <w:left w:val="nil"/>
              <w:bottom w:val="nil"/>
              <w:right w:val="nil"/>
            </w:tcBorders>
            <w:shd w:val="clear" w:color="auto" w:fill="auto"/>
            <w:vAlign w:val="center"/>
          </w:tcPr>
          <w:p w:rsidR="00B63E5E" w:rsidRDefault="00B63E5E">
            <w:pPr>
              <w:widowControl/>
              <w:jc w:val="center"/>
              <w:rPr>
                <w:rFonts w:ascii="宋体" w:eastAsia="宋体" w:hAnsi="宋体" w:cs="宋体"/>
                <w:b/>
                <w:bCs/>
                <w:color w:val="000000"/>
                <w:kern w:val="0"/>
                <w:sz w:val="32"/>
                <w:szCs w:val="32"/>
              </w:rPr>
            </w:pPr>
          </w:p>
        </w:tc>
        <w:tc>
          <w:tcPr>
            <w:tcW w:w="1559" w:type="dxa"/>
            <w:tcBorders>
              <w:top w:val="nil"/>
              <w:left w:val="nil"/>
              <w:bottom w:val="nil"/>
              <w:right w:val="nil"/>
            </w:tcBorders>
            <w:shd w:val="clear" w:color="auto" w:fill="auto"/>
            <w:vAlign w:val="center"/>
          </w:tcPr>
          <w:p w:rsidR="00B63E5E" w:rsidRDefault="00B63E5E">
            <w:pPr>
              <w:widowControl/>
              <w:jc w:val="center"/>
              <w:rPr>
                <w:rFonts w:ascii="宋体" w:eastAsia="宋体" w:hAnsi="宋体" w:cs="宋体"/>
                <w:b/>
                <w:bCs/>
                <w:color w:val="000000"/>
                <w:kern w:val="0"/>
                <w:sz w:val="32"/>
                <w:szCs w:val="32"/>
              </w:rPr>
            </w:pPr>
          </w:p>
        </w:tc>
        <w:tc>
          <w:tcPr>
            <w:tcW w:w="1291" w:type="dxa"/>
            <w:tcBorders>
              <w:top w:val="nil"/>
              <w:left w:val="nil"/>
              <w:bottom w:val="nil"/>
              <w:right w:val="nil"/>
            </w:tcBorders>
            <w:shd w:val="clear" w:color="auto" w:fill="auto"/>
            <w:vAlign w:val="center"/>
          </w:tcPr>
          <w:p w:rsidR="00B63E5E" w:rsidRDefault="00B63E5E">
            <w:pPr>
              <w:widowControl/>
              <w:jc w:val="center"/>
              <w:rPr>
                <w:rFonts w:ascii="宋体" w:eastAsia="宋体" w:hAnsi="宋体" w:cs="宋体"/>
                <w:b/>
                <w:bCs/>
                <w:color w:val="000000"/>
                <w:kern w:val="0"/>
                <w:sz w:val="32"/>
                <w:szCs w:val="32"/>
              </w:rPr>
            </w:pPr>
          </w:p>
        </w:tc>
        <w:tc>
          <w:tcPr>
            <w:tcW w:w="1261" w:type="dxa"/>
            <w:tcBorders>
              <w:top w:val="nil"/>
              <w:left w:val="nil"/>
              <w:bottom w:val="nil"/>
              <w:right w:val="nil"/>
            </w:tcBorders>
            <w:shd w:val="clear" w:color="auto" w:fill="auto"/>
            <w:vAlign w:val="center"/>
          </w:tcPr>
          <w:p w:rsidR="00B63E5E" w:rsidRDefault="00B63E5E">
            <w:pPr>
              <w:widowControl/>
              <w:jc w:val="center"/>
              <w:rPr>
                <w:rFonts w:ascii="宋体" w:eastAsia="宋体" w:hAnsi="宋体" w:cs="宋体"/>
                <w:b/>
                <w:bCs/>
                <w:color w:val="000000"/>
                <w:kern w:val="0"/>
                <w:sz w:val="32"/>
                <w:szCs w:val="32"/>
              </w:rPr>
            </w:pPr>
          </w:p>
        </w:tc>
      </w:tr>
      <w:tr w:rsidR="00B63E5E" w:rsidTr="009739F3">
        <w:trPr>
          <w:trHeight w:val="548"/>
          <w:jc w:val="center"/>
        </w:trPr>
        <w:tc>
          <w:tcPr>
            <w:tcW w:w="1250" w:type="dxa"/>
            <w:gridSpan w:val="2"/>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3960" w:type="dxa"/>
            <w:gridSpan w:val="3"/>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运转性办公经费</w:t>
            </w:r>
          </w:p>
        </w:tc>
        <w:tc>
          <w:tcPr>
            <w:tcW w:w="1740" w:type="dxa"/>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自评总分</w:t>
            </w:r>
            <w:r>
              <w:rPr>
                <w:rFonts w:ascii="宋体" w:eastAsia="宋体" w:hAnsi="宋体" w:cs="宋体" w:hint="eastAsia"/>
                <w:color w:val="000000"/>
                <w:kern w:val="0"/>
                <w:sz w:val="20"/>
                <w:szCs w:val="20"/>
              </w:rPr>
              <w:br/>
              <w:t>（分)</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99</w:t>
            </w:r>
          </w:p>
        </w:tc>
      </w:tr>
      <w:tr w:rsidR="00B63E5E" w:rsidTr="009739F3">
        <w:trPr>
          <w:trHeight w:val="645"/>
          <w:jc w:val="center"/>
        </w:trPr>
        <w:tc>
          <w:tcPr>
            <w:tcW w:w="1250" w:type="dxa"/>
            <w:gridSpan w:val="2"/>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业务主管部门</w:t>
            </w:r>
          </w:p>
        </w:tc>
        <w:tc>
          <w:tcPr>
            <w:tcW w:w="3960" w:type="dxa"/>
            <w:gridSpan w:val="3"/>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重庆市綦江区住房和城乡建设委员会</w:t>
            </w:r>
          </w:p>
        </w:tc>
        <w:tc>
          <w:tcPr>
            <w:tcW w:w="174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联系人</w:t>
            </w:r>
            <w:r>
              <w:rPr>
                <w:rFonts w:ascii="宋体" w:eastAsia="宋体" w:hAnsi="宋体" w:cs="宋体" w:hint="eastAsia"/>
                <w:color w:val="000000"/>
                <w:kern w:val="0"/>
                <w:sz w:val="20"/>
                <w:szCs w:val="20"/>
              </w:rPr>
              <w:br/>
              <w:t>及电话</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85890097</w:t>
            </w:r>
          </w:p>
        </w:tc>
      </w:tr>
      <w:tr w:rsidR="00B63E5E" w:rsidTr="009739F3">
        <w:trPr>
          <w:trHeight w:val="360"/>
          <w:jc w:val="center"/>
        </w:trPr>
        <w:tc>
          <w:tcPr>
            <w:tcW w:w="125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项目资金（万元）</w:t>
            </w:r>
          </w:p>
        </w:tc>
        <w:tc>
          <w:tcPr>
            <w:tcW w:w="1630" w:type="dxa"/>
            <w:tcBorders>
              <w:top w:val="nil"/>
              <w:left w:val="nil"/>
              <w:bottom w:val="single" w:sz="4" w:space="0" w:color="auto"/>
              <w:right w:val="nil"/>
            </w:tcBorders>
            <w:shd w:val="clear" w:color="auto" w:fill="auto"/>
            <w:vAlign w:val="center"/>
          </w:tcPr>
          <w:p w:rsidR="00B63E5E" w:rsidRDefault="00DC49A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全年预算数（A）</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全年执行数（B）</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执行率%（B/A）</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执行率得分（分）</w:t>
            </w:r>
          </w:p>
        </w:tc>
      </w:tr>
      <w:tr w:rsidR="00B63E5E" w:rsidTr="009739F3">
        <w:trPr>
          <w:trHeight w:val="360"/>
          <w:jc w:val="center"/>
        </w:trPr>
        <w:tc>
          <w:tcPr>
            <w:tcW w:w="1250" w:type="dxa"/>
            <w:gridSpan w:val="2"/>
            <w:vMerge/>
            <w:tcBorders>
              <w:top w:val="nil"/>
              <w:left w:val="single" w:sz="4" w:space="0" w:color="auto"/>
              <w:bottom w:val="single" w:sz="4" w:space="0" w:color="000000"/>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年度资金总额：</w:t>
            </w: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20.85</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20.85</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r>
      <w:tr w:rsidR="00B63E5E" w:rsidTr="009739F3">
        <w:trPr>
          <w:trHeight w:val="360"/>
          <w:jc w:val="center"/>
        </w:trPr>
        <w:tc>
          <w:tcPr>
            <w:tcW w:w="1250" w:type="dxa"/>
            <w:gridSpan w:val="2"/>
            <w:vMerge/>
            <w:tcBorders>
              <w:top w:val="nil"/>
              <w:left w:val="single" w:sz="4" w:space="0" w:color="auto"/>
              <w:bottom w:val="single" w:sz="4" w:space="0" w:color="000000"/>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其中：中央补助</w:t>
            </w: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r>
      <w:tr w:rsidR="00B63E5E" w:rsidTr="009739F3">
        <w:trPr>
          <w:trHeight w:val="375"/>
          <w:jc w:val="center"/>
        </w:trPr>
        <w:tc>
          <w:tcPr>
            <w:tcW w:w="1250" w:type="dxa"/>
            <w:gridSpan w:val="2"/>
            <w:vMerge/>
            <w:tcBorders>
              <w:top w:val="nil"/>
              <w:left w:val="single" w:sz="4" w:space="0" w:color="auto"/>
              <w:bottom w:val="single" w:sz="4" w:space="0" w:color="000000"/>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市级补助</w:t>
            </w: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r>
      <w:tr w:rsidR="00B63E5E" w:rsidTr="009739F3">
        <w:trPr>
          <w:trHeight w:val="420"/>
          <w:jc w:val="center"/>
        </w:trPr>
        <w:tc>
          <w:tcPr>
            <w:tcW w:w="1250" w:type="dxa"/>
            <w:gridSpan w:val="2"/>
            <w:vMerge/>
            <w:tcBorders>
              <w:top w:val="nil"/>
              <w:left w:val="single" w:sz="4" w:space="0" w:color="auto"/>
              <w:bottom w:val="single" w:sz="4" w:space="0" w:color="000000"/>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区级资金</w:t>
            </w: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20.85</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20.85</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r>
      <w:tr w:rsidR="00B63E5E" w:rsidTr="009739F3">
        <w:trPr>
          <w:trHeight w:val="330"/>
          <w:jc w:val="center"/>
        </w:trPr>
        <w:tc>
          <w:tcPr>
            <w:tcW w:w="1250" w:type="dxa"/>
            <w:gridSpan w:val="2"/>
            <w:vMerge/>
            <w:tcBorders>
              <w:top w:val="nil"/>
              <w:left w:val="single" w:sz="4" w:space="0" w:color="auto"/>
              <w:bottom w:val="single" w:sz="4" w:space="0" w:color="000000"/>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其他资金</w:t>
            </w: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r>
      <w:tr w:rsidR="00B63E5E" w:rsidTr="009739F3">
        <w:trPr>
          <w:trHeight w:val="510"/>
          <w:jc w:val="center"/>
        </w:trPr>
        <w:tc>
          <w:tcPr>
            <w:tcW w:w="12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年度总体目标</w:t>
            </w:r>
          </w:p>
        </w:tc>
        <w:tc>
          <w:tcPr>
            <w:tcW w:w="3960" w:type="dxa"/>
            <w:gridSpan w:val="3"/>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年初设定目标</w:t>
            </w:r>
          </w:p>
        </w:tc>
        <w:tc>
          <w:tcPr>
            <w:tcW w:w="5851" w:type="dxa"/>
            <w:gridSpan w:val="4"/>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全年目标实际完成情况</w:t>
            </w:r>
          </w:p>
        </w:tc>
      </w:tr>
      <w:tr w:rsidR="00B63E5E" w:rsidTr="009739F3">
        <w:trPr>
          <w:trHeight w:val="883"/>
          <w:jc w:val="center"/>
        </w:trPr>
        <w:tc>
          <w:tcPr>
            <w:tcW w:w="1250" w:type="dxa"/>
            <w:gridSpan w:val="2"/>
            <w:vMerge/>
            <w:tcBorders>
              <w:top w:val="nil"/>
              <w:left w:val="single" w:sz="4" w:space="0" w:color="auto"/>
              <w:bottom w:val="single" w:sz="4" w:space="0" w:color="auto"/>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3960" w:type="dxa"/>
            <w:gridSpan w:val="3"/>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全区CD级危房鉴定，整治</w:t>
            </w:r>
          </w:p>
        </w:tc>
        <w:tc>
          <w:tcPr>
            <w:tcW w:w="5851" w:type="dxa"/>
            <w:gridSpan w:val="4"/>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对全区CD级危房鉴定，保证群众居住安全，无房屋垮塌伤人事故</w:t>
            </w:r>
          </w:p>
        </w:tc>
      </w:tr>
      <w:tr w:rsidR="00B63E5E" w:rsidTr="009739F3">
        <w:trPr>
          <w:trHeight w:val="645"/>
          <w:jc w:val="center"/>
        </w:trPr>
        <w:tc>
          <w:tcPr>
            <w:tcW w:w="1250" w:type="dxa"/>
            <w:gridSpan w:val="2"/>
            <w:vMerge w:val="restart"/>
            <w:tcBorders>
              <w:top w:val="nil"/>
              <w:left w:val="single" w:sz="4" w:space="0" w:color="auto"/>
              <w:bottom w:val="single" w:sz="4" w:space="0" w:color="auto"/>
              <w:right w:val="single" w:sz="4" w:space="0" w:color="auto"/>
            </w:tcBorders>
            <w:shd w:val="clear" w:color="auto" w:fill="auto"/>
            <w:textDirection w:val="tbRlV"/>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绩效指标</w:t>
            </w: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指标名称</w:t>
            </w:r>
            <w:r>
              <w:rPr>
                <w:rFonts w:ascii="宋体" w:eastAsia="宋体" w:hAnsi="宋体" w:cs="宋体" w:hint="eastAsia"/>
                <w:color w:val="000000"/>
                <w:kern w:val="0"/>
                <w:sz w:val="20"/>
                <w:szCs w:val="20"/>
              </w:rPr>
              <w:br/>
              <w:t>（三级指标）</w:t>
            </w:r>
          </w:p>
        </w:tc>
        <w:tc>
          <w:tcPr>
            <w:tcW w:w="1063" w:type="dxa"/>
            <w:tcBorders>
              <w:top w:val="nil"/>
              <w:left w:val="nil"/>
              <w:bottom w:val="single" w:sz="4" w:space="0" w:color="auto"/>
              <w:right w:val="single" w:sz="4" w:space="0" w:color="auto"/>
            </w:tcBorders>
            <w:shd w:val="clear" w:color="auto" w:fill="auto"/>
            <w:noWrap/>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计量单位</w:t>
            </w:r>
          </w:p>
        </w:tc>
        <w:tc>
          <w:tcPr>
            <w:tcW w:w="1267"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指标权重</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全年完成值</w:t>
            </w:r>
          </w:p>
        </w:tc>
        <w:tc>
          <w:tcPr>
            <w:tcW w:w="129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得分系数（%）</w:t>
            </w:r>
          </w:p>
        </w:tc>
        <w:tc>
          <w:tcPr>
            <w:tcW w:w="126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指标得分</w:t>
            </w:r>
            <w:r>
              <w:rPr>
                <w:rFonts w:ascii="宋体" w:eastAsia="宋体" w:hAnsi="宋体" w:cs="宋体" w:hint="eastAsia"/>
                <w:color w:val="000000"/>
                <w:kern w:val="0"/>
                <w:sz w:val="20"/>
                <w:szCs w:val="20"/>
              </w:rPr>
              <w:br/>
              <w:t>（分)</w:t>
            </w:r>
          </w:p>
        </w:tc>
      </w:tr>
      <w:tr w:rsidR="00B63E5E" w:rsidTr="009739F3">
        <w:trPr>
          <w:trHeight w:val="423"/>
          <w:jc w:val="center"/>
        </w:trPr>
        <w:tc>
          <w:tcPr>
            <w:tcW w:w="1250" w:type="dxa"/>
            <w:gridSpan w:val="2"/>
            <w:vMerge/>
            <w:tcBorders>
              <w:top w:val="nil"/>
              <w:left w:val="single" w:sz="4" w:space="0" w:color="auto"/>
              <w:bottom w:val="single" w:sz="4" w:space="0" w:color="auto"/>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服务物业小区</w:t>
            </w:r>
          </w:p>
        </w:tc>
        <w:tc>
          <w:tcPr>
            <w:tcW w:w="1063"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1267"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29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26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r>
      <w:tr w:rsidR="00B63E5E" w:rsidTr="009739F3">
        <w:trPr>
          <w:trHeight w:val="479"/>
          <w:jc w:val="center"/>
        </w:trPr>
        <w:tc>
          <w:tcPr>
            <w:tcW w:w="1250" w:type="dxa"/>
            <w:gridSpan w:val="2"/>
            <w:vMerge/>
            <w:tcBorders>
              <w:top w:val="nil"/>
              <w:left w:val="single" w:sz="4" w:space="0" w:color="auto"/>
              <w:bottom w:val="single" w:sz="4" w:space="0" w:color="auto"/>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群众满意度</w:t>
            </w:r>
          </w:p>
        </w:tc>
        <w:tc>
          <w:tcPr>
            <w:tcW w:w="1063"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67"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740" w:type="dxa"/>
            <w:tcBorders>
              <w:top w:val="nil"/>
              <w:left w:val="single" w:sz="4" w:space="0" w:color="auto"/>
              <w:bottom w:val="single" w:sz="4" w:space="0" w:color="auto"/>
              <w:right w:val="single" w:sz="4" w:space="0" w:color="auto"/>
            </w:tcBorders>
            <w:shd w:val="clear" w:color="auto" w:fill="auto"/>
            <w:noWrap/>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9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126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r>
      <w:tr w:rsidR="00B63E5E" w:rsidTr="009739F3">
        <w:trPr>
          <w:trHeight w:val="451"/>
          <w:jc w:val="center"/>
        </w:trPr>
        <w:tc>
          <w:tcPr>
            <w:tcW w:w="1250" w:type="dxa"/>
            <w:gridSpan w:val="2"/>
            <w:vMerge/>
            <w:tcBorders>
              <w:top w:val="nil"/>
              <w:left w:val="single" w:sz="4" w:space="0" w:color="auto"/>
              <w:bottom w:val="single" w:sz="4" w:space="0" w:color="auto"/>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成本控制</w:t>
            </w:r>
          </w:p>
        </w:tc>
        <w:tc>
          <w:tcPr>
            <w:tcW w:w="1063"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1267"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20.85</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29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26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r>
      <w:tr w:rsidR="00B63E5E" w:rsidTr="009739F3">
        <w:trPr>
          <w:trHeight w:val="437"/>
          <w:jc w:val="center"/>
        </w:trPr>
        <w:tc>
          <w:tcPr>
            <w:tcW w:w="1250" w:type="dxa"/>
            <w:gridSpan w:val="2"/>
            <w:vMerge/>
            <w:tcBorders>
              <w:top w:val="nil"/>
              <w:left w:val="single" w:sz="4" w:space="0" w:color="auto"/>
              <w:bottom w:val="single" w:sz="4" w:space="0" w:color="auto"/>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3"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67"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6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B63E5E" w:rsidTr="009739F3">
        <w:trPr>
          <w:trHeight w:val="465"/>
          <w:jc w:val="center"/>
        </w:trPr>
        <w:tc>
          <w:tcPr>
            <w:tcW w:w="1250" w:type="dxa"/>
            <w:gridSpan w:val="2"/>
            <w:vMerge/>
            <w:tcBorders>
              <w:top w:val="nil"/>
              <w:left w:val="single" w:sz="4" w:space="0" w:color="auto"/>
              <w:bottom w:val="single" w:sz="4" w:space="0" w:color="auto"/>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3"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67"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6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B63E5E" w:rsidTr="009739F3">
        <w:trPr>
          <w:trHeight w:val="493"/>
          <w:jc w:val="center"/>
        </w:trPr>
        <w:tc>
          <w:tcPr>
            <w:tcW w:w="1250" w:type="dxa"/>
            <w:gridSpan w:val="2"/>
            <w:vMerge/>
            <w:tcBorders>
              <w:top w:val="nil"/>
              <w:left w:val="single" w:sz="4" w:space="0" w:color="auto"/>
              <w:bottom w:val="single" w:sz="4" w:space="0" w:color="auto"/>
              <w:right w:val="single" w:sz="4" w:space="0" w:color="auto"/>
            </w:tcBorders>
            <w:vAlign w:val="center"/>
          </w:tcPr>
          <w:p w:rsidR="00B63E5E" w:rsidRDefault="00B63E5E">
            <w:pPr>
              <w:widowControl/>
              <w:jc w:val="left"/>
              <w:rPr>
                <w:rFonts w:ascii="宋体" w:eastAsia="宋体" w:hAnsi="宋体" w:cs="宋体"/>
                <w:color w:val="000000"/>
                <w:kern w:val="0"/>
                <w:sz w:val="20"/>
                <w:szCs w:val="20"/>
              </w:rPr>
            </w:pPr>
          </w:p>
        </w:tc>
        <w:tc>
          <w:tcPr>
            <w:tcW w:w="1630"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63"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67"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40" w:type="dxa"/>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61" w:type="dxa"/>
            <w:tcBorders>
              <w:top w:val="nil"/>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B63E5E" w:rsidTr="009739F3">
        <w:trPr>
          <w:trHeight w:val="2400"/>
          <w:jc w:val="center"/>
        </w:trPr>
        <w:tc>
          <w:tcPr>
            <w:tcW w:w="1250" w:type="dxa"/>
            <w:gridSpan w:val="2"/>
            <w:tcBorders>
              <w:top w:val="nil"/>
              <w:left w:val="single" w:sz="4" w:space="0" w:color="auto"/>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未完成绩效目标或偏离较多的原因、改进措施及其他说明</w:t>
            </w:r>
          </w:p>
        </w:tc>
        <w:tc>
          <w:tcPr>
            <w:tcW w:w="9811" w:type="dxa"/>
            <w:gridSpan w:val="7"/>
            <w:tcBorders>
              <w:top w:val="single" w:sz="4" w:space="0" w:color="auto"/>
              <w:left w:val="nil"/>
              <w:bottom w:val="single" w:sz="4" w:space="0" w:color="auto"/>
              <w:right w:val="single" w:sz="4" w:space="0" w:color="auto"/>
            </w:tcBorders>
            <w:shd w:val="clear" w:color="auto" w:fill="auto"/>
            <w:vAlign w:val="center"/>
          </w:tcPr>
          <w:p w:rsidR="00B63E5E" w:rsidRDefault="00DC49A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B63E5E" w:rsidTr="00EF745E">
        <w:trPr>
          <w:trHeight w:val="270"/>
          <w:jc w:val="center"/>
        </w:trPr>
        <w:tc>
          <w:tcPr>
            <w:tcW w:w="2880" w:type="dxa"/>
            <w:gridSpan w:val="3"/>
            <w:tcBorders>
              <w:top w:val="nil"/>
              <w:left w:val="nil"/>
              <w:bottom w:val="nil"/>
              <w:right w:val="nil"/>
            </w:tcBorders>
            <w:shd w:val="clear" w:color="auto" w:fill="auto"/>
            <w:vAlign w:val="center"/>
          </w:tcPr>
          <w:p w:rsidR="00B63E5E" w:rsidRDefault="00DC49AE">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预算单位主要领导：</w:t>
            </w:r>
            <w:proofErr w:type="gramStart"/>
            <w:r>
              <w:rPr>
                <w:rFonts w:ascii="宋体" w:eastAsia="宋体" w:hAnsi="宋体" w:cs="宋体" w:hint="eastAsia"/>
                <w:kern w:val="0"/>
                <w:sz w:val="20"/>
                <w:szCs w:val="20"/>
              </w:rPr>
              <w:t>王孝银</w:t>
            </w:r>
            <w:proofErr w:type="gramEnd"/>
            <w:r>
              <w:rPr>
                <w:rFonts w:ascii="宋体" w:eastAsia="宋体" w:hAnsi="宋体" w:cs="宋体" w:hint="eastAsia"/>
                <w:kern w:val="0"/>
                <w:sz w:val="20"/>
                <w:szCs w:val="20"/>
              </w:rPr>
              <w:t xml:space="preserve">           </w:t>
            </w:r>
          </w:p>
        </w:tc>
        <w:tc>
          <w:tcPr>
            <w:tcW w:w="2330" w:type="dxa"/>
            <w:gridSpan w:val="2"/>
            <w:tcBorders>
              <w:top w:val="nil"/>
              <w:left w:val="nil"/>
              <w:bottom w:val="nil"/>
              <w:right w:val="nil"/>
            </w:tcBorders>
            <w:shd w:val="clear" w:color="auto" w:fill="auto"/>
            <w:vAlign w:val="center"/>
          </w:tcPr>
          <w:p w:rsidR="00B63E5E" w:rsidRDefault="00DC49AE">
            <w:pPr>
              <w:widowControl/>
              <w:jc w:val="right"/>
              <w:rPr>
                <w:rFonts w:ascii="宋体" w:eastAsia="宋体" w:hAnsi="宋体" w:cs="宋体"/>
                <w:kern w:val="0"/>
                <w:sz w:val="20"/>
                <w:szCs w:val="20"/>
              </w:rPr>
            </w:pPr>
            <w:r>
              <w:rPr>
                <w:rFonts w:ascii="宋体" w:eastAsia="宋体" w:hAnsi="宋体" w:cs="宋体" w:hint="eastAsia"/>
                <w:kern w:val="0"/>
                <w:sz w:val="20"/>
                <w:szCs w:val="20"/>
              </w:rPr>
              <w:t>绩效评价负责人：熊英模</w:t>
            </w:r>
          </w:p>
        </w:tc>
        <w:tc>
          <w:tcPr>
            <w:tcW w:w="3299" w:type="dxa"/>
            <w:gridSpan w:val="2"/>
            <w:tcBorders>
              <w:top w:val="nil"/>
              <w:left w:val="nil"/>
              <w:bottom w:val="nil"/>
              <w:right w:val="nil"/>
            </w:tcBorders>
            <w:shd w:val="clear" w:color="auto" w:fill="auto"/>
            <w:vAlign w:val="center"/>
          </w:tcPr>
          <w:p w:rsidR="00B63E5E" w:rsidRDefault="00DC49AE">
            <w:pPr>
              <w:widowControl/>
              <w:jc w:val="right"/>
              <w:rPr>
                <w:rFonts w:ascii="宋体" w:eastAsia="宋体" w:hAnsi="宋体" w:cs="宋体"/>
                <w:kern w:val="0"/>
                <w:sz w:val="20"/>
                <w:szCs w:val="20"/>
              </w:rPr>
            </w:pPr>
            <w:r>
              <w:rPr>
                <w:rFonts w:ascii="宋体" w:eastAsia="宋体" w:hAnsi="宋体" w:cs="宋体" w:hint="eastAsia"/>
                <w:kern w:val="0"/>
                <w:sz w:val="20"/>
                <w:szCs w:val="20"/>
              </w:rPr>
              <w:t>经办人：张凌云</w:t>
            </w:r>
          </w:p>
        </w:tc>
        <w:tc>
          <w:tcPr>
            <w:tcW w:w="1291" w:type="dxa"/>
            <w:tcBorders>
              <w:top w:val="nil"/>
              <w:left w:val="nil"/>
              <w:bottom w:val="nil"/>
              <w:right w:val="nil"/>
            </w:tcBorders>
            <w:shd w:val="clear" w:color="auto" w:fill="auto"/>
            <w:vAlign w:val="center"/>
          </w:tcPr>
          <w:p w:rsidR="00B63E5E" w:rsidRDefault="00B63E5E">
            <w:pPr>
              <w:widowControl/>
              <w:jc w:val="right"/>
              <w:rPr>
                <w:rFonts w:ascii="宋体" w:eastAsia="宋体" w:hAnsi="宋体" w:cs="宋体"/>
                <w:kern w:val="0"/>
                <w:sz w:val="20"/>
                <w:szCs w:val="20"/>
              </w:rPr>
            </w:pPr>
          </w:p>
        </w:tc>
        <w:tc>
          <w:tcPr>
            <w:tcW w:w="1261" w:type="dxa"/>
            <w:tcBorders>
              <w:top w:val="nil"/>
              <w:left w:val="nil"/>
              <w:bottom w:val="nil"/>
              <w:right w:val="nil"/>
            </w:tcBorders>
            <w:shd w:val="clear" w:color="auto" w:fill="auto"/>
            <w:noWrap/>
            <w:vAlign w:val="center"/>
          </w:tcPr>
          <w:p w:rsidR="00B63E5E" w:rsidRDefault="00B63E5E">
            <w:pPr>
              <w:widowControl/>
              <w:jc w:val="left"/>
              <w:rPr>
                <w:rFonts w:ascii="宋体" w:eastAsia="宋体" w:hAnsi="宋体" w:cs="宋体"/>
                <w:color w:val="000000"/>
                <w:kern w:val="0"/>
                <w:sz w:val="22"/>
              </w:rPr>
            </w:pPr>
          </w:p>
        </w:tc>
      </w:tr>
    </w:tbl>
    <w:p w:rsidR="00B63E5E" w:rsidRDefault="00DC49AE">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lastRenderedPageBreak/>
        <w:t>（三）重点绩效评价结果</w:t>
      </w:r>
    </w:p>
    <w:p w:rsidR="00B63E5E" w:rsidRDefault="00DC49AE">
      <w:pPr>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本部门不涉及重点专项绩效评价项目，未做评价。</w:t>
      </w:r>
    </w:p>
    <w:p w:rsidR="00B63E5E" w:rsidRDefault="00DC49AE">
      <w:pPr>
        <w:pStyle w:val="a5"/>
        <w:shd w:val="clear" w:color="auto" w:fill="FFFFFF"/>
        <w:spacing w:before="0" w:beforeAutospacing="0" w:after="0" w:afterAutospacing="0" w:line="600" w:lineRule="exact"/>
        <w:ind w:firstLineChars="200" w:firstLine="640"/>
        <w:rPr>
          <w:rFonts w:ascii="方正黑体_GBK" w:eastAsia="方正黑体_GBK" w:hAnsi="方正黑体_GBK" w:cs="方正黑体_GBK"/>
          <w:sz w:val="32"/>
          <w:szCs w:val="32"/>
        </w:rPr>
      </w:pPr>
      <w:r>
        <w:rPr>
          <w:rStyle w:val="a6"/>
          <w:rFonts w:ascii="方正黑体_GBK" w:eastAsia="方正黑体_GBK" w:hAnsi="方正黑体_GBK" w:cs="方正黑体_GBK" w:hint="eastAsia"/>
          <w:b w:val="0"/>
          <w:bCs w:val="0"/>
          <w:sz w:val="32"/>
          <w:szCs w:val="32"/>
        </w:rPr>
        <w:t>六、专业名词解释</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（一）财政拨款收入</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指本年度从本级财政部门取得的财政拨款，包括一般公共预算财政拨款和政府性基金预算财政拨款。</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（二）事业收入</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指事业单位开展专业业务活动及其辅助活动取得的现金流入；事业单位收到的财政专户实际核拨的教育收费等资金在此反映。</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（三）经营收入</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指事业单位在专业业务活动及其辅助活动之外开展非独立核算经营活动取得的现金流入。</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（四）其他收入</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（五）使用非财政拨款结余</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指单位在当年的“财政拨款收入”、“事业收入”、“经营收入”、“其他收入”等不足以安排当年支出的情况下，使用以前年度积累的非财政拨款结余弥补本年度收支缺口的资金。</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lastRenderedPageBreak/>
        <w:t>（六）年初结转和结余</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指单位上年结转本年使用的基本支出结转、项目支出结转和结余、经营结余。</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（七）结余分配</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指单位按照国家有关规定，缴纳所得税、提取专用基金、转入非财政拨款结余等当年结余的分配情况。</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（八）年末结转和结余</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指单位结转下年的基本支出结转、项目支出结转和结余、经营结余。</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（九）基本支出</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（十）项目支出</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指在基本支出之外为完成特定行政任务和事业发展目标所发生的支出。</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（十一）经营支出</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指事业单位在专业业务活动及其辅助活动之外开展非独立核算经营活动发生的支出。</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（十二）“三公”经费</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rPr>
        <w:t>费反映</w:t>
      </w:r>
      <w:proofErr w:type="gramEnd"/>
      <w:r>
        <w:rPr>
          <w:rFonts w:ascii="方正仿宋_GBK" w:eastAsia="方正仿宋_GBK" w:hAnsi="方正仿宋_GBK" w:cs="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rPr>
        <w:t>费反映</w:t>
      </w:r>
      <w:proofErr w:type="gramEnd"/>
      <w:r>
        <w:rPr>
          <w:rFonts w:ascii="方正仿宋_GBK" w:eastAsia="方正仿宋_GBK" w:hAnsi="方正仿宋_GBK" w:cs="方正仿宋_GBK" w:hint="eastAsia"/>
          <w:sz w:val="32"/>
          <w:szCs w:val="32"/>
        </w:rPr>
        <w:t>单位公务用车购置支出（</w:t>
      </w:r>
      <w:proofErr w:type="gramStart"/>
      <w:r>
        <w:rPr>
          <w:rFonts w:ascii="方正仿宋_GBK" w:eastAsia="方正仿宋_GBK" w:hAnsi="方正仿宋_GBK" w:cs="方正仿宋_GBK" w:hint="eastAsia"/>
          <w:sz w:val="32"/>
          <w:szCs w:val="32"/>
        </w:rPr>
        <w:t>含车辆</w:t>
      </w:r>
      <w:proofErr w:type="gramEnd"/>
      <w:r>
        <w:rPr>
          <w:rFonts w:ascii="方正仿宋_GBK" w:eastAsia="方正仿宋_GBK" w:hAnsi="方正仿宋_GBK" w:cs="方正仿宋_GBK" w:hint="eastAsia"/>
          <w:sz w:val="32"/>
          <w:szCs w:val="32"/>
        </w:rPr>
        <w:t>购置税）；公务用车运行维护费反映单位按规定保留的公务用车燃料费、维</w:t>
      </w:r>
      <w:r>
        <w:rPr>
          <w:rFonts w:ascii="方正仿宋_GBK" w:eastAsia="方正仿宋_GBK" w:hAnsi="方正仿宋_GBK" w:cs="方正仿宋_GBK" w:hint="eastAsia"/>
          <w:sz w:val="32"/>
          <w:szCs w:val="32"/>
        </w:rPr>
        <w:lastRenderedPageBreak/>
        <w:t>修费、过路过桥费、保险费、安全奖励费用等支出；公务接待</w:t>
      </w:r>
      <w:proofErr w:type="gramStart"/>
      <w:r>
        <w:rPr>
          <w:rFonts w:ascii="方正仿宋_GBK" w:eastAsia="方正仿宋_GBK" w:hAnsi="方正仿宋_GBK" w:cs="方正仿宋_GBK" w:hint="eastAsia"/>
          <w:sz w:val="32"/>
          <w:szCs w:val="32"/>
        </w:rPr>
        <w:t>费反映</w:t>
      </w:r>
      <w:proofErr w:type="gramEnd"/>
      <w:r>
        <w:rPr>
          <w:rFonts w:ascii="方正仿宋_GBK" w:eastAsia="方正仿宋_GBK" w:hAnsi="方正仿宋_GBK" w:cs="方正仿宋_GBK" w:hint="eastAsia"/>
          <w:sz w:val="32"/>
          <w:szCs w:val="32"/>
        </w:rPr>
        <w:t>单位按规定开支的各类公务接待（含外宾接待）支出。</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（十三）机关运行经费</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（十四）工资福利支出（支出经济分类科目类级）</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反映单位开支的在职职工和编制</w:t>
      </w:r>
      <w:proofErr w:type="gramStart"/>
      <w:r>
        <w:rPr>
          <w:rFonts w:ascii="方正仿宋_GBK" w:eastAsia="方正仿宋_GBK" w:hAnsi="方正仿宋_GBK" w:cs="方正仿宋_GBK" w:hint="eastAsia"/>
          <w:sz w:val="32"/>
          <w:szCs w:val="32"/>
        </w:rPr>
        <w:t>外长期</w:t>
      </w:r>
      <w:proofErr w:type="gramEnd"/>
      <w:r>
        <w:rPr>
          <w:rFonts w:ascii="方正仿宋_GBK" w:eastAsia="方正仿宋_GBK" w:hAnsi="方正仿宋_GBK" w:cs="方正仿宋_GBK" w:hint="eastAsia"/>
          <w:sz w:val="32"/>
          <w:szCs w:val="32"/>
        </w:rPr>
        <w:t>聘用人员的各类劳动报酬，以及为上述人员缴纳的各项社会保险费等。</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（十五）商品和服务支出（支出经济分类科目类级）</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反映单位购买商品和服务的支出（不包括用于购置固定资产的支出、战略性和应急储备支出）。</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（十六）对个人和家庭的补助（支出经济分类科目类级）</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反映用于对个人和家庭的补助支出。</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（十七）其他资本性支出（支出经济分类科目类级）</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sz w:val="32"/>
          <w:szCs w:val="32"/>
        </w:rPr>
        <w:t>反映</w:t>
      </w:r>
      <w:proofErr w:type="gramStart"/>
      <w:r>
        <w:rPr>
          <w:rFonts w:ascii="方正仿宋_GBK" w:eastAsia="方正仿宋_GBK" w:hAnsi="方正仿宋_GBK" w:cs="方正仿宋_GBK" w:hint="eastAsia"/>
          <w:sz w:val="32"/>
          <w:szCs w:val="32"/>
        </w:rPr>
        <w:t>非各级</w:t>
      </w:r>
      <w:proofErr w:type="gramEnd"/>
      <w:r>
        <w:rPr>
          <w:rFonts w:ascii="方正仿宋_GBK" w:eastAsia="方正仿宋_GBK" w:hAnsi="方正仿宋_GBK" w:cs="方正仿宋_GBK" w:hint="eastAsia"/>
          <w:sz w:val="32"/>
          <w:szCs w:val="32"/>
        </w:rPr>
        <w:t>发展与改革部门集中安排的用于购置固定资产、战略性和应急性储备、土地和无形资产，以及构建基础设施、大型修缮和财政支持企业更新改造所发生的支出。</w:t>
      </w:r>
    </w:p>
    <w:p w:rsidR="00B63E5E" w:rsidRDefault="00DC49AE">
      <w:pPr>
        <w:pStyle w:val="a5"/>
        <w:shd w:val="clear" w:color="auto" w:fill="FFFFFF"/>
        <w:spacing w:before="0" w:beforeAutospacing="0" w:after="0" w:afterAutospacing="0" w:line="600" w:lineRule="exact"/>
        <w:ind w:firstLineChars="200" w:firstLine="640"/>
        <w:rPr>
          <w:rFonts w:ascii="方正黑体_GBK" w:eastAsia="方正黑体_GBK" w:hAnsi="方正黑体_GBK" w:cs="方正黑体_GBK"/>
          <w:sz w:val="32"/>
          <w:szCs w:val="32"/>
        </w:rPr>
      </w:pPr>
      <w:r>
        <w:rPr>
          <w:rStyle w:val="a6"/>
          <w:rFonts w:ascii="方正黑体_GBK" w:eastAsia="方正黑体_GBK" w:hAnsi="方正黑体_GBK" w:cs="方正黑体_GBK" w:hint="eastAsia"/>
          <w:b w:val="0"/>
          <w:bCs w:val="0"/>
          <w:sz w:val="32"/>
          <w:szCs w:val="32"/>
        </w:rPr>
        <w:t>七、决算公开联系方式及信息反馈渠道</w:t>
      </w:r>
    </w:p>
    <w:p w:rsidR="00B63E5E" w:rsidRDefault="00DC49AE">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本单位决算公开信息反馈和联系方式：023-85890097</w:t>
      </w:r>
    </w:p>
    <w:p w:rsidR="00B63E5E" w:rsidRDefault="00B63E5E">
      <w:pPr>
        <w:spacing w:line="600" w:lineRule="exact"/>
        <w:ind w:firstLineChars="200" w:firstLine="640"/>
        <w:rPr>
          <w:rFonts w:ascii="方正仿宋_GBK" w:eastAsia="方正仿宋_GBK" w:hAnsi="方正仿宋_GBK" w:cs="方正仿宋_GBK"/>
          <w:sz w:val="32"/>
          <w:szCs w:val="32"/>
        </w:rPr>
      </w:pPr>
    </w:p>
    <w:sectPr w:rsidR="00B63E5E" w:rsidSect="00B63E5E">
      <w:footerReference w:type="default" r:id="rId8"/>
      <w:pgSz w:w="11907" w:h="16840"/>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309" w:rsidRDefault="00506309" w:rsidP="00B63E5E">
      <w:r>
        <w:separator/>
      </w:r>
    </w:p>
  </w:endnote>
  <w:endnote w:type="continuationSeparator" w:id="0">
    <w:p w:rsidR="00506309" w:rsidRDefault="00506309" w:rsidP="00B6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E5E" w:rsidRDefault="00506309">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inside;mso-position-horizontal-relative:margin" filled="f" stroked="f">
          <v:textbox style="mso-fit-shape-to-text:t" inset="0,0,0,0">
            <w:txbxContent>
              <w:p w:rsidR="00B63E5E" w:rsidRDefault="00B63E5E">
                <w:pPr>
                  <w:pStyle w:val="a3"/>
                  <w:rPr>
                    <w:rFonts w:ascii="宋体" w:eastAsia="宋体" w:hAnsi="宋体" w:cs="宋体"/>
                    <w:sz w:val="28"/>
                    <w:szCs w:val="28"/>
                  </w:rPr>
                </w:pPr>
                <w:r>
                  <w:rPr>
                    <w:rFonts w:ascii="宋体" w:eastAsia="宋体" w:hAnsi="宋体" w:cs="宋体" w:hint="eastAsia"/>
                    <w:sz w:val="28"/>
                    <w:szCs w:val="28"/>
                  </w:rPr>
                  <w:fldChar w:fldCharType="begin"/>
                </w:r>
                <w:r w:rsidR="00DC49A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461D">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309" w:rsidRDefault="00506309" w:rsidP="00B63E5E">
      <w:r>
        <w:separator/>
      </w:r>
    </w:p>
  </w:footnote>
  <w:footnote w:type="continuationSeparator" w:id="0">
    <w:p w:rsidR="00506309" w:rsidRDefault="00506309" w:rsidP="00B63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69F7"/>
    <w:rsid w:val="000903CB"/>
    <w:rsid w:val="000C1FF7"/>
    <w:rsid w:val="000F7D28"/>
    <w:rsid w:val="001035D6"/>
    <w:rsid w:val="00157454"/>
    <w:rsid w:val="0016356C"/>
    <w:rsid w:val="002469F7"/>
    <w:rsid w:val="00280B86"/>
    <w:rsid w:val="002E55CB"/>
    <w:rsid w:val="00321D6E"/>
    <w:rsid w:val="00433343"/>
    <w:rsid w:val="004B77D6"/>
    <w:rsid w:val="004C47FD"/>
    <w:rsid w:val="00506309"/>
    <w:rsid w:val="006605DF"/>
    <w:rsid w:val="00667110"/>
    <w:rsid w:val="007E0F05"/>
    <w:rsid w:val="00866625"/>
    <w:rsid w:val="0088461D"/>
    <w:rsid w:val="009739F3"/>
    <w:rsid w:val="00A6469A"/>
    <w:rsid w:val="00B63E5E"/>
    <w:rsid w:val="00BD38A2"/>
    <w:rsid w:val="00BD4F19"/>
    <w:rsid w:val="00D5795D"/>
    <w:rsid w:val="00D80304"/>
    <w:rsid w:val="00DC49AE"/>
    <w:rsid w:val="00E4409F"/>
    <w:rsid w:val="00EF745E"/>
    <w:rsid w:val="00F462E1"/>
    <w:rsid w:val="272410D9"/>
    <w:rsid w:val="2B844E53"/>
    <w:rsid w:val="2C474D93"/>
    <w:rsid w:val="62307A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63E5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63E5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63E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3E5E"/>
    <w:rPr>
      <w:b/>
      <w:bCs/>
    </w:rPr>
  </w:style>
  <w:style w:type="character" w:customStyle="1" w:styleId="Char0">
    <w:name w:val="页眉 Char"/>
    <w:basedOn w:val="a0"/>
    <w:link w:val="a4"/>
    <w:uiPriority w:val="99"/>
    <w:semiHidden/>
    <w:qFormat/>
    <w:rsid w:val="00B63E5E"/>
    <w:rPr>
      <w:sz w:val="18"/>
      <w:szCs w:val="18"/>
    </w:rPr>
  </w:style>
  <w:style w:type="character" w:customStyle="1" w:styleId="Char">
    <w:name w:val="页脚 Char"/>
    <w:basedOn w:val="a0"/>
    <w:link w:val="a3"/>
    <w:uiPriority w:val="99"/>
    <w:semiHidden/>
    <w:qFormat/>
    <w:rsid w:val="00B63E5E"/>
    <w:rPr>
      <w:sz w:val="18"/>
      <w:szCs w:val="18"/>
    </w:rPr>
  </w:style>
  <w:style w:type="paragraph" w:customStyle="1" w:styleId="Char1">
    <w:name w:val="Char"/>
    <w:basedOn w:val="a"/>
    <w:qFormat/>
    <w:rsid w:val="00B63E5E"/>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714</Words>
  <Characters>4073</Characters>
  <Application>Microsoft Office Word</Application>
  <DocSecurity>0</DocSecurity>
  <Lines>33</Lines>
  <Paragraphs>9</Paragraphs>
  <ScaleCrop>false</ScaleCrop>
  <Company>Microsoft Corp.</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123</cp:lastModifiedBy>
  <cp:revision>20</cp:revision>
  <dcterms:created xsi:type="dcterms:W3CDTF">2021-10-15T02:38:00Z</dcterms:created>
  <dcterms:modified xsi:type="dcterms:W3CDTF">2024-08-13T04:48:00Z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2268E66353414187A325670A7D481037</vt:lpwstr>
  </property>
</Properties>
</file>