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重庆市綦江区住房保障中心</w:t>
      </w:r>
    </w:p>
    <w:p>
      <w:pPr>
        <w:pStyle w:val="4"/>
        <w:shd w:val="clear" w:color="auto" w:fill="FFFFFF"/>
        <w:spacing w:before="0" w:beforeAutospacing="0" w:after="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2020年度部门决算情况说明</w:t>
      </w:r>
    </w:p>
    <w:p>
      <w:pPr>
        <w:pStyle w:val="4"/>
        <w:shd w:val="clear" w:color="auto" w:fill="FFFFFF"/>
        <w:spacing w:before="0" w:beforeAutospacing="0" w:after="0" w:afterAutospacing="0" w:line="600" w:lineRule="exact"/>
        <w:ind w:firstLine="480" w:firstLineChars="200"/>
        <w:rPr>
          <w:rFonts w:ascii="方正仿宋_GBK" w:hAnsi="方正仿宋_GBK" w:eastAsia="方正仿宋_GBK" w:cs="方正仿宋_GBK"/>
          <w:sz w:val="32"/>
          <w:szCs w:val="32"/>
        </w:rPr>
      </w:pPr>
      <w:r>
        <w:t> </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6"/>
          <w:rFonts w:hint="eastAsia" w:ascii="方正黑体_GBK" w:hAnsi="方正黑体_GBK" w:eastAsia="方正黑体_GBK" w:cs="方正黑体_GBK"/>
          <w:b w:val="0"/>
          <w:bCs w:val="0"/>
          <w:sz w:val="32"/>
          <w:szCs w:val="32"/>
        </w:rPr>
        <w:t>一、部门基本情况</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w:t>
      </w:r>
      <w:r>
        <w:rPr>
          <w:rStyle w:val="6"/>
          <w:rFonts w:hint="eastAsia" w:ascii="方正楷体_GBK" w:hAnsi="方正楷体_GBK" w:eastAsia="方正楷体_GBK" w:cs="方正楷体_GBK"/>
          <w:b w:val="0"/>
          <w:bCs w:val="0"/>
          <w:sz w:val="32"/>
          <w:szCs w:val="32"/>
        </w:rPr>
        <w:t>（一）职能职责</w:t>
      </w:r>
    </w:p>
    <w:p>
      <w:pPr>
        <w:spacing w:line="600" w:lineRule="exact"/>
        <w:ind w:firstLine="643"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 </w:t>
      </w:r>
      <w:r>
        <w:rPr>
          <w:rFonts w:hint="eastAsia" w:ascii="方正仿宋_GBK" w:hAnsi="方正仿宋_GBK" w:eastAsia="方正仿宋_GBK" w:cs="方正仿宋_GBK"/>
          <w:kern w:val="0"/>
          <w:sz w:val="32"/>
          <w:szCs w:val="32"/>
        </w:rPr>
        <w:t>根据綦编〔2013〕6号文件，《重庆市綦江区机构编制委员会关于调整重庆市綦江区住房保障局管理体制及有关事项的通知》，重庆市綦江区住房保障局主要职能职责有：</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1.宣传贯彻国家关于公租房、廉租房、直管公房等保障性住房管理的法律、法规和方针政策，拟定相关配套政策，建立完善住房保障管理制度；</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2.具体组织实施区政府确定的公租房、廉租房、直管公房房源储备、投放计划，配合实施公租房、廉租房、直管公房的政策性资金安排；</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3.负责公租房、廉租房、直管公房申请对象的审核、建库、轮候、配租和购买、出售、回购及交易审核工作；</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4.配合制定公租房、廉租房、直管公房租金标准、物业管理收费标准，审核公租房销售价格；</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5.负责公租房、廉租房、直管公房的租金收取、营业用房公开招租等经营管理；</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6.负责公租房、廉租房、直管公房的住用安全，开展排危解困、大修和日常维护；负责公租房、廉租房、直管公房以共安全设施的管理和维护；</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7.建立公租房、廉租房、直管公房管理信息系统，统计、分析有关住房保障情况；负责公租房、廉租房、直管公房的档案管理；</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8.承办上级交办的其他事项。</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 xml:space="preserve"> （二）机构设置</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重庆市綦江区住房保障局设置6个内设机构：1.办公室；2.财务科；3.房屋保障政策科；4.资产管理科；5.租金征收科；6.建设维护科。</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（三）单位构成</w:t>
      </w:r>
    </w:p>
    <w:p>
      <w:pPr>
        <w:spacing w:line="600" w:lineRule="exact"/>
        <w:ind w:firstLine="643"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kern w:val="0"/>
          <w:sz w:val="32"/>
          <w:szCs w:val="32"/>
        </w:rPr>
        <w:t> </w:t>
      </w:r>
      <w:r>
        <w:rPr>
          <w:rFonts w:hint="eastAsia" w:ascii="方正仿宋_GBK" w:hAnsi="方正仿宋_GBK" w:eastAsia="方正仿宋_GBK" w:cs="方正仿宋_GBK"/>
          <w:kern w:val="0"/>
          <w:sz w:val="32"/>
          <w:szCs w:val="32"/>
        </w:rPr>
        <w:t>本部门无下级预算单位。</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6"/>
          <w:rFonts w:hint="eastAsia" w:ascii="方正黑体_GBK" w:hAnsi="方正黑体_GBK" w:eastAsia="方正黑体_GBK" w:cs="方正黑体_GBK"/>
          <w:b w:val="0"/>
          <w:bCs w:val="0"/>
          <w:sz w:val="32"/>
          <w:szCs w:val="32"/>
        </w:rPr>
        <w:t>二、部门决算情况说明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（一）收入支出决算总体情况说明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rPr>
        <w:t>1.总体情况</w:t>
      </w:r>
      <w:r>
        <w:rPr>
          <w:rFonts w:hint="eastAsia" w:ascii="方正仿宋_GBK" w:hAnsi="方正仿宋_GBK" w:eastAsia="方正仿宋_GBK" w:cs="方正仿宋_GBK"/>
          <w:sz w:val="32"/>
          <w:szCs w:val="32"/>
        </w:rPr>
        <w:t xml:space="preserve">。2020年度收入总计6,777.18万元，支出总计6,777.18万元。收支较上年决算数 减少2,169.93万元、 下降24.3%，主要原因是上级安排保障房安居工程项目资金减少。 </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rPr>
        <w:t>2.收入情况。</w:t>
      </w:r>
      <w:r>
        <w:rPr>
          <w:rFonts w:hint="eastAsia" w:ascii="方正仿宋_GBK" w:hAnsi="方正仿宋_GBK" w:eastAsia="方正仿宋_GBK" w:cs="方正仿宋_GBK"/>
          <w:sz w:val="32"/>
          <w:szCs w:val="32"/>
        </w:rPr>
        <w:t>2020年度收入合计3,949.44万元，较上年决算数减少4,017.50万元，下降50.4%，主要原因是上级安排保障房安居工程项目资金减少。其中：财政拨款收入3,949.44万元，占100%，年初结转和结余2,827.74万元。</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rPr>
        <w:t>3.支出情况。</w:t>
      </w:r>
      <w:r>
        <w:rPr>
          <w:rFonts w:hint="eastAsia" w:ascii="方正仿宋_GBK" w:hAnsi="方正仿宋_GBK" w:eastAsia="方正仿宋_GBK" w:cs="方正仿宋_GBK"/>
          <w:sz w:val="32"/>
          <w:szCs w:val="32"/>
        </w:rPr>
        <w:t>2020年度支出合计2,278.23万元，较上年决算数增加6.07万元，增长0.3%，主要原因是保障房安居工程支出增加。其中：基本支出 1,471.28万元，占64.6%；项目支出806.95万元，占35.4%。</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rPr>
        <w:t>4.结转结余情况。</w:t>
      </w:r>
      <w:r>
        <w:rPr>
          <w:rFonts w:hint="eastAsia" w:ascii="方正仿宋_GBK" w:hAnsi="方正仿宋_GBK" w:eastAsia="方正仿宋_GBK" w:cs="方正仿宋_GBK"/>
          <w:sz w:val="32"/>
          <w:szCs w:val="32"/>
        </w:rPr>
        <w:t>2020年度年末结转和结余4,498.95万元，较上年决算数减少2,176.01万元，下降32.6%，主要原因是上级安排保障房安居工程项目资金减少。</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（二）财政拨款收入支出决算总体情况说明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2020年度财政拨款收、支总计6,777.18万元。与2019年相比，财政拨款收、支总计各减少2,169.93万 元，下降24.3%。主要原因是主要原因是上级安排保障房安居工程项目资金减少。</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（三）一般公共预算财政拨款支出决算情况说明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rPr>
        <w:t>1.收入情况。</w:t>
      </w:r>
      <w:r>
        <w:rPr>
          <w:rFonts w:hint="eastAsia" w:ascii="方正仿宋_GBK" w:hAnsi="方正仿宋_GBK" w:eastAsia="方正仿宋_GBK" w:cs="方正仿宋_GBK"/>
          <w:sz w:val="32"/>
          <w:szCs w:val="32"/>
        </w:rPr>
        <w:t>2020年度一般公共预算财政拨款收入3,949.44万元，较上年决算数减少4,017.50万元，下降50.4%。主要原因是上级安排保障房安居工程项目资金减少。较年初预算数 增加2,228.92万元，增长129.5%。主要原因是增加上级安排保障房安居工程项目资金。此外，年初财政拨款结转和结余2,827.74万元。</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rPr>
        <w:t>2.支出情况。</w:t>
      </w:r>
      <w:r>
        <w:rPr>
          <w:rFonts w:hint="eastAsia" w:ascii="方正仿宋_GBK" w:hAnsi="方正仿宋_GBK" w:eastAsia="方正仿宋_GBK" w:cs="方正仿宋_GBK"/>
          <w:sz w:val="32"/>
          <w:szCs w:val="32"/>
        </w:rPr>
        <w:t>2020年度一般公共预算财政拨款支出2,278.23万元，较上年决算数增加6.07万元，增长0.3%。主要原因是保障房安居工程项目支出增加。较年初预算数 减少6,117.25万 元，下降72.9%。主要原因是保障房安居工程支出。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rPr>
        <w:t>3.结转结余情况。</w:t>
      </w:r>
      <w:r>
        <w:rPr>
          <w:rFonts w:hint="eastAsia" w:ascii="方正仿宋_GBK" w:hAnsi="方正仿宋_GBK" w:eastAsia="方正仿宋_GBK" w:cs="方正仿宋_GBK"/>
          <w:sz w:val="32"/>
          <w:szCs w:val="32"/>
        </w:rPr>
        <w:t>2020年度年末一般公共预算财政拨款结转和结余4,498.95万元，较上年决算数减少2,176.01万元，下降32.6%，主要原因是保障房安居工程资金安排减少。</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仿宋_GBK" w:hAnsi="方正仿宋_GBK" w:eastAsia="方正仿宋_GBK" w:cs="方正仿宋_GBK"/>
          <w:b w:val="0"/>
          <w:bCs w:val="0"/>
          <w:sz w:val="32"/>
          <w:szCs w:val="32"/>
        </w:rPr>
        <w:t>4.比较情况</w:t>
      </w:r>
      <w:r>
        <w:rPr>
          <w:rFonts w:hint="eastAsia" w:ascii="方正仿宋_GBK" w:hAnsi="方正仿宋_GBK" w:eastAsia="方正仿宋_GBK" w:cs="方正仿宋_GBK"/>
          <w:sz w:val="32"/>
          <w:szCs w:val="32"/>
        </w:rPr>
        <w:t>。本部门2020年度一般公共预算财政拨款支出主要用于以下几个方面：</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（1）一般公共服务支出1,378.56万元，占60.5%，较年初预算数减少70.22万元，下降4.8%，主要原因是部分人员经费结转下年支付。</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（2）科学技术支出7.20万元，占0.3%，较年初预算数增加7.20万元，增长%，主要原因是预算指标功能调整。</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（3）社会保障与就业支出358.65万元，占15.7%，较年初预算数增加96.00万元，增长36.6%，主要原因是退休人员健康休养费增加。</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（4）卫生健康支出76.72万元，占3.4%，较年初预算数增加0.03万元，增长0%，与年初预算基本持平。</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（5）城乡社区支出12.16万元，占0.5%，较年初预算数减少17.76万元，下降57.4%，主要原因是维修项目资金结转下年使用。</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（6）住房保障支出457.10万元，占20.1%，较年初预算数减少6,132.50万元，下降93.1%，主要原因是保障性安居工程项目资金结转下年使用。</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（四）一般公共预算财政拨款基本支出决算情况说明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2020年度一般公共财政拨款基本支出1,471.28万元。其中：人员经费1,303.97万元，较上年决算数增加224.35万元，增长20.8%，主要原因是增加人员经费。人员经费用途主要包括：基本工资、津贴补贴、绩效工资、社会保障缴费、公积金等。公用经费167.31万元，较上年决算数减少16.76万元，下降9.1%，主要原因是严格控制各项公用经费支出。公用经费用途主要包括：办公费、水费、电费、邮费、公车运行费、差旅费等。</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（五）政府性基金预算收支决算情况说明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本部门2020年度无政府性基金预算财政拨款收支。</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（六）国有资本经营预算财政拨款支决算情况说明。</w:t>
      </w:r>
      <w:r>
        <w:rPr>
          <w:rFonts w:hint="eastAsia" w:ascii="方正楷体_GBK" w:hAnsi="方正楷体_GBK" w:eastAsia="方正楷体_GBK" w:cs="方正楷体_GBK"/>
          <w:sz w:val="32"/>
          <w:szCs w:val="32"/>
        </w:rPr>
        <w:br w:type="textWrapping"/>
      </w:r>
      <w:r>
        <w:rPr>
          <w:rFonts w:hint="eastAsia" w:ascii="方正仿宋_GBK" w:hAnsi="方正仿宋_GBK" w:eastAsia="方正仿宋_GBK" w:cs="方正仿宋_GBK"/>
          <w:sz w:val="32"/>
          <w:szCs w:val="32"/>
        </w:rPr>
        <w:t> 本部门2020年度无国有资本经营预算财政拨款支出。</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6"/>
          <w:rFonts w:hint="eastAsia" w:ascii="方正黑体_GBK" w:hAnsi="方正黑体_GBK" w:eastAsia="方正黑体_GBK" w:cs="方正黑体_GBK"/>
          <w:b w:val="0"/>
          <w:bCs w:val="0"/>
          <w:sz w:val="32"/>
          <w:szCs w:val="32"/>
        </w:rPr>
        <w:t>三、“三公”经费情况说明</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（一）“三公”经费支出总体情况说明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2020年度“三公”经费支出共计7.75万元，较年初预算数减少1.35万元，下降14.8%； 较上年支出数减少2.52万元，下降24.5%，主要原因是认真落实中央八项规定</w:t>
      </w:r>
      <w:bookmarkStart w:id="0" w:name="_GoBack"/>
      <w:bookmarkEnd w:id="0"/>
      <w:r>
        <w:rPr>
          <w:rFonts w:hint="eastAsia" w:ascii="方正仿宋_GBK" w:hAnsi="方正仿宋_GBK" w:eastAsia="方正仿宋_GBK" w:cs="方正仿宋_GBK"/>
          <w:sz w:val="32"/>
          <w:szCs w:val="32"/>
        </w:rPr>
        <w:t>精神和厉行节约要求，从严控制三公经费，严格公车管理，严禁公车私用，严格执行公务接待要求和标准。</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（二）“三公”经费分项支出情况</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本单位2020年庆未发生因公出境费。</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2020年度未发生公务车购置费。公务车运行维护费7.00万元，主要用于保障性住房日常巡察、汛期排查，租金征收，资产清查，入户调查等。费用支出与年初预算数持平，主要原因是严格按预算执行。较上年支出数减少2.59万元，下降27%，主要原因是严格公车管理，严格费用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0.75万元，主要用于区内外相关部门接待。费用支出较年初预算数减少1.35万元，下降64.3%，主要原因是严格执行公务接待要求和标准。较上年支出数增加0.07万元，增长10.3%，主要原因是增加部门之间工作开展。</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（三）“三公”经费实物量情况</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2020年度本部门未安排因工出境人员；未新购置公务用车辆，公务车保有量为2辆；国内公务接待25批次155人，均为国内公务接待。2020年本部门人均接待费48.38元，车均维护费3.50万元。</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黑体_GBK" w:hAnsi="方正黑体_GBK" w:eastAsia="方正黑体_GBK" w:cs="方正黑体_GBK"/>
          <w:b w:val="0"/>
          <w:bCs w:val="0"/>
          <w:sz w:val="32"/>
          <w:szCs w:val="32"/>
        </w:rPr>
        <w:t>四、其他需要说明的事项</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（一）机关运行经费情况说明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我单位不在机关运行经费统计范围之内。</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本年度会议费支出0.54万元，较上年决算数减少0.03万元，下降5.3%，主要原因是会议次数减少</w:t>
      </w: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sz w:val="32"/>
          <w:szCs w:val="32"/>
        </w:rPr>
        <w:t>本年度培训费支出 0.25万元，较上年决算数减少0.77万元，下降75.5%，主要原因是培训项目减少。</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（二）国有资产占用情况说明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截至2020年12月31日，本部门共有车辆2辆，其中应急保障用车2辆，单价50万元（含）以上通用设备0台（套），单价100万元（含）以上专用设备0台（套）。</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（三）政府采购支出情况说明</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度本部门政府采购支出总额2.96万元，其中：政府采购货物支出2.96万元、政府采购工程支出0.00万元、政府采购服务支出0.00万元。授予中小企业合同金额2.96万元，占政府采购支出总额的100%，其中：授予小微企业合同金额 2.96万元，占政府采购支出总额的100%。主要用于采购办公设备。</w:t>
      </w:r>
    </w:p>
    <w:p>
      <w:pPr>
        <w:pStyle w:val="4"/>
        <w:shd w:val="clear" w:color="auto" w:fill="FFFFFF"/>
        <w:spacing w:before="0" w:beforeAutospacing="0" w:after="0" w:afterAutospacing="0" w:line="600" w:lineRule="exact"/>
        <w:ind w:firstLine="640" w:firstLineChars="200"/>
        <w:rPr>
          <w:rStyle w:val="6"/>
          <w:rFonts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rPr>
        <w:t>五、预算绩效管理情况说明</w:t>
      </w:r>
    </w:p>
    <w:p>
      <w:pPr>
        <w:spacing w:line="600" w:lineRule="exact"/>
        <w:ind w:firstLine="640" w:firstLineChars="200"/>
        <w:rPr>
          <w:rFonts w:ascii="方正楷体_GBK" w:hAnsi="方正楷体_GBK" w:eastAsia="方正楷体_GBK" w:cs="方正楷体_GBK"/>
          <w:kern w:val="0"/>
          <w:sz w:val="32"/>
          <w:szCs w:val="32"/>
        </w:rPr>
      </w:pPr>
      <w:r>
        <w:rPr>
          <w:rStyle w:val="6"/>
          <w:rFonts w:hint="eastAsia" w:ascii="方正楷体_GBK" w:hAnsi="方正楷体_GBK" w:eastAsia="方正楷体_GBK" w:cs="方正楷体_GBK"/>
          <w:b w:val="0"/>
          <w:bCs w:val="0"/>
          <w:sz w:val="32"/>
          <w:szCs w:val="32"/>
        </w:rPr>
        <w:t>（一）预算绩效管理工作开展情况</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预算绩效管理工作开展情况。根据预算绩效管理要求，我中心对9个一般性项目开展了绩效自评，涉及资金2530.2万元。主要涉及公共租赁住房维修、维护；保障房小区物业管理；保障房配租管理及组织排危抢险；保障房配套建设；优抚人员住房补贴等经费，从评价情况来看，自评等级为优。</w:t>
      </w:r>
    </w:p>
    <w:p>
      <w:pPr>
        <w:pStyle w:val="4"/>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6"/>
          <w:rFonts w:hint="eastAsia" w:ascii="方正楷体_GBK" w:hAnsi="方正楷体_GBK" w:eastAsia="方正楷体_GBK" w:cs="方正楷体_GBK"/>
          <w:b w:val="0"/>
          <w:bCs w:val="0"/>
          <w:sz w:val="32"/>
          <w:szCs w:val="32"/>
        </w:rPr>
        <w:t>（二）绩效自评结果</w:t>
      </w:r>
    </w:p>
    <w:p>
      <w:pPr>
        <w:pStyle w:val="4"/>
        <w:shd w:val="clear" w:color="auto" w:fill="FFFFFF"/>
        <w:spacing w:before="0" w:beforeAutospacing="0" w:after="0" w:afterAutospacing="0" w:line="600" w:lineRule="exact"/>
        <w:ind w:firstLine="640" w:firstLineChars="200"/>
        <w:rPr>
          <w:rStyle w:val="6"/>
          <w:rFonts w:ascii="方正仿宋_GBK" w:hAnsi="方正仿宋_GBK" w:eastAsia="方正仿宋_GBK" w:cs="方正仿宋_GBK"/>
          <w:b w:val="0"/>
          <w:bCs w:val="0"/>
          <w:sz w:val="32"/>
          <w:szCs w:val="32"/>
          <w:shd w:val="clear" w:color="auto" w:fill="FFFF00"/>
        </w:rPr>
      </w:pPr>
      <w:r>
        <w:rPr>
          <w:rStyle w:val="6"/>
          <w:rFonts w:hint="eastAsia" w:ascii="方正仿宋_GBK" w:hAnsi="方正仿宋_GBK" w:eastAsia="方正仿宋_GBK" w:cs="方正仿宋_GBK"/>
          <w:b w:val="0"/>
          <w:bCs w:val="0"/>
          <w:sz w:val="32"/>
          <w:szCs w:val="32"/>
        </w:rPr>
        <w:t>1.绩效自评表</w:t>
      </w:r>
    </w:p>
    <w:p>
      <w:pPr>
        <w:pStyle w:val="4"/>
        <w:shd w:val="clear" w:color="auto" w:fill="FFFFFF"/>
      </w:pPr>
    </w:p>
    <w:p>
      <w:pPr>
        <w:pStyle w:val="4"/>
        <w:shd w:val="clear" w:color="auto" w:fill="FFFFFF"/>
      </w:pPr>
    </w:p>
    <w:tbl>
      <w:tblPr>
        <w:tblStyle w:val="7"/>
        <w:tblW w:w="10349" w:type="dxa"/>
        <w:tblInd w:w="-885" w:type="dxa"/>
        <w:tblLayout w:type="fixed"/>
        <w:tblCellMar>
          <w:top w:w="0" w:type="dxa"/>
          <w:left w:w="108" w:type="dxa"/>
          <w:bottom w:w="0" w:type="dxa"/>
          <w:right w:w="108" w:type="dxa"/>
        </w:tblCellMar>
      </w:tblPr>
      <w:tblGrid>
        <w:gridCol w:w="780"/>
        <w:gridCol w:w="355"/>
        <w:gridCol w:w="1411"/>
        <w:gridCol w:w="148"/>
        <w:gridCol w:w="993"/>
        <w:gridCol w:w="159"/>
        <w:gridCol w:w="665"/>
        <w:gridCol w:w="168"/>
        <w:gridCol w:w="354"/>
        <w:gridCol w:w="1063"/>
        <w:gridCol w:w="142"/>
        <w:gridCol w:w="441"/>
        <w:gridCol w:w="923"/>
        <w:gridCol w:w="326"/>
        <w:gridCol w:w="252"/>
        <w:gridCol w:w="1070"/>
        <w:gridCol w:w="388"/>
        <w:gridCol w:w="711"/>
      </w:tblGrid>
      <w:tr>
        <w:tblPrEx>
          <w:tblLayout w:type="fixed"/>
          <w:tblCellMar>
            <w:top w:w="0" w:type="dxa"/>
            <w:left w:w="108" w:type="dxa"/>
            <w:bottom w:w="0" w:type="dxa"/>
            <w:right w:w="108" w:type="dxa"/>
          </w:tblCellMar>
        </w:tblPrEx>
        <w:trPr>
          <w:trHeight w:val="330" w:hRule="atLeast"/>
        </w:trPr>
        <w:tc>
          <w:tcPr>
            <w:tcW w:w="780"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p>
        </w:tc>
        <w:tc>
          <w:tcPr>
            <w:tcW w:w="1766" w:type="dxa"/>
            <w:gridSpan w:val="2"/>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p>
        </w:tc>
        <w:tc>
          <w:tcPr>
            <w:tcW w:w="1300" w:type="dxa"/>
            <w:gridSpan w:val="3"/>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p>
        </w:tc>
        <w:tc>
          <w:tcPr>
            <w:tcW w:w="1187" w:type="dxa"/>
            <w:gridSpan w:val="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646" w:type="dxa"/>
            <w:gridSpan w:val="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501" w:type="dxa"/>
            <w:gridSpan w:val="3"/>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070"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099"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85" w:hRule="atLeast"/>
        </w:trPr>
        <w:tc>
          <w:tcPr>
            <w:tcW w:w="10349" w:type="dxa"/>
            <w:gridSpan w:val="18"/>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r>
              <w:rPr>
                <w:rFonts w:hint="eastAsia" w:ascii="方正小标宋_GBK" w:hAnsi="方正小标宋_GBK" w:eastAsia="方正小标宋_GBK" w:cs="方正小标宋_GBK"/>
                <w:bCs/>
                <w:color w:val="000000"/>
                <w:kern w:val="0"/>
                <w:sz w:val="32"/>
                <w:szCs w:val="32"/>
              </w:rPr>
              <w:t>2020年度部门（单位）项目支出绩效自评表</w:t>
            </w:r>
          </w:p>
        </w:tc>
      </w:tr>
      <w:tr>
        <w:tblPrEx>
          <w:tblLayout w:type="fixed"/>
          <w:tblCellMar>
            <w:top w:w="0" w:type="dxa"/>
            <w:left w:w="108" w:type="dxa"/>
            <w:bottom w:w="0" w:type="dxa"/>
            <w:right w:w="108" w:type="dxa"/>
          </w:tblCellMar>
        </w:tblPrEx>
        <w:trPr>
          <w:trHeight w:val="585" w:hRule="atLeast"/>
        </w:trPr>
        <w:tc>
          <w:tcPr>
            <w:tcW w:w="4679" w:type="dxa"/>
            <w:gridSpan w:val="8"/>
            <w:tcBorders>
              <w:top w:val="nil"/>
              <w:left w:val="nil"/>
              <w:bottom w:val="single" w:color="auto" w:sz="4" w:space="0"/>
              <w:right w:val="nil"/>
            </w:tcBorders>
            <w:shd w:val="clear" w:color="auto" w:fill="auto"/>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填表单位（盖章）：重庆市綦江区住房保障中心</w:t>
            </w:r>
          </w:p>
        </w:tc>
        <w:tc>
          <w:tcPr>
            <w:tcW w:w="1559"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c>
          <w:tcPr>
            <w:tcW w:w="1942" w:type="dxa"/>
            <w:gridSpan w:val="4"/>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c>
          <w:tcPr>
            <w:tcW w:w="1070"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c>
          <w:tcPr>
            <w:tcW w:w="1099" w:type="dxa"/>
            <w:gridSpan w:val="2"/>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p>
        </w:tc>
      </w:tr>
      <w:tr>
        <w:tblPrEx>
          <w:tblLayout w:type="fixed"/>
          <w:tblCellMar>
            <w:top w:w="0" w:type="dxa"/>
            <w:left w:w="108" w:type="dxa"/>
            <w:bottom w:w="0" w:type="dxa"/>
            <w:right w:w="108" w:type="dxa"/>
          </w:tblCellMar>
        </w:tblPrEx>
        <w:trPr>
          <w:trHeight w:val="645" w:hRule="atLeas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项目名称</w:t>
            </w:r>
          </w:p>
        </w:tc>
        <w:tc>
          <w:tcPr>
            <w:tcW w:w="354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优抚公租房补贴</w:t>
            </w:r>
          </w:p>
        </w:tc>
        <w:tc>
          <w:tcPr>
            <w:tcW w:w="155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自评总分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（分)</w:t>
            </w:r>
          </w:p>
        </w:tc>
        <w:tc>
          <w:tcPr>
            <w:tcW w:w="4111"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99</w:t>
            </w:r>
          </w:p>
        </w:tc>
      </w:tr>
      <w:tr>
        <w:tblPrEx>
          <w:tblLayout w:type="fixed"/>
          <w:tblCellMar>
            <w:top w:w="0" w:type="dxa"/>
            <w:left w:w="108" w:type="dxa"/>
            <w:bottom w:w="0" w:type="dxa"/>
            <w:right w:w="108" w:type="dxa"/>
          </w:tblCellMar>
        </w:tblPrEx>
        <w:trPr>
          <w:trHeight w:val="645" w:hRule="atLeas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业务主管部门</w:t>
            </w:r>
          </w:p>
        </w:tc>
        <w:tc>
          <w:tcPr>
            <w:tcW w:w="354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重庆市綦江住房城乡建设委员会</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联系人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及电话</w:t>
            </w:r>
          </w:p>
        </w:tc>
        <w:tc>
          <w:tcPr>
            <w:tcW w:w="4111"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张凌云：85890097</w:t>
            </w:r>
          </w:p>
        </w:tc>
      </w:tr>
      <w:tr>
        <w:tblPrEx>
          <w:tblLayout w:type="fixed"/>
          <w:tblCellMar>
            <w:top w:w="0" w:type="dxa"/>
            <w:left w:w="108" w:type="dxa"/>
            <w:bottom w:w="0" w:type="dxa"/>
            <w:right w:w="108" w:type="dxa"/>
          </w:tblCellMar>
        </w:tblPrEx>
        <w:trPr>
          <w:trHeight w:val="360" w:hRule="atLeast"/>
        </w:trPr>
        <w:tc>
          <w:tcPr>
            <w:tcW w:w="113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项目资金（万元）</w:t>
            </w:r>
          </w:p>
        </w:tc>
        <w:tc>
          <w:tcPr>
            <w:tcW w:w="1559"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全年预算数（A）</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全年执行数（B）</w:t>
            </w:r>
          </w:p>
        </w:tc>
        <w:tc>
          <w:tcPr>
            <w:tcW w:w="16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执行率%（B/A）</w:t>
            </w:r>
          </w:p>
        </w:tc>
        <w:tc>
          <w:tcPr>
            <w:tcW w:w="242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执行率得分（分）</w:t>
            </w:r>
          </w:p>
        </w:tc>
      </w:tr>
      <w:tr>
        <w:tblPrEx>
          <w:tblLayout w:type="fixed"/>
          <w:tblCellMar>
            <w:top w:w="0" w:type="dxa"/>
            <w:left w:w="108" w:type="dxa"/>
            <w:bottom w:w="0" w:type="dxa"/>
            <w:right w:w="108" w:type="dxa"/>
          </w:tblCellMar>
        </w:tblPrEx>
        <w:trPr>
          <w:trHeight w:val="360" w:hRule="atLeast"/>
        </w:trPr>
        <w:tc>
          <w:tcPr>
            <w:tcW w:w="1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9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6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242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10分</w:t>
            </w:r>
          </w:p>
        </w:tc>
      </w:tr>
      <w:tr>
        <w:tblPrEx>
          <w:tblLayout w:type="fixed"/>
          <w:tblCellMar>
            <w:top w:w="0" w:type="dxa"/>
            <w:left w:w="108" w:type="dxa"/>
            <w:bottom w:w="0" w:type="dxa"/>
            <w:right w:w="108" w:type="dxa"/>
          </w:tblCellMar>
        </w:tblPrEx>
        <w:trPr>
          <w:trHeight w:val="360" w:hRule="atLeast"/>
        </w:trPr>
        <w:tc>
          <w:tcPr>
            <w:tcW w:w="1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其中：中央补助</w:t>
            </w:r>
          </w:p>
        </w:tc>
        <w:tc>
          <w:tcPr>
            <w:tcW w:w="19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2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Layout w:type="fixed"/>
          <w:tblCellMar>
            <w:top w:w="0" w:type="dxa"/>
            <w:left w:w="108" w:type="dxa"/>
            <w:bottom w:w="0" w:type="dxa"/>
            <w:right w:w="108" w:type="dxa"/>
          </w:tblCellMar>
        </w:tblPrEx>
        <w:trPr>
          <w:trHeight w:val="375" w:hRule="atLeast"/>
        </w:trPr>
        <w:tc>
          <w:tcPr>
            <w:tcW w:w="1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市级补助</w:t>
            </w:r>
          </w:p>
        </w:tc>
        <w:tc>
          <w:tcPr>
            <w:tcW w:w="19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2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Layout w:type="fixed"/>
          <w:tblCellMar>
            <w:top w:w="0" w:type="dxa"/>
            <w:left w:w="108" w:type="dxa"/>
            <w:bottom w:w="0" w:type="dxa"/>
            <w:right w:w="108" w:type="dxa"/>
          </w:tblCellMar>
        </w:tblPrEx>
        <w:trPr>
          <w:trHeight w:val="420" w:hRule="atLeast"/>
        </w:trPr>
        <w:tc>
          <w:tcPr>
            <w:tcW w:w="1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区级资金</w:t>
            </w:r>
          </w:p>
        </w:tc>
        <w:tc>
          <w:tcPr>
            <w:tcW w:w="19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6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242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Layout w:type="fixed"/>
          <w:tblCellMar>
            <w:top w:w="0" w:type="dxa"/>
            <w:left w:w="108" w:type="dxa"/>
            <w:bottom w:w="0" w:type="dxa"/>
            <w:right w:w="108" w:type="dxa"/>
          </w:tblCellMar>
        </w:tblPrEx>
        <w:trPr>
          <w:trHeight w:val="330" w:hRule="atLeast"/>
        </w:trPr>
        <w:tc>
          <w:tcPr>
            <w:tcW w:w="113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其他资金</w:t>
            </w:r>
          </w:p>
        </w:tc>
        <w:tc>
          <w:tcPr>
            <w:tcW w:w="19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5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9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42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r>
      <w:tr>
        <w:tblPrEx>
          <w:tblLayout w:type="fixed"/>
          <w:tblCellMar>
            <w:top w:w="0" w:type="dxa"/>
            <w:left w:w="108" w:type="dxa"/>
            <w:bottom w:w="0" w:type="dxa"/>
            <w:right w:w="108" w:type="dxa"/>
          </w:tblCellMar>
        </w:tblPrEx>
        <w:trPr>
          <w:trHeight w:val="510" w:hRule="atLeast"/>
        </w:trPr>
        <w:tc>
          <w:tcPr>
            <w:tcW w:w="113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354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年初设定目标</w:t>
            </w:r>
          </w:p>
        </w:tc>
        <w:tc>
          <w:tcPr>
            <w:tcW w:w="567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全年目标实际完成情况</w:t>
            </w:r>
          </w:p>
        </w:tc>
      </w:tr>
      <w:tr>
        <w:tblPrEx>
          <w:tblLayout w:type="fixed"/>
          <w:tblCellMar>
            <w:top w:w="0" w:type="dxa"/>
            <w:left w:w="108" w:type="dxa"/>
            <w:bottom w:w="0" w:type="dxa"/>
            <w:right w:w="108" w:type="dxa"/>
          </w:tblCellMar>
        </w:tblPrEx>
        <w:trPr>
          <w:trHeight w:val="798" w:hRule="atLeast"/>
        </w:trPr>
        <w:tc>
          <w:tcPr>
            <w:tcW w:w="113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354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2020年优抚军人按政策享受租赁补贴</w:t>
            </w:r>
          </w:p>
        </w:tc>
        <w:tc>
          <w:tcPr>
            <w:tcW w:w="567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保障了2020年优抚军人租补贴，共建和谐社会</w:t>
            </w:r>
          </w:p>
        </w:tc>
      </w:tr>
      <w:tr>
        <w:tblPrEx>
          <w:tblLayout w:type="fixed"/>
          <w:tblCellMar>
            <w:top w:w="0" w:type="dxa"/>
            <w:left w:w="108" w:type="dxa"/>
            <w:bottom w:w="0" w:type="dxa"/>
            <w:right w:w="108" w:type="dxa"/>
          </w:tblCellMar>
        </w:tblPrEx>
        <w:trPr>
          <w:trHeight w:val="707" w:hRule="atLeast"/>
        </w:trPr>
        <w:tc>
          <w:tcPr>
            <w:tcW w:w="1135" w:type="dxa"/>
            <w:gridSpan w:val="2"/>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绩效指标</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指标名称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（三级指标）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计量单位</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指标权重</w:t>
            </w:r>
          </w:p>
        </w:tc>
        <w:tc>
          <w:tcPr>
            <w:tcW w:w="141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指标值</w:t>
            </w:r>
          </w:p>
        </w:tc>
        <w:tc>
          <w:tcPr>
            <w:tcW w:w="183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全年完成值</w:t>
            </w:r>
          </w:p>
        </w:tc>
        <w:tc>
          <w:tcPr>
            <w:tcW w:w="13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得分系数（%）</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指标得分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（分)</w:t>
            </w:r>
          </w:p>
        </w:tc>
      </w:tr>
      <w:tr>
        <w:tblPrEx>
          <w:tblLayout w:type="fixed"/>
          <w:tblCellMar>
            <w:top w:w="0" w:type="dxa"/>
            <w:left w:w="108" w:type="dxa"/>
            <w:bottom w:w="0" w:type="dxa"/>
            <w:right w:w="108" w:type="dxa"/>
          </w:tblCellMar>
        </w:tblPrEx>
        <w:trPr>
          <w:trHeight w:val="337" w:hRule="atLeast"/>
        </w:trPr>
        <w:tc>
          <w:tcPr>
            <w:tcW w:w="113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优抚对象</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41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83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268人</w:t>
            </w:r>
          </w:p>
        </w:tc>
        <w:tc>
          <w:tcPr>
            <w:tcW w:w="13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r>
      <w:tr>
        <w:tblPrEx>
          <w:tblLayout w:type="fixed"/>
          <w:tblCellMar>
            <w:top w:w="0" w:type="dxa"/>
            <w:left w:w="108" w:type="dxa"/>
            <w:bottom w:w="0" w:type="dxa"/>
            <w:right w:w="108" w:type="dxa"/>
          </w:tblCellMar>
        </w:tblPrEx>
        <w:trPr>
          <w:trHeight w:val="445" w:hRule="atLeast"/>
        </w:trPr>
        <w:tc>
          <w:tcPr>
            <w:tcW w:w="113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优抚补贴</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元</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41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15万</w:t>
            </w:r>
          </w:p>
        </w:tc>
        <w:tc>
          <w:tcPr>
            <w:tcW w:w="183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19.5万</w:t>
            </w:r>
          </w:p>
        </w:tc>
        <w:tc>
          <w:tcPr>
            <w:tcW w:w="13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r>
      <w:tr>
        <w:tblPrEx>
          <w:tblLayout w:type="fixed"/>
          <w:tblCellMar>
            <w:top w:w="0" w:type="dxa"/>
            <w:left w:w="108" w:type="dxa"/>
            <w:bottom w:w="0" w:type="dxa"/>
            <w:right w:w="108" w:type="dxa"/>
          </w:tblCellMar>
        </w:tblPrEx>
        <w:trPr>
          <w:trHeight w:val="512" w:hRule="atLeast"/>
        </w:trPr>
        <w:tc>
          <w:tcPr>
            <w:tcW w:w="113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服务对象满意度</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41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183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13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r>
      <w:tr>
        <w:tblPrEx>
          <w:tblLayout w:type="fixed"/>
          <w:tblCellMar>
            <w:top w:w="0" w:type="dxa"/>
            <w:left w:w="108" w:type="dxa"/>
            <w:bottom w:w="0" w:type="dxa"/>
            <w:right w:w="108" w:type="dxa"/>
          </w:tblCellMar>
        </w:tblPrEx>
        <w:trPr>
          <w:trHeight w:val="464" w:hRule="atLeast"/>
        </w:trPr>
        <w:tc>
          <w:tcPr>
            <w:tcW w:w="113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2"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41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3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9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2160" w:hRule="atLeas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未完成绩效目标或偏离较多的原因、改进措施及其他说明</w:t>
            </w:r>
          </w:p>
        </w:tc>
        <w:tc>
          <w:tcPr>
            <w:tcW w:w="9214" w:type="dxa"/>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gridBefore w:val="2"/>
          <w:gridAfter w:val="1"/>
          <w:wBefore w:w="1135" w:type="dxa"/>
          <w:wAfter w:w="711" w:type="dxa"/>
          <w:trHeight w:val="270" w:hRule="atLeast"/>
        </w:trPr>
        <w:tc>
          <w:tcPr>
            <w:tcW w:w="3376" w:type="dxa"/>
            <w:gridSpan w:val="5"/>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预算单位主要领导：肖春          </w:t>
            </w:r>
          </w:p>
        </w:tc>
        <w:tc>
          <w:tcPr>
            <w:tcW w:w="3091" w:type="dxa"/>
            <w:gridSpan w:val="6"/>
            <w:tcBorders>
              <w:top w:val="nil"/>
              <w:left w:val="nil"/>
              <w:bottom w:val="nil"/>
              <w:right w:val="nil"/>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绩效评价负责人：熊英模</w:t>
            </w:r>
          </w:p>
        </w:tc>
        <w:tc>
          <w:tcPr>
            <w:tcW w:w="2036" w:type="dxa"/>
            <w:gridSpan w:val="4"/>
            <w:tcBorders>
              <w:top w:val="nil"/>
              <w:left w:val="nil"/>
              <w:bottom w:val="nil"/>
              <w:right w:val="nil"/>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经办人：张凌云</w:t>
            </w:r>
          </w:p>
        </w:tc>
      </w:tr>
    </w:tbl>
    <w:p>
      <w:pPr>
        <w:pStyle w:val="4"/>
        <w:shd w:val="clear" w:color="auto" w:fill="FFFFFF"/>
        <w:spacing w:before="0" w:beforeAutospacing="0" w:after="0" w:afterAutospacing="0" w:line="600" w:lineRule="exact"/>
        <w:ind w:firstLine="643" w:firstLineChars="200"/>
        <w:rPr>
          <w:rStyle w:val="6"/>
          <w:rFonts w:ascii="方正仿宋_GBK" w:hAnsi="方正仿宋_GBK" w:eastAsia="方正仿宋_GBK" w:cs="方正仿宋_GBK"/>
          <w:sz w:val="32"/>
          <w:szCs w:val="32"/>
        </w:rPr>
      </w:pP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（三）重点绩效评价结果</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本部门不涉及重点专项绩效评价项目，未做评价。</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6"/>
          <w:rFonts w:hint="eastAsia" w:ascii="方正黑体_GBK" w:hAnsi="方正黑体_GBK" w:eastAsia="方正黑体_GBK" w:cs="方正黑体_GBK"/>
          <w:b w:val="0"/>
          <w:bCs w:val="0"/>
          <w:sz w:val="32"/>
          <w:szCs w:val="32"/>
        </w:rPr>
        <w:t>六、专业名词解释</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（一）财政拨款收入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（二）事业收入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（三）经营收入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（四）其他收入</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（五）使用非财政拨款结余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（六）年初结转和结余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指单位上年结转本年使用的基本支出结转、项目支出结转和结余、经营结余。</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（七）结余分配</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（八）年末结转和结余</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指单位结转下年的基本支出结转、项目支出结转和结余、经营结余。</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（九）基本支出</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（十）项目支出</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指在基本支出之外为完成特定行政任务和事业发展目标所发生的支出。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（十一）经营支出</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（十二）“三公”经费</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（十三）机关运行经费</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（十四）工资福利支出（支出经济分类科目类级）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（十五）商品和服务支出（支出经济分类科目类级）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（十六）对个人和家庭的补助（支出经济分类科目类级）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反映用于对个人和家庭的补助支出。</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Style w:val="6"/>
          <w:rFonts w:hint="eastAsia" w:ascii="方正楷体_GBK" w:hAnsi="方正楷体_GBK" w:eastAsia="方正楷体_GBK" w:cs="方正楷体_GBK"/>
          <w:b w:val="0"/>
          <w:bCs w:val="0"/>
          <w:sz w:val="32"/>
          <w:szCs w:val="32"/>
        </w:rPr>
        <w:t>（十七）其他资本性支出（支出经济分类科目类级）</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6"/>
          <w:rFonts w:hint="eastAsia" w:ascii="方正黑体_GBK" w:hAnsi="方正黑体_GBK" w:eastAsia="方正黑体_GBK" w:cs="方正黑体_GBK"/>
          <w:b w:val="0"/>
          <w:bCs w:val="0"/>
          <w:sz w:val="32"/>
          <w:szCs w:val="32"/>
        </w:rPr>
        <w:t>七、决算公开联系方式及信息反馈渠道</w:t>
      </w:r>
    </w:p>
    <w:p>
      <w:pPr>
        <w:pStyle w:val="4"/>
        <w:shd w:val="clear" w:color="auto" w:fill="FFFFFF"/>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本单位决算公开信息反馈和联系方式：023-85890097</w:t>
      </w:r>
    </w:p>
    <w:p>
      <w:pPr>
        <w:spacing w:line="600" w:lineRule="exact"/>
        <w:ind w:firstLine="640" w:firstLineChars="200"/>
        <w:rPr>
          <w:rFonts w:ascii="方正仿宋_GBK" w:hAnsi="方正仿宋_GBK" w:eastAsia="方正仿宋_GBK" w:cs="方正仿宋_GBK"/>
          <w:sz w:val="32"/>
          <w:szCs w:val="32"/>
        </w:rPr>
      </w:pPr>
    </w:p>
    <w:sectPr>
      <w:headerReference r:id="rId3" w:type="default"/>
      <w:footerReference r:id="rId4" w:type="default"/>
      <w:pgSz w:w="11907" w:h="16840"/>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F6E7B"/>
    <w:rsid w:val="0007217C"/>
    <w:rsid w:val="0010015B"/>
    <w:rsid w:val="001446A2"/>
    <w:rsid w:val="00157454"/>
    <w:rsid w:val="001A18A6"/>
    <w:rsid w:val="002A4C28"/>
    <w:rsid w:val="002B022A"/>
    <w:rsid w:val="002D2C96"/>
    <w:rsid w:val="00303603"/>
    <w:rsid w:val="0037522A"/>
    <w:rsid w:val="003D49B9"/>
    <w:rsid w:val="0042272C"/>
    <w:rsid w:val="0049487E"/>
    <w:rsid w:val="005F365B"/>
    <w:rsid w:val="00745143"/>
    <w:rsid w:val="0076166A"/>
    <w:rsid w:val="007D1C53"/>
    <w:rsid w:val="007E19AE"/>
    <w:rsid w:val="007F6E7B"/>
    <w:rsid w:val="00846D8F"/>
    <w:rsid w:val="00896186"/>
    <w:rsid w:val="008C5058"/>
    <w:rsid w:val="009D690C"/>
    <w:rsid w:val="00A01CDC"/>
    <w:rsid w:val="00A26C6F"/>
    <w:rsid w:val="00AA1E7B"/>
    <w:rsid w:val="00AC759F"/>
    <w:rsid w:val="00B24895"/>
    <w:rsid w:val="00BE1F61"/>
    <w:rsid w:val="00C070B5"/>
    <w:rsid w:val="00C34749"/>
    <w:rsid w:val="00C86CFF"/>
    <w:rsid w:val="00D02F88"/>
    <w:rsid w:val="00D20887"/>
    <w:rsid w:val="00EA1AF4"/>
    <w:rsid w:val="00ED7FFB"/>
    <w:rsid w:val="00F505D4"/>
    <w:rsid w:val="035C1C78"/>
    <w:rsid w:val="19A802E6"/>
    <w:rsid w:val="25D04209"/>
    <w:rsid w:val="4ED065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12</Pages>
  <Words>840</Words>
  <Characters>4792</Characters>
  <Lines>39</Lines>
  <Paragraphs>11</Paragraphs>
  <ScaleCrop>false</ScaleCrop>
  <LinksUpToDate>false</LinksUpToDate>
  <CharactersWithSpaces>5621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2021-10-15T02:49:00Z</dcterms:created>
  <dc:creator>hp</dc:creator>
  <cp:lastModifiedBy>区住房城乡建委（区人民防空办）</cp:lastModifiedBy>
  <dcterms:modified xsi:type="dcterms:W3CDTF">2022-11-30T02:31:53Z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05FF45E9F2BE42FE81557C4B4139C0EF</vt:lpwstr>
  </property>
</Properties>
</file>