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0"/>
        <w:shd w:val="clear" w:color="auto" w:fill="FFFFFF"/>
        <w:autoSpaceDE w:val="0"/>
        <w:spacing w:line="576" w:lineRule="exact"/>
        <w:jc w:val="center"/>
        <w:rPr>
          <w:rFonts w:hint="default"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rPr>
        <w:t>重庆市綦江区建筑工程质量和安全服务中心</w:t>
      </w:r>
      <w:r>
        <w:rPr>
          <w:rFonts w:ascii="方正小标宋_GBK" w:hAnsi="方正小标宋_GBK" w:eastAsia="方正小标宋_GBK" w:cs="方正小标宋_GBK"/>
          <w:sz w:val="44"/>
          <w:szCs w:val="44"/>
          <w:shd w:val="clear" w:color="auto" w:fill="FFFFFF"/>
        </w:rPr>
        <w:t>20</w:t>
      </w:r>
      <w:r>
        <w:rPr>
          <w:rFonts w:hint="eastAsia" w:ascii="方正小标宋_GBK" w:hAnsi="方正小标宋_GBK" w:eastAsia="方正小标宋_GBK" w:cs="方正小标宋_GBK"/>
          <w:sz w:val="44"/>
          <w:szCs w:val="44"/>
          <w:shd w:val="clear" w:color="auto" w:fill="FFFFFF"/>
          <w:lang w:val="en-US" w:eastAsia="zh-CN"/>
        </w:rPr>
        <w:t>20</w:t>
      </w:r>
      <w:r>
        <w:rPr>
          <w:rFonts w:ascii="方正小标宋_GBK" w:hAnsi="方正小标宋_GBK" w:eastAsia="方正小标宋_GBK" w:cs="方正小标宋_GBK"/>
          <w:sz w:val="44"/>
          <w:szCs w:val="44"/>
          <w:shd w:val="clear" w:color="auto" w:fill="FFFFFF"/>
        </w:rPr>
        <w:t>年度部门决算情况说明</w:t>
      </w:r>
    </w:p>
    <w:p>
      <w:pPr>
        <w:pStyle w:val="40"/>
        <w:shd w:val="clear" w:color="auto" w:fill="FFFFFF"/>
        <w:autoSpaceDE w:val="0"/>
        <w:spacing w:line="576" w:lineRule="exact"/>
        <w:jc w:val="both"/>
        <w:rPr>
          <w:rFonts w:hint="default" w:ascii="方正仿宋_GBK" w:hAnsi="方正仿宋_GBK" w:eastAsia="方正仿宋_GBK" w:cs="方正仿宋_GBK"/>
          <w:sz w:val="32"/>
          <w:szCs w:val="32"/>
          <w:shd w:val="clear" w:color="auto" w:fill="FFFFFF"/>
        </w:rPr>
      </w:pPr>
    </w:p>
    <w:p>
      <w:pPr>
        <w:pStyle w:val="40"/>
        <w:widowControl w:val="0"/>
        <w:shd w:val="clear" w:color="auto" w:fill="FFFFFF"/>
        <w:autoSpaceDE w:val="0"/>
        <w:spacing w:line="576" w:lineRule="exact"/>
        <w:ind w:firstLine="640" w:firstLineChars="200"/>
        <w:jc w:val="both"/>
        <w:rPr>
          <w:rFonts w:hint="default" w:ascii="方正黑体_GBK" w:hAnsi="方正黑体_GBK" w:eastAsia="方正黑体_GBK" w:cs="方正黑体_GBK"/>
          <w:sz w:val="32"/>
          <w:szCs w:val="32"/>
          <w:shd w:val="clear" w:color="auto" w:fill="FFFFFF"/>
        </w:rPr>
      </w:pPr>
      <w:r>
        <w:rPr>
          <w:rFonts w:ascii="方正黑体_GBK" w:hAnsi="方正黑体_GBK" w:eastAsia="方正黑体_GBK" w:cs="方正黑体_GBK"/>
          <w:sz w:val="32"/>
          <w:szCs w:val="32"/>
          <w:shd w:val="clear" w:color="auto" w:fill="FFFFFF"/>
        </w:rPr>
        <w:t>一、部门基本情况</w:t>
      </w:r>
    </w:p>
    <w:p>
      <w:pPr>
        <w:pStyle w:val="40"/>
        <w:widowControl w:val="0"/>
        <w:shd w:val="clear" w:color="auto" w:fill="FFFFFF"/>
        <w:autoSpaceDE w:val="0"/>
        <w:spacing w:line="576" w:lineRule="exact"/>
        <w:ind w:firstLine="640" w:firstLineChars="200"/>
        <w:jc w:val="both"/>
        <w:rPr>
          <w:rFonts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（一）职能职责</w:t>
      </w:r>
    </w:p>
    <w:p>
      <w:pPr>
        <w:autoSpaceDN w:val="0"/>
        <w:spacing w:line="560" w:lineRule="exact"/>
        <w:ind w:firstLine="640"/>
        <w:rPr>
          <w:sz w:val="32"/>
        </w:rPr>
      </w:pPr>
      <w:r>
        <w:rPr>
          <w:rFonts w:eastAsia="方正仿宋_GBK"/>
          <w:sz w:val="32"/>
          <w:szCs w:val="32"/>
        </w:rPr>
        <w:t>1．</w:t>
      </w:r>
      <w:r>
        <w:rPr>
          <w:rFonts w:eastAsia="方正仿宋_GBK"/>
          <w:sz w:val="32"/>
        </w:rPr>
        <w:t>贯彻执行房屋建筑和市政基础设施工程质量和安全生产法律、法规、政策文件及技术标准。</w:t>
      </w:r>
    </w:p>
    <w:p>
      <w:pPr>
        <w:autoSpaceDN w:val="0"/>
        <w:spacing w:line="560" w:lineRule="exact"/>
        <w:ind w:firstLine="640"/>
        <w:rPr>
          <w:rFonts w:eastAsia="方正仿宋_GBK"/>
          <w:sz w:val="32"/>
        </w:rPr>
      </w:pPr>
      <w:r>
        <w:rPr>
          <w:rFonts w:eastAsia="方正仿宋_GBK"/>
          <w:sz w:val="32"/>
        </w:rPr>
        <w:t>2</w:t>
      </w:r>
      <w:r>
        <w:rPr>
          <w:rFonts w:hint="eastAsia" w:eastAsia="方正仿宋_GBK"/>
          <w:sz w:val="32"/>
        </w:rPr>
        <w:t>．承担</w:t>
      </w:r>
      <w:r>
        <w:rPr>
          <w:rFonts w:eastAsia="方正仿宋_GBK"/>
          <w:sz w:val="32"/>
        </w:rPr>
        <w:t>房屋建筑和市政基础设施工程质量安全监督管理</w:t>
      </w:r>
      <w:r>
        <w:rPr>
          <w:rFonts w:hint="eastAsia" w:eastAsia="方正仿宋_GBK"/>
          <w:sz w:val="32"/>
        </w:rPr>
        <w:t>的相关事务性工作</w:t>
      </w:r>
      <w:r>
        <w:rPr>
          <w:rFonts w:eastAsia="方正仿宋_GBK"/>
          <w:sz w:val="32"/>
        </w:rPr>
        <w:t>。</w:t>
      </w:r>
    </w:p>
    <w:p>
      <w:pPr>
        <w:autoSpaceDN w:val="0"/>
        <w:spacing w:line="560" w:lineRule="exact"/>
        <w:ind w:firstLine="640"/>
        <w:rPr>
          <w:sz w:val="32"/>
        </w:rPr>
      </w:pPr>
      <w:r>
        <w:rPr>
          <w:rFonts w:eastAsia="方正仿宋_GBK"/>
          <w:sz w:val="32"/>
        </w:rPr>
        <w:t>3</w:t>
      </w:r>
      <w:r>
        <w:rPr>
          <w:rFonts w:hint="eastAsia" w:eastAsia="方正仿宋_GBK"/>
          <w:sz w:val="32"/>
        </w:rPr>
        <w:t>．承担</w:t>
      </w:r>
      <w:r>
        <w:rPr>
          <w:rFonts w:eastAsia="方正仿宋_GBK"/>
          <w:sz w:val="32"/>
        </w:rPr>
        <w:t>建设系统安全生产综合监督管理</w:t>
      </w:r>
      <w:r>
        <w:rPr>
          <w:rFonts w:hint="eastAsia" w:eastAsia="方正仿宋_GBK"/>
          <w:sz w:val="32"/>
        </w:rPr>
        <w:t>事务性工作</w:t>
      </w:r>
      <w:r>
        <w:rPr>
          <w:rFonts w:eastAsia="方正仿宋_GBK"/>
          <w:sz w:val="32"/>
        </w:rPr>
        <w:t>。</w:t>
      </w:r>
    </w:p>
    <w:p>
      <w:pPr>
        <w:autoSpaceDN w:val="0"/>
        <w:spacing w:line="560" w:lineRule="exact"/>
        <w:ind w:firstLine="640"/>
        <w:rPr>
          <w:sz w:val="32"/>
        </w:rPr>
      </w:pPr>
      <w:r>
        <w:rPr>
          <w:rFonts w:eastAsia="方正仿宋_GBK"/>
          <w:sz w:val="32"/>
        </w:rPr>
        <w:t>4</w:t>
      </w:r>
      <w:r>
        <w:rPr>
          <w:rFonts w:hint="eastAsia" w:eastAsia="方正仿宋_GBK"/>
          <w:sz w:val="32"/>
        </w:rPr>
        <w:t>．</w:t>
      </w:r>
      <w:r>
        <w:rPr>
          <w:rFonts w:eastAsia="方正仿宋_GBK"/>
          <w:sz w:val="32"/>
        </w:rPr>
        <w:t>负责房屋建筑和市政基础设施工程工地特种及非特设备监督管理，开展本行业“三类”人员考核培训工作，</w:t>
      </w:r>
      <w:r>
        <w:rPr>
          <w:rFonts w:hint="eastAsia" w:eastAsia="方正仿宋_GBK"/>
          <w:sz w:val="32"/>
        </w:rPr>
        <w:t>协助</w:t>
      </w:r>
      <w:r>
        <w:rPr>
          <w:rFonts w:eastAsia="方正仿宋_GBK"/>
          <w:sz w:val="32"/>
        </w:rPr>
        <w:t>监督检查从业人员持证上岗</w:t>
      </w:r>
      <w:r>
        <w:rPr>
          <w:rFonts w:hint="eastAsia" w:eastAsia="方正仿宋_GBK"/>
          <w:sz w:val="32"/>
        </w:rPr>
        <w:t>情况</w:t>
      </w:r>
      <w:r>
        <w:rPr>
          <w:rFonts w:eastAsia="方正仿宋_GBK"/>
          <w:sz w:val="32"/>
        </w:rPr>
        <w:t>。</w:t>
      </w:r>
    </w:p>
    <w:p>
      <w:pPr>
        <w:autoSpaceDN w:val="0"/>
        <w:spacing w:line="560" w:lineRule="exact"/>
        <w:ind w:firstLine="640"/>
        <w:rPr>
          <w:sz w:val="32"/>
        </w:rPr>
      </w:pPr>
      <w:r>
        <w:rPr>
          <w:rFonts w:eastAsia="方正仿宋_GBK"/>
          <w:sz w:val="32"/>
        </w:rPr>
        <w:t>5</w:t>
      </w:r>
      <w:r>
        <w:rPr>
          <w:rFonts w:hint="eastAsia" w:eastAsia="方正仿宋_GBK"/>
          <w:sz w:val="32"/>
        </w:rPr>
        <w:t>．</w:t>
      </w:r>
      <w:r>
        <w:rPr>
          <w:rFonts w:eastAsia="方正仿宋_GBK"/>
          <w:sz w:val="32"/>
        </w:rPr>
        <w:t>参与工程质量、安全事故的调查、处理、统计和上报。</w:t>
      </w:r>
    </w:p>
    <w:p>
      <w:pPr>
        <w:autoSpaceDN w:val="0"/>
        <w:spacing w:line="560" w:lineRule="exact"/>
        <w:ind w:firstLine="640"/>
        <w:rPr>
          <w:rFonts w:hint="eastAsia" w:eastAsia="方正仿宋_GBK"/>
          <w:sz w:val="32"/>
        </w:rPr>
      </w:pPr>
      <w:r>
        <w:rPr>
          <w:rFonts w:eastAsia="方正仿宋_GBK"/>
          <w:sz w:val="32"/>
        </w:rPr>
        <w:t>6</w:t>
      </w:r>
      <w:r>
        <w:rPr>
          <w:rFonts w:hint="eastAsia" w:eastAsia="方正仿宋_GBK"/>
          <w:sz w:val="32"/>
        </w:rPr>
        <w:t>．协助主管部门</w:t>
      </w:r>
      <w:r>
        <w:rPr>
          <w:rFonts w:eastAsia="方正仿宋_GBK"/>
          <w:sz w:val="32"/>
        </w:rPr>
        <w:t>监督管理房屋建筑和市政基础设施工程建设项目防雷工程质量</w:t>
      </w:r>
      <w:r>
        <w:rPr>
          <w:rFonts w:hint="eastAsia" w:eastAsia="方正仿宋_GBK"/>
          <w:sz w:val="32"/>
        </w:rPr>
        <w:t>。</w:t>
      </w:r>
    </w:p>
    <w:p>
      <w:pPr>
        <w:autoSpaceDN w:val="0"/>
        <w:spacing w:line="560" w:lineRule="exact"/>
        <w:ind w:firstLine="640"/>
        <w:rPr>
          <w:sz w:val="32"/>
        </w:rPr>
      </w:pPr>
      <w:r>
        <w:rPr>
          <w:rFonts w:eastAsia="方正仿宋_GBK"/>
          <w:sz w:val="32"/>
        </w:rPr>
        <w:t>7</w:t>
      </w:r>
      <w:r>
        <w:rPr>
          <w:rFonts w:hint="eastAsia" w:eastAsia="方正仿宋_GBK"/>
          <w:sz w:val="32"/>
        </w:rPr>
        <w:t>．协助主管部门</w:t>
      </w:r>
      <w:r>
        <w:rPr>
          <w:rFonts w:eastAsia="方正仿宋_GBK"/>
          <w:sz w:val="32"/>
        </w:rPr>
        <w:t>监督管理房屋建筑和市政基础设施工程监理单位、检测机构、商品混凝土生产企业质量和安全生产行为。</w:t>
      </w:r>
    </w:p>
    <w:p>
      <w:pPr>
        <w:autoSpaceDN w:val="0"/>
        <w:spacing w:line="560" w:lineRule="exact"/>
        <w:ind w:firstLine="640"/>
        <w:rPr>
          <w:rFonts w:eastAsia="方正仿宋_GBK"/>
          <w:sz w:val="32"/>
        </w:rPr>
      </w:pPr>
      <w:r>
        <w:rPr>
          <w:rFonts w:eastAsia="方正仿宋_GBK"/>
          <w:sz w:val="32"/>
        </w:rPr>
        <w:t>8</w:t>
      </w:r>
      <w:r>
        <w:rPr>
          <w:rFonts w:hint="eastAsia" w:eastAsia="方正仿宋_GBK"/>
          <w:sz w:val="32"/>
        </w:rPr>
        <w:t>．</w:t>
      </w:r>
      <w:r>
        <w:rPr>
          <w:rFonts w:eastAsia="方正仿宋_GBK"/>
          <w:sz w:val="32"/>
        </w:rPr>
        <w:t>负责处理房屋建筑和市政基础设施工程质量和安全投诉。</w:t>
      </w:r>
    </w:p>
    <w:p>
      <w:pPr>
        <w:autoSpaceDN w:val="0"/>
        <w:spacing w:line="560" w:lineRule="exact"/>
        <w:ind w:firstLine="640"/>
        <w:rPr>
          <w:rFonts w:hint="default" w:ascii="方正楷体_GBK" w:hAnsi="方正楷体_GBK" w:eastAsia="方正楷体_GBK" w:cs="方正楷体_GBK"/>
          <w:sz w:val="32"/>
          <w:szCs w:val="32"/>
          <w:shd w:val="clear" w:color="auto" w:fill="FFFFFF"/>
        </w:rPr>
      </w:pPr>
      <w:r>
        <w:rPr>
          <w:rFonts w:hint="eastAsia" w:eastAsia="方正仿宋_GBK"/>
          <w:sz w:val="32"/>
        </w:rPr>
        <w:t>9．完成主管部门交办的其他工作。</w:t>
      </w:r>
    </w:p>
    <w:p>
      <w:pPr>
        <w:pStyle w:val="40"/>
        <w:widowControl w:val="0"/>
        <w:shd w:val="clear" w:color="auto" w:fill="FFFFFF"/>
        <w:autoSpaceDE w:val="0"/>
        <w:spacing w:line="576" w:lineRule="exact"/>
        <w:ind w:firstLine="640" w:firstLineChars="200"/>
        <w:jc w:val="both"/>
        <w:rPr>
          <w:rFonts w:hint="default" w:ascii="方正黑体_GBK" w:hAnsi="方正黑体_GBK" w:eastAsia="方正黑体_GBK" w:cs="方正黑体_GBK"/>
          <w:sz w:val="32"/>
          <w:szCs w:val="32"/>
          <w:shd w:val="clear" w:color="auto" w:fill="FFFFFF"/>
        </w:rPr>
      </w:pPr>
      <w:r>
        <w:rPr>
          <w:rFonts w:ascii="方正黑体_GBK" w:hAnsi="方正黑体_GBK" w:eastAsia="方正黑体_GBK" w:cs="方正黑体_GBK"/>
          <w:sz w:val="32"/>
          <w:szCs w:val="32"/>
          <w:shd w:val="clear" w:color="auto" w:fill="FFFFFF"/>
        </w:rPr>
        <w:t>二、部门决算情况说明</w:t>
      </w:r>
    </w:p>
    <w:p>
      <w:pPr>
        <w:pStyle w:val="40"/>
        <w:widowControl w:val="0"/>
        <w:shd w:val="clear" w:color="auto" w:fill="FFFFFF"/>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（一）收入支出决算总体情况说明</w:t>
      </w:r>
    </w:p>
    <w:p>
      <w:pPr>
        <w:pStyle w:val="40"/>
        <w:widowControl w:val="0"/>
        <w:shd w:val="clear" w:color="auto" w:fill="FFFFFF"/>
        <w:autoSpaceDE w:val="0"/>
        <w:spacing w:line="576" w:lineRule="exact"/>
        <w:ind w:firstLine="640" w:firstLineChars="200"/>
        <w:jc w:val="both"/>
        <w:rPr>
          <w:rFonts w:hint="default" w:ascii="方正仿宋_GBK" w:hAnsi="方正仿宋_GBK" w:eastAsia="方正仿宋_GBK" w:cs="方正仿宋_GBK"/>
          <w:sz w:val="32"/>
          <w:szCs w:val="32"/>
          <w:shd w:val="clear" w:color="auto" w:fill="FFFFFF"/>
        </w:rPr>
      </w:pPr>
      <w:r>
        <w:rPr>
          <w:rStyle w:val="47"/>
          <w:rFonts w:hint="eastAsia" w:ascii="方正仿宋_GBK" w:hAnsi="方正仿宋_GBK" w:eastAsia="方正仿宋_GBK" w:cs="方正仿宋_GBK"/>
          <w:b w:val="0"/>
          <w:sz w:val="32"/>
          <w:szCs w:val="32"/>
          <w:shd w:val="clear" w:color="auto" w:fill="FFFFFF"/>
        </w:rPr>
        <w:t>1.总体情况</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lang w:val="en-US"/>
        </w:rPr>
      </w:pPr>
      <w:r>
        <w:rPr>
          <w:rFonts w:hint="eastAsia" w:ascii="方正仿宋_GBK" w:hAnsi="方正仿宋_GBK" w:eastAsia="方正仿宋_GBK" w:cs="方正仿宋_GBK"/>
          <w:sz w:val="32"/>
          <w:szCs w:val="32"/>
          <w:shd w:val="clear" w:color="auto" w:fill="FFFFFF"/>
          <w:lang w:val="en-US" w:eastAsia="zh-CN"/>
        </w:rPr>
        <w:t>2020</w:t>
      </w:r>
      <w:r>
        <w:rPr>
          <w:rFonts w:ascii="方正仿宋_GBK" w:hAnsi="方正仿宋_GBK" w:eastAsia="方正仿宋_GBK" w:cs="方正仿宋_GBK"/>
          <w:sz w:val="32"/>
          <w:szCs w:val="32"/>
          <w:shd w:val="clear" w:color="auto" w:fill="FFFFFF"/>
        </w:rPr>
        <w:t>年度收入总计</w:t>
      </w:r>
      <w:r>
        <w:rPr>
          <w:rFonts w:hint="eastAsia" w:ascii="方正仿宋_GBK" w:hAnsi="方正仿宋_GBK" w:eastAsia="方正仿宋_GBK" w:cs="方正仿宋_GBK"/>
          <w:sz w:val="32"/>
          <w:szCs w:val="32"/>
          <w:shd w:val="clear" w:color="auto" w:fill="FFFFFF"/>
        </w:rPr>
        <w:t>646.25</w:t>
      </w:r>
      <w:r>
        <w:rPr>
          <w:rFonts w:ascii="方正仿宋_GBK" w:hAnsi="方正仿宋_GBK" w:eastAsia="方正仿宋_GBK" w:cs="方正仿宋_GBK"/>
          <w:sz w:val="32"/>
          <w:szCs w:val="32"/>
          <w:shd w:val="clear" w:color="auto" w:fill="FFFFFF"/>
        </w:rPr>
        <w:t>万元，支出总计</w:t>
      </w:r>
      <w:r>
        <w:rPr>
          <w:rFonts w:hint="eastAsia" w:ascii="方正仿宋_GBK" w:hAnsi="方正仿宋_GBK" w:eastAsia="方正仿宋_GBK" w:cs="方正仿宋_GBK"/>
          <w:sz w:val="32"/>
          <w:szCs w:val="32"/>
          <w:shd w:val="clear" w:color="auto" w:fill="FFFFFF"/>
        </w:rPr>
        <w:t>646.25</w:t>
      </w:r>
      <w:r>
        <w:rPr>
          <w:rFonts w:ascii="方正仿宋_GBK" w:hAnsi="方正仿宋_GBK" w:eastAsia="方正仿宋_GBK" w:cs="方正仿宋_GBK"/>
          <w:sz w:val="32"/>
          <w:szCs w:val="32"/>
          <w:shd w:val="clear" w:color="auto" w:fill="FFFFFF"/>
        </w:rPr>
        <w:t>万元。收支较上年决算数</w:t>
      </w:r>
      <w:r>
        <w:rPr>
          <w:rFonts w:hint="eastAsia" w:ascii="方正仿宋_GBK" w:hAnsi="方正仿宋_GBK" w:eastAsia="方正仿宋_GBK" w:cs="方正仿宋_GBK"/>
          <w:sz w:val="32"/>
          <w:szCs w:val="32"/>
          <w:shd w:val="clear" w:color="auto" w:fill="FFFFFF"/>
          <w:lang w:val="en-US" w:eastAsia="zh-CN"/>
        </w:rPr>
        <w:t>74.89</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增加13.11</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增加</w:t>
      </w:r>
      <w:r>
        <w:rPr>
          <w:rFonts w:ascii="方正仿宋_GBK" w:hAnsi="方正仿宋_GBK" w:eastAsia="方正仿宋_GBK" w:cs="方正仿宋_GBK"/>
          <w:sz w:val="32"/>
          <w:szCs w:val="32"/>
          <w:shd w:val="clear" w:color="auto" w:fill="FFFFFF"/>
        </w:rPr>
        <w:t>的主要原因是：</w:t>
      </w:r>
      <w:r>
        <w:rPr>
          <w:rFonts w:hint="eastAsia" w:ascii="方正仿宋_GBK" w:hAnsi="方正仿宋_GBK" w:eastAsia="方正仿宋_GBK" w:cs="方正仿宋_GBK"/>
          <w:sz w:val="32"/>
          <w:szCs w:val="32"/>
          <w:shd w:val="clear" w:color="auto" w:fill="FFFFFF"/>
          <w:lang w:val="en-US" w:eastAsia="zh-CN"/>
        </w:rPr>
        <w:t>一是城乡社区支出收入471.36万元，较上年增加40.89万元；二是城乡社区支出506.82万元，较上年增加76.13万元。</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Style w:val="47"/>
          <w:rFonts w:hint="eastAsia" w:ascii="方正仿宋_GBK" w:hAnsi="方正仿宋_GBK" w:eastAsia="方正仿宋_GBK" w:cs="方正仿宋_GBK"/>
          <w:b w:val="0"/>
          <w:sz w:val="32"/>
          <w:szCs w:val="32"/>
          <w:shd w:val="clear" w:color="auto" w:fill="FFFFFF"/>
        </w:rPr>
        <w:t>2.收入情况</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20</w:t>
      </w:r>
      <w:r>
        <w:rPr>
          <w:rFonts w:hint="eastAsia" w:ascii="方正仿宋_GBK" w:hAnsi="方正仿宋_GBK" w:eastAsia="方正仿宋_GBK" w:cs="方正仿宋_GBK"/>
          <w:sz w:val="32"/>
          <w:szCs w:val="32"/>
          <w:shd w:val="clear" w:color="auto" w:fill="FFFFFF"/>
          <w:lang w:val="en-US" w:eastAsia="zh-CN"/>
        </w:rPr>
        <w:t>20</w:t>
      </w:r>
      <w:r>
        <w:rPr>
          <w:rFonts w:ascii="方正仿宋_GBK" w:hAnsi="方正仿宋_GBK" w:eastAsia="方正仿宋_GBK" w:cs="方正仿宋_GBK"/>
          <w:sz w:val="32"/>
          <w:szCs w:val="32"/>
          <w:shd w:val="clear" w:color="auto" w:fill="FFFFFF"/>
        </w:rPr>
        <w:t>年度收入合计</w:t>
      </w:r>
      <w:r>
        <w:rPr>
          <w:rFonts w:hint="eastAsia" w:ascii="方正仿宋_GBK" w:hAnsi="方正仿宋_GBK" w:eastAsia="方正仿宋_GBK" w:cs="方正仿宋_GBK"/>
          <w:sz w:val="32"/>
          <w:szCs w:val="32"/>
          <w:shd w:val="clear" w:color="auto" w:fill="FFFFFF"/>
        </w:rPr>
        <w:t>572.32</w:t>
      </w:r>
      <w:r>
        <w:rPr>
          <w:rFonts w:ascii="方正仿宋_GBK" w:hAnsi="方正仿宋_GBK" w:eastAsia="方正仿宋_GBK" w:cs="方正仿宋_GBK"/>
          <w:sz w:val="32"/>
          <w:szCs w:val="32"/>
          <w:shd w:val="clear" w:color="auto" w:fill="FFFFFF"/>
        </w:rPr>
        <w:t>万元，较上年决算数增加</w:t>
      </w:r>
      <w:r>
        <w:rPr>
          <w:rFonts w:hint="eastAsia" w:ascii="方正仿宋_GBK" w:hAnsi="方正仿宋_GBK" w:eastAsia="方正仿宋_GBK" w:cs="方正仿宋_GBK"/>
          <w:sz w:val="32"/>
          <w:szCs w:val="32"/>
          <w:shd w:val="clear" w:color="auto" w:fill="FFFFFF"/>
          <w:lang w:val="en-US" w:eastAsia="zh-CN"/>
        </w:rPr>
        <w:t>30.62</w:t>
      </w:r>
      <w:r>
        <w:rPr>
          <w:rFonts w:ascii="方正仿宋_GBK" w:hAnsi="方正仿宋_GBK" w:eastAsia="方正仿宋_GBK" w:cs="方正仿宋_GBK"/>
          <w:sz w:val="32"/>
          <w:szCs w:val="32"/>
          <w:shd w:val="clear" w:color="auto" w:fill="FFFFFF"/>
        </w:rPr>
        <w:t>万元，增长</w:t>
      </w:r>
      <w:r>
        <w:rPr>
          <w:rFonts w:hint="eastAsia" w:ascii="方正仿宋_GBK" w:hAnsi="方正仿宋_GBK" w:eastAsia="方正仿宋_GBK" w:cs="方正仿宋_GBK"/>
          <w:sz w:val="32"/>
          <w:szCs w:val="32"/>
          <w:shd w:val="clear" w:color="auto" w:fill="FFFFFF"/>
          <w:lang w:val="en-US" w:eastAsia="zh-CN"/>
        </w:rPr>
        <w:t>5.65</w:t>
      </w:r>
      <w:r>
        <w:rPr>
          <w:rFonts w:ascii="方正仿宋_GBK" w:hAnsi="方正仿宋_GBK" w:eastAsia="方正仿宋_GBK" w:cs="方正仿宋_GBK"/>
          <w:sz w:val="32"/>
          <w:szCs w:val="32"/>
          <w:shd w:val="clear" w:color="auto" w:fill="FFFFFF"/>
        </w:rPr>
        <w:t>%，增长的主要原因是：</w:t>
      </w:r>
      <w:r>
        <w:rPr>
          <w:rFonts w:hint="eastAsia" w:ascii="方正仿宋_GBK" w:hAnsi="方正仿宋_GBK" w:eastAsia="方正仿宋_GBK" w:cs="方正仿宋_GBK"/>
          <w:sz w:val="32"/>
          <w:szCs w:val="32"/>
          <w:shd w:val="clear" w:color="auto" w:fill="FFFFFF"/>
        </w:rPr>
        <w:t>社会保障和就业支出</w:t>
      </w:r>
      <w:r>
        <w:rPr>
          <w:rFonts w:hint="eastAsia" w:ascii="方正仿宋_GBK" w:hAnsi="方正仿宋_GBK" w:eastAsia="方正仿宋_GBK" w:cs="方正仿宋_GBK"/>
          <w:sz w:val="32"/>
          <w:szCs w:val="32"/>
          <w:shd w:val="clear" w:color="auto" w:fill="FFFFFF"/>
          <w:lang w:val="en-US" w:eastAsia="zh-CN"/>
        </w:rPr>
        <w:t>预算收入</w:t>
      </w:r>
      <w:r>
        <w:rPr>
          <w:rFonts w:hint="eastAsia" w:ascii="方正仿宋_GBK" w:hAnsi="方正仿宋_GBK" w:eastAsia="方正仿宋_GBK" w:cs="方正仿宋_GBK"/>
          <w:sz w:val="32"/>
          <w:szCs w:val="32"/>
          <w:shd w:val="clear" w:color="auto" w:fill="FFFFFF"/>
        </w:rPr>
        <w:t>54.95</w:t>
      </w:r>
      <w:r>
        <w:rPr>
          <w:rFonts w:hint="eastAsia" w:ascii="方正仿宋_GBK" w:hAnsi="方正仿宋_GBK" w:eastAsia="方正仿宋_GBK" w:cs="方正仿宋_GBK"/>
          <w:sz w:val="32"/>
          <w:szCs w:val="32"/>
          <w:shd w:val="clear" w:color="auto" w:fill="FFFFFF"/>
          <w:lang w:val="en-US" w:eastAsia="zh-CN"/>
        </w:rPr>
        <w:t>万元，较上年减少8.39万元；卫生健康支出预算收入23.27万元，较上年增加0.15万元；城乡社区支出预算收入471.36万元，较上年增加40.89万元；住房保障支出预算收入22.73万元，较上年减少2.03万元。</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其中，财政拨款收入</w:t>
      </w:r>
      <w:r>
        <w:rPr>
          <w:rFonts w:hint="eastAsia" w:ascii="方正仿宋_GBK" w:hAnsi="方正仿宋_GBK" w:eastAsia="方正仿宋_GBK" w:cs="方正仿宋_GBK"/>
          <w:sz w:val="32"/>
          <w:szCs w:val="32"/>
          <w:shd w:val="clear" w:color="auto" w:fill="FFFFFF"/>
        </w:rPr>
        <w:t>572.32</w:t>
      </w:r>
      <w:r>
        <w:rPr>
          <w:rFonts w:ascii="方正仿宋_GBK" w:hAnsi="方正仿宋_GBK" w:eastAsia="方正仿宋_GBK" w:cs="方正仿宋_GBK"/>
          <w:sz w:val="32"/>
          <w:szCs w:val="32"/>
          <w:shd w:val="clear" w:color="auto" w:fill="FFFFFF"/>
        </w:rPr>
        <w:t>万元，占当年收入的100.00%；年初结转和结余</w:t>
      </w:r>
      <w:r>
        <w:rPr>
          <w:rFonts w:hint="eastAsia" w:ascii="方正仿宋_GBK" w:hAnsi="方正仿宋_GBK" w:eastAsia="方正仿宋_GBK" w:cs="方正仿宋_GBK"/>
          <w:sz w:val="32"/>
          <w:szCs w:val="32"/>
          <w:shd w:val="clear" w:color="auto" w:fill="FFFFFF"/>
        </w:rPr>
        <w:t>73.94</w:t>
      </w:r>
      <w:r>
        <w:rPr>
          <w:rFonts w:ascii="方正仿宋_GBK" w:hAnsi="方正仿宋_GBK" w:eastAsia="方正仿宋_GBK" w:cs="方正仿宋_GBK"/>
          <w:sz w:val="32"/>
          <w:szCs w:val="32"/>
          <w:shd w:val="clear" w:color="auto" w:fill="FFFFFF"/>
        </w:rPr>
        <w:t>万元。</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Style w:val="47"/>
          <w:rFonts w:hint="eastAsia" w:ascii="方正仿宋_GBK" w:hAnsi="方正仿宋_GBK" w:eastAsia="方正仿宋_GBK" w:cs="方正仿宋_GBK"/>
          <w:b w:val="0"/>
          <w:sz w:val="32"/>
          <w:szCs w:val="32"/>
          <w:shd w:val="clear" w:color="auto" w:fill="FFFFFF"/>
        </w:rPr>
        <w:t>3.支出情况</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2</w:t>
      </w:r>
      <w:r>
        <w:rPr>
          <w:rFonts w:hint="eastAsia" w:ascii="方正仿宋_GBK" w:hAnsi="方正仿宋_GBK" w:eastAsia="方正仿宋_GBK" w:cs="方正仿宋_GBK"/>
          <w:sz w:val="32"/>
          <w:szCs w:val="32"/>
          <w:shd w:val="clear" w:color="auto" w:fill="FFFFFF"/>
          <w:lang w:val="en-US" w:eastAsia="zh-CN"/>
        </w:rPr>
        <w:t>020</w:t>
      </w:r>
      <w:r>
        <w:rPr>
          <w:rFonts w:ascii="方正仿宋_GBK" w:hAnsi="方正仿宋_GBK" w:eastAsia="方正仿宋_GBK" w:cs="方正仿宋_GBK"/>
          <w:sz w:val="32"/>
          <w:szCs w:val="32"/>
          <w:shd w:val="clear" w:color="auto" w:fill="FFFFFF"/>
        </w:rPr>
        <w:t>年度支出合计</w:t>
      </w:r>
      <w:r>
        <w:rPr>
          <w:rFonts w:hint="eastAsia" w:ascii="方正仿宋_GBK" w:hAnsi="方正仿宋_GBK" w:eastAsia="方正仿宋_GBK" w:cs="方正仿宋_GBK"/>
          <w:sz w:val="32"/>
          <w:szCs w:val="32"/>
          <w:shd w:val="clear" w:color="auto" w:fill="FFFFFF"/>
        </w:rPr>
        <w:t>621.08</w:t>
      </w:r>
      <w:r>
        <w:rPr>
          <w:rFonts w:ascii="方正仿宋_GBK" w:hAnsi="方正仿宋_GBK" w:eastAsia="方正仿宋_GBK" w:cs="方正仿宋_GBK"/>
          <w:sz w:val="32"/>
          <w:szCs w:val="32"/>
          <w:shd w:val="clear" w:color="auto" w:fill="FFFFFF"/>
        </w:rPr>
        <w:t>万元，较上年决算数</w:t>
      </w:r>
      <w:r>
        <w:rPr>
          <w:rFonts w:hint="eastAsia" w:ascii="方正仿宋_GBK" w:hAnsi="方正仿宋_GBK" w:eastAsia="方正仿宋_GBK" w:cs="方正仿宋_GBK"/>
          <w:sz w:val="32"/>
          <w:szCs w:val="32"/>
          <w:shd w:val="clear" w:color="auto" w:fill="FFFFFF"/>
          <w:lang w:val="en-US" w:eastAsia="zh-CN"/>
        </w:rPr>
        <w:t>增加85.19</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增加15.90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社会保障和就业支出65.65</w:t>
      </w:r>
      <w:r>
        <w:rPr>
          <w:rFonts w:hint="eastAsia" w:ascii="方正仿宋_GBK" w:hAnsi="方正仿宋_GBK" w:eastAsia="方正仿宋_GBK" w:cs="方正仿宋_GBK"/>
          <w:sz w:val="32"/>
          <w:szCs w:val="32"/>
          <w:shd w:val="clear" w:color="auto" w:fill="FFFFFF"/>
          <w:lang w:val="en-US" w:eastAsia="zh-CN"/>
        </w:rPr>
        <w:t>万元</w:t>
      </w:r>
      <w:r>
        <w:rPr>
          <w:rFonts w:hint="eastAsia" w:ascii="方正仿宋_GBK" w:hAnsi="方正仿宋_GBK" w:eastAsia="方正仿宋_GBK" w:cs="方正仿宋_GBK"/>
          <w:sz w:val="32"/>
          <w:szCs w:val="32"/>
          <w:shd w:val="clear" w:color="auto" w:fill="FFFFFF"/>
          <w:lang w:eastAsia="zh-CN"/>
        </w:rPr>
        <w:t>，较上年增</w:t>
      </w:r>
      <w:r>
        <w:rPr>
          <w:rFonts w:hint="eastAsia" w:ascii="方正仿宋_GBK" w:hAnsi="方正仿宋_GBK" w:eastAsia="方正仿宋_GBK" w:cs="方正仿宋_GBK"/>
          <w:sz w:val="32"/>
          <w:szCs w:val="32"/>
          <w:shd w:val="clear" w:color="auto" w:fill="FFFFFF"/>
          <w:lang w:val="en-US" w:eastAsia="zh-CN"/>
        </w:rPr>
        <w:t>加5.72万元；卫生健康支出24.43万元，较上年增加2.46万元；城乡社区支出506.82万元，较上年增加76.13万元；住房保障支出24.19万元，较上年增加0.89万元。</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其中，基本支出</w:t>
      </w:r>
      <w:r>
        <w:rPr>
          <w:rFonts w:hint="eastAsia" w:ascii="方正仿宋_GBK" w:hAnsi="方正仿宋_GBK" w:eastAsia="方正仿宋_GBK" w:cs="方正仿宋_GBK"/>
          <w:sz w:val="32"/>
          <w:szCs w:val="32"/>
          <w:shd w:val="clear" w:color="auto" w:fill="FFFFFF"/>
        </w:rPr>
        <w:t>534.78</w:t>
      </w:r>
      <w:r>
        <w:rPr>
          <w:rFonts w:ascii="方正仿宋_GBK" w:hAnsi="方正仿宋_GBK" w:eastAsia="方正仿宋_GBK" w:cs="方正仿宋_GBK"/>
          <w:sz w:val="32"/>
          <w:szCs w:val="32"/>
          <w:shd w:val="clear" w:color="auto" w:fill="FFFFFF"/>
        </w:rPr>
        <w:t>万元，占</w:t>
      </w:r>
      <w:r>
        <w:rPr>
          <w:rFonts w:hint="eastAsia" w:ascii="方正仿宋_GBK" w:hAnsi="方正仿宋_GBK" w:eastAsia="方正仿宋_GBK" w:cs="方正仿宋_GBK"/>
          <w:sz w:val="32"/>
          <w:szCs w:val="32"/>
          <w:shd w:val="clear" w:color="auto" w:fill="FFFFFF"/>
          <w:lang w:val="en-US" w:eastAsia="zh-CN"/>
        </w:rPr>
        <w:t>86.10</w:t>
      </w:r>
      <w:r>
        <w:rPr>
          <w:rFonts w:ascii="方正仿宋_GBK" w:hAnsi="方正仿宋_GBK" w:eastAsia="方正仿宋_GBK" w:cs="方正仿宋_GBK"/>
          <w:sz w:val="32"/>
          <w:szCs w:val="32"/>
          <w:shd w:val="clear" w:color="auto" w:fill="FFFFFF"/>
        </w:rPr>
        <w:t>%；项目支出</w:t>
      </w:r>
      <w:r>
        <w:rPr>
          <w:rFonts w:hint="eastAsia" w:ascii="方正仿宋_GBK" w:hAnsi="方正仿宋_GBK" w:eastAsia="方正仿宋_GBK" w:cs="方正仿宋_GBK"/>
          <w:sz w:val="32"/>
          <w:szCs w:val="32"/>
          <w:shd w:val="clear" w:color="auto" w:fill="FFFFFF"/>
        </w:rPr>
        <w:t>86.31</w:t>
      </w:r>
      <w:r>
        <w:rPr>
          <w:rFonts w:ascii="方正仿宋_GBK" w:hAnsi="方正仿宋_GBK" w:eastAsia="方正仿宋_GBK" w:cs="方正仿宋_GBK"/>
          <w:sz w:val="32"/>
          <w:szCs w:val="32"/>
          <w:shd w:val="clear" w:color="auto" w:fill="FFFFFF"/>
        </w:rPr>
        <w:t>万元，占</w:t>
      </w:r>
      <w:r>
        <w:rPr>
          <w:rFonts w:hint="eastAsia" w:ascii="方正仿宋_GBK" w:hAnsi="方正仿宋_GBK" w:eastAsia="方正仿宋_GBK" w:cs="方正仿宋_GBK"/>
          <w:sz w:val="32"/>
          <w:szCs w:val="32"/>
          <w:shd w:val="clear" w:color="auto" w:fill="FFFFFF"/>
          <w:lang w:val="en-US" w:eastAsia="zh-CN"/>
        </w:rPr>
        <w:t>13.90</w:t>
      </w:r>
      <w:r>
        <w:rPr>
          <w:rFonts w:ascii="方正仿宋_GBK" w:hAnsi="方正仿宋_GBK" w:eastAsia="方正仿宋_GBK" w:cs="方正仿宋_GBK"/>
          <w:sz w:val="32"/>
          <w:szCs w:val="32"/>
          <w:shd w:val="clear" w:color="auto" w:fill="FFFFFF"/>
        </w:rPr>
        <w:t>%；</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Style w:val="47"/>
          <w:rFonts w:hint="eastAsia" w:ascii="方正仿宋_GBK" w:hAnsi="方正仿宋_GBK" w:eastAsia="方正仿宋_GBK" w:cs="方正仿宋_GBK"/>
          <w:b w:val="0"/>
          <w:sz w:val="32"/>
          <w:szCs w:val="32"/>
          <w:shd w:val="clear" w:color="auto" w:fill="FFFFFF"/>
        </w:rPr>
        <w:t>4.结转结余情况</w:t>
      </w:r>
    </w:p>
    <w:p>
      <w:pPr>
        <w:pStyle w:val="40"/>
        <w:widowControl w:val="0"/>
        <w:shd w:val="clear" w:color="auto" w:fill="FFFFFF"/>
        <w:autoSpaceDE w:val="0"/>
        <w:spacing w:line="576"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20</w:t>
      </w:r>
      <w:r>
        <w:rPr>
          <w:rFonts w:hint="eastAsia" w:ascii="方正仿宋_GBK" w:hAnsi="方正仿宋_GBK" w:eastAsia="方正仿宋_GBK" w:cs="方正仿宋_GBK"/>
          <w:sz w:val="32"/>
          <w:szCs w:val="32"/>
          <w:shd w:val="clear" w:color="auto" w:fill="FFFFFF"/>
          <w:lang w:val="en-US" w:eastAsia="zh-CN"/>
        </w:rPr>
        <w:t>20</w:t>
      </w:r>
      <w:r>
        <w:rPr>
          <w:rFonts w:ascii="方正仿宋_GBK" w:hAnsi="方正仿宋_GBK" w:eastAsia="方正仿宋_GBK" w:cs="方正仿宋_GBK"/>
          <w:sz w:val="32"/>
          <w:szCs w:val="32"/>
          <w:shd w:val="clear" w:color="auto" w:fill="FFFFFF"/>
        </w:rPr>
        <w:t>年度年末结转和结余</w:t>
      </w:r>
      <w:r>
        <w:rPr>
          <w:rFonts w:hint="eastAsia" w:ascii="方正仿宋_GBK" w:hAnsi="方正仿宋_GBK" w:eastAsia="方正仿宋_GBK" w:cs="方正仿宋_GBK"/>
          <w:sz w:val="32"/>
          <w:szCs w:val="32"/>
          <w:shd w:val="clear" w:color="auto" w:fill="FFFFFF"/>
        </w:rPr>
        <w:t>25.17</w:t>
      </w:r>
      <w:r>
        <w:rPr>
          <w:rFonts w:ascii="方正仿宋_GBK" w:hAnsi="方正仿宋_GBK" w:eastAsia="方正仿宋_GBK" w:cs="方正仿宋_GBK"/>
          <w:sz w:val="32"/>
          <w:szCs w:val="32"/>
          <w:shd w:val="clear" w:color="auto" w:fill="FFFFFF"/>
        </w:rPr>
        <w:t>万元，较上年决算数</w:t>
      </w:r>
      <w:r>
        <w:rPr>
          <w:rFonts w:hint="eastAsia" w:ascii="方正仿宋_GBK" w:hAnsi="方正仿宋_GBK" w:eastAsia="方正仿宋_GBK" w:cs="方正仿宋_GBK"/>
          <w:sz w:val="32"/>
          <w:szCs w:val="32"/>
          <w:shd w:val="clear" w:color="auto" w:fill="FFFFFF"/>
          <w:lang w:val="en-US" w:eastAsia="zh-CN"/>
        </w:rPr>
        <w:t>减少10.3</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减少29.04</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减少</w:t>
      </w:r>
      <w:r>
        <w:rPr>
          <w:rFonts w:ascii="方正仿宋_GBK" w:hAnsi="方正仿宋_GBK" w:eastAsia="方正仿宋_GBK" w:cs="方正仿宋_GBK"/>
          <w:sz w:val="32"/>
          <w:szCs w:val="32"/>
          <w:shd w:val="clear" w:color="auto" w:fill="FFFFFF"/>
        </w:rPr>
        <w:t>的主要原因是</w:t>
      </w:r>
      <w:r>
        <w:rPr>
          <w:rFonts w:hint="eastAsia" w:ascii="方正仿宋_GBK" w:hAnsi="方正仿宋_GBK" w:eastAsia="方正仿宋_GBK" w:cs="方正仿宋_GBK"/>
          <w:sz w:val="32"/>
          <w:szCs w:val="32"/>
          <w:shd w:val="clear" w:color="auto" w:fill="FFFFFF"/>
          <w:lang w:val="en-US" w:eastAsia="zh-CN"/>
        </w:rPr>
        <w:t>:2020年已经支付出去，结转结余减少。</w:t>
      </w:r>
    </w:p>
    <w:p>
      <w:pPr>
        <w:pStyle w:val="40"/>
        <w:widowControl w:val="0"/>
        <w:shd w:val="clear" w:color="auto" w:fill="FFFFFF"/>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（二）财政拨款收入支出决算总体情况说明</w:t>
      </w:r>
    </w:p>
    <w:p>
      <w:pPr>
        <w:pStyle w:val="40"/>
        <w:widowControl w:val="0"/>
        <w:shd w:val="clear" w:color="auto" w:fill="FFFFFF"/>
        <w:autoSpaceDE w:val="0"/>
        <w:spacing w:line="576"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2020</w:t>
      </w:r>
      <w:r>
        <w:rPr>
          <w:rFonts w:ascii="方正仿宋_GBK" w:hAnsi="方正仿宋_GBK" w:eastAsia="方正仿宋_GBK" w:cs="方正仿宋_GBK"/>
          <w:sz w:val="32"/>
          <w:szCs w:val="32"/>
          <w:shd w:val="clear" w:color="auto" w:fill="FFFFFF"/>
        </w:rPr>
        <w:t>年度财政拨款收、支总计</w:t>
      </w:r>
      <w:r>
        <w:rPr>
          <w:rFonts w:hint="eastAsia" w:ascii="方正仿宋_GBK" w:hAnsi="方正仿宋_GBK" w:eastAsia="方正仿宋_GBK" w:cs="方正仿宋_GBK"/>
          <w:sz w:val="32"/>
          <w:szCs w:val="32"/>
          <w:shd w:val="clear" w:color="auto" w:fill="FFFFFF"/>
        </w:rPr>
        <w:t>646.25</w:t>
      </w:r>
      <w:r>
        <w:rPr>
          <w:rFonts w:ascii="方正仿宋_GBK" w:hAnsi="方正仿宋_GBK" w:eastAsia="方正仿宋_GBK" w:cs="方正仿宋_GBK"/>
          <w:sz w:val="32"/>
          <w:szCs w:val="32"/>
          <w:shd w:val="clear" w:color="auto" w:fill="FFFFFF"/>
        </w:rPr>
        <w:t>万元。与201</w:t>
      </w:r>
      <w:r>
        <w:rPr>
          <w:rFonts w:hint="eastAsia" w:ascii="方正仿宋_GBK" w:hAnsi="方正仿宋_GBK" w:eastAsia="方正仿宋_GBK" w:cs="方正仿宋_GBK"/>
          <w:sz w:val="32"/>
          <w:szCs w:val="32"/>
          <w:shd w:val="clear" w:color="auto" w:fill="FFFFFF"/>
          <w:lang w:val="en-US" w:eastAsia="zh-CN"/>
        </w:rPr>
        <w:t>9</w:t>
      </w:r>
      <w:r>
        <w:rPr>
          <w:rFonts w:ascii="方正仿宋_GBK" w:hAnsi="方正仿宋_GBK" w:eastAsia="方正仿宋_GBK" w:cs="方正仿宋_GBK"/>
          <w:sz w:val="32"/>
          <w:szCs w:val="32"/>
          <w:shd w:val="clear" w:color="auto" w:fill="FFFFFF"/>
        </w:rPr>
        <w:t>年相比，财政拨款收、支总计各</w:t>
      </w:r>
      <w:r>
        <w:rPr>
          <w:rFonts w:hint="eastAsia" w:ascii="方正仿宋_GBK" w:hAnsi="方正仿宋_GBK" w:eastAsia="方正仿宋_GBK" w:cs="方正仿宋_GBK"/>
          <w:sz w:val="32"/>
          <w:szCs w:val="32"/>
          <w:shd w:val="clear" w:color="auto" w:fill="FFFFFF"/>
          <w:lang w:val="en-US" w:eastAsia="zh-CN"/>
        </w:rPr>
        <w:t>增加74.89</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增加13.11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 xml:space="preserve">一是城乡社区支出471.36万元，较上年增加40.89万元；二是城乡社区支出506.82万元，较上年增加76.13万元。 </w:t>
      </w:r>
    </w:p>
    <w:p>
      <w:pPr>
        <w:pStyle w:val="40"/>
        <w:widowControl w:val="0"/>
        <w:shd w:val="clear" w:color="auto" w:fill="FFFFFF"/>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（三）一般公共预算财政拨款支出决算情况说明</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Style w:val="47"/>
          <w:rFonts w:hint="eastAsia" w:ascii="方正仿宋_GBK" w:hAnsi="方正仿宋_GBK" w:eastAsia="方正仿宋_GBK" w:cs="方正仿宋_GBK"/>
          <w:b w:val="0"/>
          <w:sz w:val="32"/>
          <w:szCs w:val="32"/>
          <w:shd w:val="clear" w:color="auto" w:fill="FFFFFF"/>
        </w:rPr>
        <w:t>1.收入情况</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20</w:t>
      </w:r>
      <w:r>
        <w:rPr>
          <w:rFonts w:hint="eastAsia" w:ascii="方正仿宋_GBK" w:hAnsi="方正仿宋_GBK" w:eastAsia="方正仿宋_GBK" w:cs="方正仿宋_GBK"/>
          <w:sz w:val="32"/>
          <w:szCs w:val="32"/>
          <w:shd w:val="clear" w:color="auto" w:fill="FFFFFF"/>
          <w:lang w:val="en-US" w:eastAsia="zh-CN"/>
        </w:rPr>
        <w:t>20</w:t>
      </w:r>
      <w:r>
        <w:rPr>
          <w:rFonts w:ascii="方正仿宋_GBK" w:hAnsi="方正仿宋_GBK" w:eastAsia="方正仿宋_GBK" w:cs="方正仿宋_GBK"/>
          <w:sz w:val="32"/>
          <w:szCs w:val="32"/>
          <w:shd w:val="clear" w:color="auto" w:fill="FFFFFF"/>
        </w:rPr>
        <w:t>年度一般公共预算财政拨款收入</w:t>
      </w:r>
      <w:r>
        <w:rPr>
          <w:rFonts w:hint="eastAsia" w:ascii="方正仿宋_GBK" w:hAnsi="方正仿宋_GBK" w:eastAsia="方正仿宋_GBK" w:cs="方正仿宋_GBK"/>
          <w:sz w:val="32"/>
          <w:szCs w:val="32"/>
          <w:shd w:val="clear" w:color="auto" w:fill="FFFFFF"/>
        </w:rPr>
        <w:t>572.32</w:t>
      </w:r>
      <w:r>
        <w:rPr>
          <w:rFonts w:ascii="方正仿宋_GBK" w:hAnsi="方正仿宋_GBK" w:eastAsia="方正仿宋_GBK" w:cs="方正仿宋_GBK"/>
          <w:sz w:val="32"/>
          <w:szCs w:val="32"/>
          <w:shd w:val="clear" w:color="auto" w:fill="FFFFFF"/>
        </w:rPr>
        <w:t>万元，较上年决算数增加</w:t>
      </w:r>
      <w:r>
        <w:rPr>
          <w:rFonts w:hint="eastAsia" w:ascii="方正仿宋_GBK" w:hAnsi="方正仿宋_GBK" w:eastAsia="方正仿宋_GBK" w:cs="方正仿宋_GBK"/>
          <w:sz w:val="32"/>
          <w:szCs w:val="32"/>
          <w:shd w:val="clear" w:color="auto" w:fill="FFFFFF"/>
          <w:lang w:val="en-US" w:eastAsia="zh-CN"/>
        </w:rPr>
        <w:t>30.62</w:t>
      </w:r>
      <w:r>
        <w:rPr>
          <w:rFonts w:ascii="方正仿宋_GBK" w:hAnsi="方正仿宋_GBK" w:eastAsia="方正仿宋_GBK" w:cs="方正仿宋_GBK"/>
          <w:sz w:val="32"/>
          <w:szCs w:val="32"/>
          <w:shd w:val="clear" w:color="auto" w:fill="FFFFFF"/>
        </w:rPr>
        <w:t>万元，增长</w:t>
      </w:r>
      <w:r>
        <w:rPr>
          <w:rFonts w:hint="eastAsia" w:ascii="方正仿宋_GBK" w:hAnsi="方正仿宋_GBK" w:eastAsia="方正仿宋_GBK" w:cs="方正仿宋_GBK"/>
          <w:sz w:val="32"/>
          <w:szCs w:val="32"/>
          <w:shd w:val="clear" w:color="auto" w:fill="FFFFFF"/>
          <w:lang w:val="en-US" w:eastAsia="zh-CN"/>
        </w:rPr>
        <w:t>5.65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社会保障和就业支出</w:t>
      </w:r>
      <w:r>
        <w:rPr>
          <w:rFonts w:hint="eastAsia" w:ascii="方正仿宋_GBK" w:hAnsi="方正仿宋_GBK" w:eastAsia="方正仿宋_GBK" w:cs="方正仿宋_GBK"/>
          <w:sz w:val="32"/>
          <w:szCs w:val="32"/>
          <w:shd w:val="clear" w:color="auto" w:fill="FFFFFF"/>
          <w:lang w:val="en-US" w:eastAsia="zh-CN"/>
        </w:rPr>
        <w:t>预算收入</w:t>
      </w:r>
      <w:r>
        <w:rPr>
          <w:rFonts w:hint="eastAsia" w:ascii="方正仿宋_GBK" w:hAnsi="方正仿宋_GBK" w:eastAsia="方正仿宋_GBK" w:cs="方正仿宋_GBK"/>
          <w:sz w:val="32"/>
          <w:szCs w:val="32"/>
          <w:shd w:val="clear" w:color="auto" w:fill="FFFFFF"/>
        </w:rPr>
        <w:t>54.95</w:t>
      </w:r>
      <w:r>
        <w:rPr>
          <w:rFonts w:hint="eastAsia" w:ascii="方正仿宋_GBK" w:hAnsi="方正仿宋_GBK" w:eastAsia="方正仿宋_GBK" w:cs="方正仿宋_GBK"/>
          <w:sz w:val="32"/>
          <w:szCs w:val="32"/>
          <w:shd w:val="clear" w:color="auto" w:fill="FFFFFF"/>
          <w:lang w:val="en-US" w:eastAsia="zh-CN"/>
        </w:rPr>
        <w:t>万元，较上年减少8.39万元；卫生健康支出预算收入23.27万元，较上年增加0.15万元；城乡社区支出预算收入471.36万元，较上年增加40.89万元；住房保障支出预算收入22.73万元，较上年减少2.03万元。</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此外，年初财政拨款结转和结余</w:t>
      </w:r>
      <w:r>
        <w:rPr>
          <w:rFonts w:hint="eastAsia" w:ascii="方正仿宋_GBK" w:hAnsi="方正仿宋_GBK" w:eastAsia="方正仿宋_GBK" w:cs="方正仿宋_GBK"/>
          <w:sz w:val="32"/>
          <w:szCs w:val="32"/>
          <w:shd w:val="clear" w:color="auto" w:fill="FFFFFF"/>
        </w:rPr>
        <w:t>73.94</w:t>
      </w:r>
      <w:r>
        <w:rPr>
          <w:rFonts w:ascii="方正仿宋_GBK" w:hAnsi="方正仿宋_GBK" w:eastAsia="方正仿宋_GBK" w:cs="方正仿宋_GBK"/>
          <w:sz w:val="32"/>
          <w:szCs w:val="32"/>
          <w:shd w:val="clear" w:color="auto" w:fill="FFFFFF"/>
        </w:rPr>
        <w:t>万元。</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Style w:val="47"/>
          <w:rFonts w:hint="eastAsia" w:ascii="方正仿宋_GBK" w:hAnsi="方正仿宋_GBK" w:eastAsia="方正仿宋_GBK" w:cs="方正仿宋_GBK"/>
          <w:b w:val="0"/>
          <w:sz w:val="32"/>
          <w:szCs w:val="32"/>
          <w:shd w:val="clear" w:color="auto" w:fill="FFFFFF"/>
        </w:rPr>
        <w:t>2.支出情况</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2</w:t>
      </w:r>
      <w:r>
        <w:rPr>
          <w:rFonts w:hint="eastAsia" w:ascii="方正仿宋_GBK" w:hAnsi="方正仿宋_GBK" w:eastAsia="方正仿宋_GBK" w:cs="方正仿宋_GBK"/>
          <w:sz w:val="32"/>
          <w:szCs w:val="32"/>
          <w:shd w:val="clear" w:color="auto" w:fill="FFFFFF"/>
          <w:lang w:val="en-US" w:eastAsia="zh-CN"/>
        </w:rPr>
        <w:t>020</w:t>
      </w:r>
      <w:r>
        <w:rPr>
          <w:rFonts w:ascii="方正仿宋_GBK" w:hAnsi="方正仿宋_GBK" w:eastAsia="方正仿宋_GBK" w:cs="方正仿宋_GBK"/>
          <w:sz w:val="32"/>
          <w:szCs w:val="32"/>
          <w:shd w:val="clear" w:color="auto" w:fill="FFFFFF"/>
        </w:rPr>
        <w:t>年度一般公共预算财政拨款支出</w:t>
      </w:r>
      <w:r>
        <w:rPr>
          <w:rFonts w:hint="eastAsia" w:ascii="方正仿宋_GBK" w:hAnsi="方正仿宋_GBK" w:eastAsia="方正仿宋_GBK" w:cs="方正仿宋_GBK"/>
          <w:sz w:val="32"/>
          <w:szCs w:val="32"/>
          <w:shd w:val="clear" w:color="auto" w:fill="FFFFFF"/>
        </w:rPr>
        <w:t>621.08</w:t>
      </w:r>
      <w:r>
        <w:rPr>
          <w:rFonts w:ascii="方正仿宋_GBK" w:hAnsi="方正仿宋_GBK" w:eastAsia="方正仿宋_GBK" w:cs="方正仿宋_GBK"/>
          <w:sz w:val="32"/>
          <w:szCs w:val="32"/>
          <w:shd w:val="clear" w:color="auto" w:fill="FFFFFF"/>
        </w:rPr>
        <w:t>万元，较上年决算数</w:t>
      </w:r>
      <w:r>
        <w:rPr>
          <w:rFonts w:hint="eastAsia" w:ascii="方正仿宋_GBK" w:hAnsi="方正仿宋_GBK" w:eastAsia="方正仿宋_GBK" w:cs="方正仿宋_GBK"/>
          <w:sz w:val="32"/>
          <w:szCs w:val="32"/>
          <w:shd w:val="clear" w:color="auto" w:fill="FFFFFF"/>
          <w:lang w:val="en-US" w:eastAsia="zh-CN"/>
        </w:rPr>
        <w:t>增加85.19</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增长15.90</w:t>
      </w:r>
      <w:r>
        <w:rPr>
          <w:rFonts w:ascii="方正仿宋_GBK" w:hAnsi="方正仿宋_GBK" w:eastAsia="方正仿宋_GBK" w:cs="方正仿宋_GBK"/>
          <w:sz w:val="32"/>
          <w:szCs w:val="32"/>
          <w:shd w:val="clear" w:color="auto" w:fill="FFFFFF"/>
        </w:rPr>
        <w:t>%。从支出类别来看：基本支出比上年</w:t>
      </w:r>
      <w:r>
        <w:rPr>
          <w:rFonts w:hint="eastAsia" w:ascii="方正仿宋_GBK" w:hAnsi="方正仿宋_GBK" w:eastAsia="方正仿宋_GBK" w:cs="方正仿宋_GBK"/>
          <w:sz w:val="32"/>
          <w:szCs w:val="32"/>
          <w:shd w:val="clear" w:color="auto" w:fill="FFFFFF"/>
          <w:lang w:val="en-US" w:eastAsia="zh-CN"/>
        </w:rPr>
        <w:t>增加81.21</w:t>
      </w:r>
      <w:r>
        <w:rPr>
          <w:rFonts w:ascii="方正仿宋_GBK" w:hAnsi="方正仿宋_GBK" w:eastAsia="方正仿宋_GBK" w:cs="方正仿宋_GBK"/>
          <w:sz w:val="32"/>
          <w:szCs w:val="32"/>
          <w:shd w:val="clear" w:color="auto" w:fill="FFFFFF"/>
        </w:rPr>
        <w:t>万元，项目支出比上年</w:t>
      </w:r>
      <w:r>
        <w:rPr>
          <w:rFonts w:hint="eastAsia" w:ascii="方正仿宋_GBK" w:hAnsi="方正仿宋_GBK" w:eastAsia="方正仿宋_GBK" w:cs="方正仿宋_GBK"/>
          <w:sz w:val="32"/>
          <w:szCs w:val="32"/>
          <w:shd w:val="clear" w:color="auto" w:fill="FFFFFF"/>
          <w:lang w:val="en-US" w:eastAsia="zh-CN"/>
        </w:rPr>
        <w:t>增加3.99</w:t>
      </w:r>
      <w:r>
        <w:rPr>
          <w:rFonts w:ascii="方正仿宋_GBK" w:hAnsi="方正仿宋_GBK" w:eastAsia="方正仿宋_GBK" w:cs="方正仿宋_GBK"/>
          <w:sz w:val="32"/>
          <w:szCs w:val="32"/>
          <w:shd w:val="clear" w:color="auto" w:fill="FFFFFF"/>
        </w:rPr>
        <w:t>万元。主要原因是</w:t>
      </w:r>
      <w:r>
        <w:rPr>
          <w:rFonts w:hint="eastAsia" w:ascii="方正仿宋_GBK" w:hAnsi="方正仿宋_GBK" w:eastAsia="方正仿宋_GBK" w:cs="方正仿宋_GBK"/>
          <w:sz w:val="32"/>
          <w:szCs w:val="32"/>
          <w:shd w:val="clear" w:color="auto" w:fill="FFFFFF"/>
        </w:rPr>
        <w:t>社会保障和就业支出65.65</w:t>
      </w:r>
      <w:r>
        <w:rPr>
          <w:rFonts w:hint="eastAsia" w:ascii="方正仿宋_GBK" w:hAnsi="方正仿宋_GBK" w:eastAsia="方正仿宋_GBK" w:cs="方正仿宋_GBK"/>
          <w:sz w:val="32"/>
          <w:szCs w:val="32"/>
          <w:shd w:val="clear" w:color="auto" w:fill="FFFFFF"/>
          <w:lang w:val="en-US" w:eastAsia="zh-CN"/>
        </w:rPr>
        <w:t>万元，较上年增加5.72万元；卫生健康支出24.43万元，较上年增加2.46万元；城乡社区支出506.82万元，较上年增加76.13万元；住房保障支出24.19万元，较上年增加0.89万元。</w:t>
      </w:r>
    </w:p>
    <w:p>
      <w:pPr>
        <w:pStyle w:val="40"/>
        <w:widowControl w:val="0"/>
        <w:shd w:val="clear" w:color="auto" w:fill="FFFFFF"/>
        <w:autoSpaceDE w:val="0"/>
        <w:spacing w:beforeAutospacing="0" w:afterAutospacing="0" w:line="576" w:lineRule="exact"/>
        <w:ind w:firstLine="640" w:firstLineChars="200"/>
        <w:jc w:val="both"/>
        <w:rPr>
          <w:rStyle w:val="47"/>
          <w:rFonts w:hint="eastAsia" w:ascii="方正仿宋_GBK" w:hAnsi="方正仿宋_GBK" w:eastAsia="方正仿宋_GBK" w:cs="方正仿宋_GBK"/>
          <w:b w:val="0"/>
          <w:sz w:val="32"/>
          <w:szCs w:val="32"/>
          <w:shd w:val="clear" w:color="auto" w:fill="FFFFFF"/>
        </w:rPr>
      </w:pPr>
      <w:r>
        <w:rPr>
          <w:rStyle w:val="47"/>
          <w:rFonts w:hint="eastAsia" w:ascii="方正仿宋_GBK" w:hAnsi="方正仿宋_GBK" w:eastAsia="方正仿宋_GBK" w:cs="方正仿宋_GBK"/>
          <w:b w:val="0"/>
          <w:sz w:val="32"/>
          <w:szCs w:val="32"/>
          <w:shd w:val="clear" w:color="auto" w:fill="FFFFFF"/>
        </w:rPr>
        <w:t>3.结转结余情况</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20</w:t>
      </w:r>
      <w:r>
        <w:rPr>
          <w:rFonts w:hint="eastAsia" w:ascii="方正仿宋_GBK" w:hAnsi="方正仿宋_GBK" w:eastAsia="方正仿宋_GBK" w:cs="方正仿宋_GBK"/>
          <w:sz w:val="32"/>
          <w:szCs w:val="32"/>
          <w:shd w:val="clear" w:color="auto" w:fill="FFFFFF"/>
          <w:lang w:val="en-US" w:eastAsia="zh-CN"/>
        </w:rPr>
        <w:t>20</w:t>
      </w:r>
      <w:r>
        <w:rPr>
          <w:rFonts w:ascii="方正仿宋_GBK" w:hAnsi="方正仿宋_GBK" w:eastAsia="方正仿宋_GBK" w:cs="方正仿宋_GBK"/>
          <w:sz w:val="32"/>
          <w:szCs w:val="32"/>
          <w:shd w:val="clear" w:color="auto" w:fill="FFFFFF"/>
        </w:rPr>
        <w:t>年度年末一般公共预算财政拨款结转和结余</w:t>
      </w:r>
      <w:r>
        <w:rPr>
          <w:rFonts w:hint="eastAsia" w:ascii="方正仿宋_GBK" w:hAnsi="方正仿宋_GBK" w:eastAsia="方正仿宋_GBK" w:cs="方正仿宋_GBK"/>
          <w:sz w:val="32"/>
          <w:szCs w:val="32"/>
          <w:shd w:val="clear" w:color="auto" w:fill="FFFFFF"/>
        </w:rPr>
        <w:t>25.17</w:t>
      </w:r>
      <w:r>
        <w:rPr>
          <w:rFonts w:ascii="方正仿宋_GBK" w:hAnsi="方正仿宋_GBK" w:eastAsia="方正仿宋_GBK" w:cs="方正仿宋_GBK"/>
          <w:sz w:val="32"/>
          <w:szCs w:val="32"/>
          <w:shd w:val="clear" w:color="auto" w:fill="FFFFFF"/>
        </w:rPr>
        <w:t>万元，较上年决算数</w:t>
      </w:r>
      <w:r>
        <w:rPr>
          <w:rFonts w:hint="eastAsia" w:ascii="方正仿宋_GBK" w:hAnsi="方正仿宋_GBK" w:eastAsia="方正仿宋_GBK" w:cs="方正仿宋_GBK"/>
          <w:sz w:val="32"/>
          <w:szCs w:val="32"/>
          <w:shd w:val="clear" w:color="auto" w:fill="FFFFFF"/>
          <w:lang w:val="en-US" w:eastAsia="zh-CN"/>
        </w:rPr>
        <w:t>减少10.3</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下降29.04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:2020年已经支付出去，结转结余减少。</w:t>
      </w:r>
    </w:p>
    <w:p>
      <w:pPr>
        <w:pStyle w:val="40"/>
        <w:widowControl w:val="0"/>
        <w:shd w:val="clear" w:color="auto" w:fill="FFFFFF"/>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（四）一般公共预算财政拨款基本支出决算情况说明</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w:t>
      </w:r>
      <w:r>
        <w:rPr>
          <w:rFonts w:hint="eastAsia" w:ascii="方正仿宋_GBK" w:hAnsi="方正仿宋_GBK" w:eastAsia="方正仿宋_GBK" w:cs="方正仿宋_GBK"/>
          <w:sz w:val="32"/>
          <w:szCs w:val="32"/>
          <w:shd w:val="clear" w:color="auto" w:fill="FFFFFF"/>
          <w:lang w:val="en-US" w:eastAsia="zh-CN"/>
        </w:rPr>
        <w:t>20</w:t>
      </w:r>
      <w:r>
        <w:rPr>
          <w:rFonts w:ascii="方正仿宋_GBK" w:hAnsi="方正仿宋_GBK" w:eastAsia="方正仿宋_GBK" w:cs="方正仿宋_GBK"/>
          <w:sz w:val="32"/>
          <w:szCs w:val="32"/>
          <w:shd w:val="clear" w:color="auto" w:fill="FFFFFF"/>
        </w:rPr>
        <w:t>年度一般公共财政拨款基本支出</w:t>
      </w:r>
      <w:r>
        <w:rPr>
          <w:rFonts w:hint="eastAsia" w:ascii="方正仿宋_GBK" w:hAnsi="方正仿宋_GBK" w:eastAsia="方正仿宋_GBK" w:cs="方正仿宋_GBK"/>
          <w:sz w:val="32"/>
          <w:szCs w:val="32"/>
          <w:shd w:val="clear" w:color="auto" w:fill="FFFFFF"/>
          <w:lang w:val="en-US" w:eastAsia="zh-CN"/>
        </w:rPr>
        <w:t>534.78</w:t>
      </w:r>
      <w:r>
        <w:rPr>
          <w:rFonts w:ascii="方正仿宋_GBK" w:hAnsi="方正仿宋_GBK" w:eastAsia="方正仿宋_GBK" w:cs="方正仿宋_GBK"/>
          <w:sz w:val="32"/>
          <w:szCs w:val="32"/>
          <w:shd w:val="clear" w:color="auto" w:fill="FFFFFF"/>
        </w:rPr>
        <w:t>万元，其中：</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1.人员经费</w:t>
      </w:r>
      <w:r>
        <w:rPr>
          <w:rFonts w:hint="eastAsia" w:ascii="方正仿宋_GBK" w:hAnsi="方正仿宋_GBK" w:eastAsia="方正仿宋_GBK" w:cs="方正仿宋_GBK"/>
          <w:sz w:val="32"/>
          <w:szCs w:val="32"/>
          <w:shd w:val="clear" w:color="auto" w:fill="FFFFFF"/>
        </w:rPr>
        <w:t>462.74</w:t>
      </w:r>
      <w:r>
        <w:rPr>
          <w:rFonts w:ascii="方正仿宋_GBK" w:hAnsi="方正仿宋_GBK" w:eastAsia="方正仿宋_GBK" w:cs="方正仿宋_GBK"/>
          <w:sz w:val="32"/>
          <w:szCs w:val="32"/>
          <w:shd w:val="clear" w:color="auto" w:fill="FFFFFF"/>
        </w:rPr>
        <w:t>万元，较上年决算数</w:t>
      </w:r>
      <w:r>
        <w:rPr>
          <w:rFonts w:hint="eastAsia" w:ascii="方正仿宋_GBK" w:hAnsi="方正仿宋_GBK" w:eastAsia="方正仿宋_GBK" w:cs="方正仿宋_GBK"/>
          <w:sz w:val="32"/>
          <w:szCs w:val="32"/>
          <w:shd w:val="clear" w:color="auto" w:fill="FFFFFF"/>
          <w:lang w:val="en-US" w:eastAsia="zh-CN"/>
        </w:rPr>
        <w:t>增加73.81</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上升18.98</w:t>
      </w:r>
      <w:r>
        <w:rPr>
          <w:rFonts w:ascii="方正仿宋_GBK" w:hAnsi="方正仿宋_GBK" w:eastAsia="方正仿宋_GBK" w:cs="方正仿宋_GBK"/>
          <w:sz w:val="32"/>
          <w:szCs w:val="32"/>
          <w:shd w:val="clear" w:color="auto" w:fill="FFFFFF"/>
        </w:rPr>
        <w:t>%，主要原因是：</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（1）工资福利支出</w:t>
      </w:r>
      <w:r>
        <w:rPr>
          <w:rFonts w:hint="eastAsia" w:ascii="方正仿宋_GBK" w:hAnsi="方正仿宋_GBK" w:eastAsia="方正仿宋_GBK" w:cs="方正仿宋_GBK"/>
          <w:sz w:val="32"/>
          <w:szCs w:val="32"/>
          <w:shd w:val="clear" w:color="auto" w:fill="FFFFFF"/>
        </w:rPr>
        <w:t>450.2</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较上年增加66.58</w:t>
      </w:r>
      <w:r>
        <w:rPr>
          <w:rFonts w:ascii="方正仿宋_GBK" w:hAnsi="方正仿宋_GBK" w:eastAsia="方正仿宋_GBK" w:cs="方正仿宋_GBK"/>
          <w:sz w:val="32"/>
          <w:szCs w:val="32"/>
          <w:shd w:val="clear" w:color="auto" w:fill="FFFFFF"/>
        </w:rPr>
        <w:t>万元，其中基本工资</w:t>
      </w:r>
      <w:r>
        <w:rPr>
          <w:rFonts w:hint="eastAsia" w:ascii="方正仿宋_GBK" w:hAnsi="方正仿宋_GBK" w:eastAsia="方正仿宋_GBK" w:cs="方正仿宋_GBK"/>
          <w:sz w:val="32"/>
          <w:szCs w:val="32"/>
          <w:shd w:val="clear" w:color="auto" w:fill="FFFFFF"/>
        </w:rPr>
        <w:t>96.49</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较上年增加18.6</w:t>
      </w:r>
      <w:r>
        <w:rPr>
          <w:rFonts w:ascii="方正仿宋_GBK" w:hAnsi="方正仿宋_GBK" w:eastAsia="方正仿宋_GBK" w:cs="方正仿宋_GBK"/>
          <w:sz w:val="32"/>
          <w:szCs w:val="32"/>
          <w:shd w:val="clear" w:color="auto" w:fill="FFFFFF"/>
        </w:rPr>
        <w:t>万元；津贴补贴</w:t>
      </w:r>
      <w:r>
        <w:rPr>
          <w:rFonts w:hint="eastAsia" w:ascii="方正仿宋_GBK" w:hAnsi="方正仿宋_GBK" w:eastAsia="方正仿宋_GBK" w:cs="方正仿宋_GBK"/>
          <w:sz w:val="32"/>
          <w:szCs w:val="32"/>
          <w:shd w:val="clear" w:color="auto" w:fill="FFFFFF"/>
        </w:rPr>
        <w:t>6.64</w:t>
      </w:r>
      <w:r>
        <w:rPr>
          <w:rFonts w:ascii="方正仿宋_GBK" w:hAnsi="方正仿宋_GBK" w:eastAsia="方正仿宋_GBK" w:cs="方正仿宋_GBK"/>
          <w:sz w:val="32"/>
          <w:szCs w:val="32"/>
          <w:shd w:val="clear" w:color="auto" w:fill="FFFFFF"/>
        </w:rPr>
        <w:t>万元，较上年增加</w:t>
      </w:r>
      <w:r>
        <w:rPr>
          <w:rFonts w:hint="eastAsia" w:ascii="方正仿宋_GBK" w:hAnsi="方正仿宋_GBK" w:eastAsia="方正仿宋_GBK" w:cs="方正仿宋_GBK"/>
          <w:sz w:val="32"/>
          <w:szCs w:val="32"/>
          <w:shd w:val="clear" w:color="auto" w:fill="FFFFFF"/>
          <w:lang w:val="en-US" w:eastAsia="zh-CN"/>
        </w:rPr>
        <w:t>0.57</w:t>
      </w:r>
      <w:r>
        <w:rPr>
          <w:rFonts w:ascii="方正仿宋_GBK" w:hAnsi="方正仿宋_GBK" w:eastAsia="方正仿宋_GBK" w:cs="方正仿宋_GBK"/>
          <w:sz w:val="32"/>
          <w:szCs w:val="32"/>
          <w:shd w:val="clear" w:color="auto" w:fill="FFFFFF"/>
        </w:rPr>
        <w:t>万元；绩效工资</w:t>
      </w:r>
      <w:r>
        <w:rPr>
          <w:rFonts w:hint="eastAsia" w:ascii="方正仿宋_GBK" w:hAnsi="方正仿宋_GBK" w:eastAsia="方正仿宋_GBK" w:cs="方正仿宋_GBK"/>
          <w:sz w:val="32"/>
          <w:szCs w:val="32"/>
          <w:shd w:val="clear" w:color="auto" w:fill="FFFFFF"/>
        </w:rPr>
        <w:t>231.71</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较上年增加46.49</w:t>
      </w:r>
      <w:r>
        <w:rPr>
          <w:rFonts w:ascii="方正仿宋_GBK" w:hAnsi="方正仿宋_GBK" w:eastAsia="方正仿宋_GBK" w:cs="方正仿宋_GBK"/>
          <w:sz w:val="32"/>
          <w:szCs w:val="32"/>
          <w:shd w:val="clear" w:color="auto" w:fill="FFFFFF"/>
        </w:rPr>
        <w:t>万元；机关事业单位基本养老保险费</w:t>
      </w:r>
      <w:r>
        <w:rPr>
          <w:rFonts w:hint="eastAsia" w:ascii="方正仿宋_GBK" w:hAnsi="方正仿宋_GBK" w:eastAsia="方正仿宋_GBK" w:cs="方正仿宋_GBK"/>
          <w:sz w:val="32"/>
          <w:szCs w:val="32"/>
          <w:shd w:val="clear" w:color="auto" w:fill="FFFFFF"/>
        </w:rPr>
        <w:t>32.75</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较上年减少6.09</w:t>
      </w:r>
      <w:r>
        <w:rPr>
          <w:rFonts w:ascii="方正仿宋_GBK" w:hAnsi="方正仿宋_GBK" w:eastAsia="方正仿宋_GBK" w:cs="方正仿宋_GBK"/>
          <w:sz w:val="32"/>
          <w:szCs w:val="32"/>
          <w:shd w:val="clear" w:color="auto" w:fill="FFFFFF"/>
        </w:rPr>
        <w:t>万元；职业年金缴费</w:t>
      </w:r>
      <w:r>
        <w:rPr>
          <w:rFonts w:hint="eastAsia" w:ascii="方正仿宋_GBK" w:hAnsi="方正仿宋_GBK" w:eastAsia="方正仿宋_GBK" w:cs="方正仿宋_GBK"/>
          <w:sz w:val="32"/>
          <w:szCs w:val="32"/>
          <w:shd w:val="clear" w:color="auto" w:fill="FFFFFF"/>
        </w:rPr>
        <w:t>21.22</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较上年增加5.69</w:t>
      </w:r>
      <w:r>
        <w:rPr>
          <w:rFonts w:ascii="方正仿宋_GBK" w:hAnsi="方正仿宋_GBK" w:eastAsia="方正仿宋_GBK" w:cs="方正仿宋_GBK"/>
          <w:sz w:val="32"/>
          <w:szCs w:val="32"/>
          <w:shd w:val="clear" w:color="auto" w:fill="FFFFFF"/>
        </w:rPr>
        <w:t>万元；职工基本医疗保险缴费</w:t>
      </w:r>
      <w:r>
        <w:rPr>
          <w:rFonts w:hint="eastAsia" w:ascii="方正仿宋_GBK" w:hAnsi="方正仿宋_GBK" w:eastAsia="方正仿宋_GBK" w:cs="方正仿宋_GBK"/>
          <w:sz w:val="32"/>
          <w:szCs w:val="32"/>
          <w:shd w:val="clear" w:color="auto" w:fill="FFFFFF"/>
        </w:rPr>
        <w:t>19.59</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较上年增加1.14</w:t>
      </w:r>
      <w:r>
        <w:rPr>
          <w:rFonts w:ascii="方正仿宋_GBK" w:hAnsi="方正仿宋_GBK" w:eastAsia="方正仿宋_GBK" w:cs="方正仿宋_GBK"/>
          <w:sz w:val="32"/>
          <w:szCs w:val="32"/>
          <w:shd w:val="clear" w:color="auto" w:fill="FFFFFF"/>
        </w:rPr>
        <w:t>万元；其他社会保障缴费</w:t>
      </w:r>
      <w:r>
        <w:rPr>
          <w:rFonts w:hint="eastAsia" w:ascii="方正仿宋_GBK" w:hAnsi="方正仿宋_GBK" w:eastAsia="方正仿宋_GBK" w:cs="方正仿宋_GBK"/>
          <w:sz w:val="32"/>
          <w:szCs w:val="32"/>
          <w:shd w:val="clear" w:color="auto" w:fill="FFFFFF"/>
        </w:rPr>
        <w:t>1.98</w:t>
      </w:r>
      <w:r>
        <w:rPr>
          <w:rFonts w:ascii="方正仿宋_GBK" w:hAnsi="方正仿宋_GBK" w:eastAsia="方正仿宋_GBK" w:cs="方正仿宋_GBK"/>
          <w:sz w:val="32"/>
          <w:szCs w:val="32"/>
          <w:shd w:val="clear" w:color="auto" w:fill="FFFFFF"/>
        </w:rPr>
        <w:t>万元，较上年减少</w:t>
      </w:r>
      <w:r>
        <w:rPr>
          <w:rFonts w:hint="eastAsia" w:ascii="方正仿宋_GBK" w:hAnsi="方正仿宋_GBK" w:eastAsia="方正仿宋_GBK" w:cs="方正仿宋_GBK"/>
          <w:sz w:val="32"/>
          <w:szCs w:val="32"/>
          <w:shd w:val="clear" w:color="auto" w:fill="FFFFFF"/>
        </w:rPr>
        <w:t>5.47</w:t>
      </w:r>
      <w:r>
        <w:rPr>
          <w:rFonts w:ascii="方正仿宋_GBK" w:hAnsi="方正仿宋_GBK" w:eastAsia="方正仿宋_GBK" w:cs="方正仿宋_GBK"/>
          <w:sz w:val="32"/>
          <w:szCs w:val="32"/>
          <w:shd w:val="clear" w:color="auto" w:fill="FFFFFF"/>
        </w:rPr>
        <w:t>万元；住房公积金</w:t>
      </w:r>
      <w:r>
        <w:rPr>
          <w:rFonts w:hint="eastAsia" w:ascii="方正仿宋_GBK" w:hAnsi="方正仿宋_GBK" w:eastAsia="方正仿宋_GBK" w:cs="方正仿宋_GBK"/>
          <w:sz w:val="32"/>
          <w:szCs w:val="32"/>
          <w:shd w:val="clear" w:color="auto" w:fill="FFFFFF"/>
        </w:rPr>
        <w:t>24.19</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较上年增加0.89</w:t>
      </w:r>
      <w:r>
        <w:rPr>
          <w:rFonts w:ascii="方正仿宋_GBK" w:hAnsi="方正仿宋_GBK" w:eastAsia="方正仿宋_GBK" w:cs="方正仿宋_GBK"/>
          <w:sz w:val="32"/>
          <w:szCs w:val="32"/>
          <w:shd w:val="clear" w:color="auto" w:fill="FFFFFF"/>
        </w:rPr>
        <w:t>万元；医疗费</w:t>
      </w:r>
      <w:r>
        <w:rPr>
          <w:rFonts w:hint="eastAsia" w:ascii="方正仿宋_GBK" w:hAnsi="方正仿宋_GBK" w:eastAsia="方正仿宋_GBK" w:cs="方正仿宋_GBK"/>
          <w:sz w:val="32"/>
          <w:szCs w:val="32"/>
          <w:shd w:val="clear" w:color="auto" w:fill="FFFFFF"/>
        </w:rPr>
        <w:t>3.84</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较上年增加3.84</w:t>
      </w:r>
      <w:r>
        <w:rPr>
          <w:rFonts w:ascii="方正仿宋_GBK" w:hAnsi="方正仿宋_GBK" w:eastAsia="方正仿宋_GBK" w:cs="方正仿宋_GBK"/>
          <w:sz w:val="32"/>
          <w:szCs w:val="32"/>
          <w:shd w:val="clear" w:color="auto" w:fill="FFFFFF"/>
        </w:rPr>
        <w:t>万元；其他工资福利支出</w:t>
      </w:r>
      <w:r>
        <w:rPr>
          <w:rFonts w:hint="eastAsia" w:ascii="方正仿宋_GBK" w:hAnsi="方正仿宋_GBK" w:eastAsia="方正仿宋_GBK" w:cs="方正仿宋_GBK"/>
          <w:sz w:val="32"/>
          <w:szCs w:val="32"/>
          <w:shd w:val="clear" w:color="auto" w:fill="FFFFFF"/>
        </w:rPr>
        <w:t>11.79</w:t>
      </w:r>
      <w:r>
        <w:rPr>
          <w:rFonts w:ascii="方正仿宋_GBK" w:hAnsi="方正仿宋_GBK" w:eastAsia="方正仿宋_GBK" w:cs="方正仿宋_GBK"/>
          <w:sz w:val="32"/>
          <w:szCs w:val="32"/>
          <w:shd w:val="clear" w:color="auto" w:fill="FFFFFF"/>
        </w:rPr>
        <w:t>万元，较上年增加</w:t>
      </w:r>
      <w:r>
        <w:rPr>
          <w:rFonts w:hint="eastAsia" w:ascii="方正仿宋_GBK" w:hAnsi="方正仿宋_GBK" w:eastAsia="方正仿宋_GBK" w:cs="方正仿宋_GBK"/>
          <w:sz w:val="32"/>
          <w:szCs w:val="32"/>
          <w:shd w:val="clear" w:color="auto" w:fill="FFFFFF"/>
        </w:rPr>
        <w:t>0.93</w:t>
      </w:r>
      <w:r>
        <w:rPr>
          <w:rFonts w:ascii="方正仿宋_GBK" w:hAnsi="方正仿宋_GBK" w:eastAsia="方正仿宋_GBK" w:cs="方正仿宋_GBK"/>
          <w:sz w:val="32"/>
          <w:szCs w:val="32"/>
          <w:shd w:val="clear" w:color="auto" w:fill="FFFFFF"/>
        </w:rPr>
        <w:t>万元。</w:t>
      </w:r>
    </w:p>
    <w:p>
      <w:pPr>
        <w:pStyle w:val="40"/>
        <w:widowControl w:val="0"/>
        <w:shd w:val="clear" w:color="auto" w:fill="FFFFFF"/>
        <w:autoSpaceDE w:val="0"/>
        <w:spacing w:beforeAutospacing="0" w:afterAutospacing="0" w:line="576"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（2）对个人和家庭的补助</w:t>
      </w:r>
      <w:r>
        <w:rPr>
          <w:rFonts w:hint="eastAsia" w:ascii="方正仿宋_GBK" w:hAnsi="方正仿宋_GBK" w:eastAsia="方正仿宋_GBK" w:cs="方正仿宋_GBK"/>
          <w:sz w:val="32"/>
          <w:szCs w:val="32"/>
          <w:shd w:val="clear" w:color="auto" w:fill="FFFFFF"/>
        </w:rPr>
        <w:t>12.54</w:t>
      </w:r>
      <w:r>
        <w:rPr>
          <w:rFonts w:ascii="方正仿宋_GBK" w:hAnsi="方正仿宋_GBK" w:eastAsia="方正仿宋_GBK" w:cs="方正仿宋_GBK"/>
          <w:sz w:val="32"/>
          <w:szCs w:val="32"/>
          <w:shd w:val="clear" w:color="auto" w:fill="FFFFFF"/>
        </w:rPr>
        <w:t>万元，较上年增加</w:t>
      </w:r>
      <w:r>
        <w:rPr>
          <w:rFonts w:hint="eastAsia" w:ascii="方正仿宋_GBK" w:hAnsi="方正仿宋_GBK" w:eastAsia="方正仿宋_GBK" w:cs="方正仿宋_GBK"/>
          <w:sz w:val="32"/>
          <w:szCs w:val="32"/>
          <w:shd w:val="clear" w:color="auto" w:fill="FFFFFF"/>
        </w:rPr>
        <w:t>7.23</w:t>
      </w:r>
      <w:r>
        <w:rPr>
          <w:rFonts w:ascii="方正仿宋_GBK" w:hAnsi="方正仿宋_GBK" w:eastAsia="方正仿宋_GBK" w:cs="方正仿宋_GBK"/>
          <w:sz w:val="32"/>
          <w:szCs w:val="32"/>
          <w:shd w:val="clear" w:color="auto" w:fill="FFFFFF"/>
        </w:rPr>
        <w:t>万元，其中生活补助</w:t>
      </w:r>
      <w:r>
        <w:rPr>
          <w:rFonts w:hint="eastAsia" w:ascii="方正仿宋_GBK" w:hAnsi="方正仿宋_GBK" w:eastAsia="方正仿宋_GBK" w:cs="方正仿宋_GBK"/>
          <w:sz w:val="32"/>
          <w:szCs w:val="32"/>
          <w:shd w:val="clear" w:color="auto" w:fill="FFFFFF"/>
        </w:rPr>
        <w:t>11.19</w:t>
      </w:r>
      <w:r>
        <w:rPr>
          <w:rFonts w:ascii="方正仿宋_GBK" w:hAnsi="方正仿宋_GBK" w:eastAsia="方正仿宋_GBK" w:cs="方正仿宋_GBK"/>
          <w:sz w:val="32"/>
          <w:szCs w:val="32"/>
          <w:shd w:val="clear" w:color="auto" w:fill="FFFFFF"/>
        </w:rPr>
        <w:t>万元，较上年增加</w:t>
      </w:r>
      <w:r>
        <w:rPr>
          <w:rFonts w:hint="eastAsia" w:ascii="方正仿宋_GBK" w:hAnsi="方正仿宋_GBK" w:eastAsia="方正仿宋_GBK" w:cs="方正仿宋_GBK"/>
          <w:sz w:val="32"/>
          <w:szCs w:val="32"/>
          <w:shd w:val="clear" w:color="auto" w:fill="FFFFFF"/>
        </w:rPr>
        <w:t>6.76</w:t>
      </w:r>
      <w:r>
        <w:rPr>
          <w:rFonts w:ascii="方正仿宋_GBK" w:hAnsi="方正仿宋_GBK" w:eastAsia="方正仿宋_GBK" w:cs="方正仿宋_GBK"/>
          <w:sz w:val="32"/>
          <w:szCs w:val="32"/>
          <w:shd w:val="clear" w:color="auto" w:fill="FFFFFF"/>
        </w:rPr>
        <w:t>万元；医疗费补助</w:t>
      </w:r>
      <w:r>
        <w:rPr>
          <w:rFonts w:hint="eastAsia" w:ascii="方正仿宋_GBK" w:hAnsi="方正仿宋_GBK" w:eastAsia="方正仿宋_GBK" w:cs="方正仿宋_GBK"/>
          <w:sz w:val="32"/>
          <w:szCs w:val="32"/>
          <w:shd w:val="clear" w:color="auto" w:fill="FFFFFF"/>
        </w:rPr>
        <w:t>1.32</w:t>
      </w:r>
      <w:r>
        <w:rPr>
          <w:rFonts w:ascii="方正仿宋_GBK" w:hAnsi="方正仿宋_GBK" w:eastAsia="方正仿宋_GBK" w:cs="方正仿宋_GBK"/>
          <w:sz w:val="32"/>
          <w:szCs w:val="32"/>
          <w:shd w:val="clear" w:color="auto" w:fill="FFFFFF"/>
        </w:rPr>
        <w:t>万元，较上年增加</w:t>
      </w:r>
      <w:r>
        <w:rPr>
          <w:rFonts w:hint="eastAsia" w:ascii="方正仿宋_GBK" w:hAnsi="方正仿宋_GBK" w:eastAsia="方正仿宋_GBK" w:cs="方正仿宋_GBK"/>
          <w:sz w:val="32"/>
          <w:szCs w:val="32"/>
          <w:shd w:val="clear" w:color="auto" w:fill="FFFFFF"/>
        </w:rPr>
        <w:t>0.46</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人员经费用途主要包括基本工资、津贴补贴、奖金、绩效工资、机关事业单位基本养老保险费、职业年金缴费、职工基本医疗保险缴费、公务员医疗补助缴费、其他社会保障缴费、住房公积金、其他工资福利支出、离休费、生活补助、医疗费补助、奖励金等。</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2.公用经费</w:t>
      </w:r>
      <w:r>
        <w:rPr>
          <w:rFonts w:hint="eastAsia" w:ascii="方正仿宋_GBK" w:hAnsi="方正仿宋_GBK" w:eastAsia="方正仿宋_GBK" w:cs="方正仿宋_GBK"/>
          <w:sz w:val="32"/>
          <w:szCs w:val="32"/>
          <w:shd w:val="clear" w:color="auto" w:fill="FFFFFF"/>
          <w:lang w:val="en-US" w:eastAsia="zh-CN"/>
        </w:rPr>
        <w:t>72.04</w:t>
      </w:r>
      <w:r>
        <w:rPr>
          <w:rFonts w:ascii="方正仿宋_GBK" w:hAnsi="方正仿宋_GBK" w:eastAsia="方正仿宋_GBK" w:cs="方正仿宋_GBK"/>
          <w:sz w:val="32"/>
          <w:szCs w:val="32"/>
          <w:shd w:val="clear" w:color="auto" w:fill="FFFFFF"/>
        </w:rPr>
        <w:t>万元，较上年决算数</w:t>
      </w:r>
      <w:r>
        <w:rPr>
          <w:rFonts w:hint="eastAsia" w:ascii="方正仿宋_GBK" w:hAnsi="方正仿宋_GBK" w:eastAsia="方正仿宋_GBK" w:cs="方正仿宋_GBK"/>
          <w:sz w:val="32"/>
          <w:szCs w:val="32"/>
          <w:shd w:val="clear" w:color="auto" w:fill="FFFFFF"/>
          <w:lang w:val="en-US" w:eastAsia="zh-CN"/>
        </w:rPr>
        <w:t>增加7.4</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上升11.45</w:t>
      </w:r>
      <w:r>
        <w:rPr>
          <w:rFonts w:ascii="方正仿宋_GBK" w:hAnsi="方正仿宋_GBK" w:eastAsia="方正仿宋_GBK" w:cs="方正仿宋_GBK"/>
          <w:sz w:val="32"/>
          <w:szCs w:val="32"/>
          <w:shd w:val="clear" w:color="auto" w:fill="FFFFFF"/>
        </w:rPr>
        <w:t>%，主要原因是：办公费</w:t>
      </w:r>
      <w:r>
        <w:rPr>
          <w:rFonts w:hint="eastAsia" w:ascii="方正仿宋_GBK" w:hAnsi="方正仿宋_GBK" w:eastAsia="方正仿宋_GBK" w:cs="方正仿宋_GBK"/>
          <w:sz w:val="32"/>
          <w:szCs w:val="32"/>
          <w:shd w:val="clear" w:color="auto" w:fill="FFFFFF"/>
        </w:rPr>
        <w:t>2.03</w:t>
      </w:r>
      <w:r>
        <w:rPr>
          <w:rFonts w:ascii="方正仿宋_GBK" w:hAnsi="方正仿宋_GBK" w:eastAsia="方正仿宋_GBK" w:cs="方正仿宋_GBK"/>
          <w:sz w:val="32"/>
          <w:szCs w:val="32"/>
          <w:shd w:val="clear" w:color="auto" w:fill="FFFFFF"/>
        </w:rPr>
        <w:t>万元，较上年</w:t>
      </w:r>
      <w:r>
        <w:rPr>
          <w:rFonts w:hint="eastAsia" w:ascii="方正仿宋_GBK" w:hAnsi="方正仿宋_GBK" w:eastAsia="方正仿宋_GBK" w:cs="方正仿宋_GBK"/>
          <w:sz w:val="32"/>
          <w:szCs w:val="32"/>
          <w:shd w:val="clear" w:color="auto" w:fill="FFFFFF"/>
          <w:lang w:val="en-US" w:eastAsia="zh-CN"/>
        </w:rPr>
        <w:t>不变</w:t>
      </w:r>
      <w:r>
        <w:rPr>
          <w:rFonts w:ascii="方正仿宋_GBK" w:hAnsi="方正仿宋_GBK" w:eastAsia="方正仿宋_GBK" w:cs="方正仿宋_GBK"/>
          <w:sz w:val="32"/>
          <w:szCs w:val="32"/>
          <w:shd w:val="clear" w:color="auto" w:fill="FFFFFF"/>
        </w:rPr>
        <w:t>；水费</w:t>
      </w:r>
      <w:r>
        <w:rPr>
          <w:rFonts w:hint="eastAsia" w:ascii="方正仿宋_GBK" w:hAnsi="方正仿宋_GBK" w:eastAsia="方正仿宋_GBK" w:cs="方正仿宋_GBK"/>
          <w:sz w:val="32"/>
          <w:szCs w:val="32"/>
          <w:shd w:val="clear" w:color="auto" w:fill="FFFFFF"/>
        </w:rPr>
        <w:t>1.36</w:t>
      </w:r>
      <w:r>
        <w:rPr>
          <w:rFonts w:ascii="方正仿宋_GBK" w:hAnsi="方正仿宋_GBK" w:eastAsia="方正仿宋_GBK" w:cs="方正仿宋_GBK"/>
          <w:sz w:val="32"/>
          <w:szCs w:val="32"/>
          <w:shd w:val="clear" w:color="auto" w:fill="FFFFFF"/>
        </w:rPr>
        <w:t>万元，较上年</w:t>
      </w:r>
      <w:r>
        <w:rPr>
          <w:rFonts w:hint="eastAsia" w:ascii="方正仿宋_GBK" w:hAnsi="方正仿宋_GBK" w:eastAsia="方正仿宋_GBK" w:cs="方正仿宋_GBK"/>
          <w:sz w:val="32"/>
          <w:szCs w:val="32"/>
          <w:shd w:val="clear" w:color="auto" w:fill="FFFFFF"/>
          <w:lang w:val="en-US" w:eastAsia="zh-CN"/>
        </w:rPr>
        <w:t>不变</w:t>
      </w:r>
      <w:r>
        <w:rPr>
          <w:rFonts w:ascii="方正仿宋_GBK" w:hAnsi="方正仿宋_GBK" w:eastAsia="方正仿宋_GBK" w:cs="方正仿宋_GBK"/>
          <w:sz w:val="32"/>
          <w:szCs w:val="32"/>
          <w:shd w:val="clear" w:color="auto" w:fill="FFFFFF"/>
        </w:rPr>
        <w:t>；电费</w:t>
      </w:r>
      <w:r>
        <w:rPr>
          <w:rFonts w:hint="eastAsia" w:ascii="方正仿宋_GBK" w:hAnsi="方正仿宋_GBK" w:eastAsia="方正仿宋_GBK" w:cs="方正仿宋_GBK"/>
          <w:sz w:val="32"/>
          <w:szCs w:val="32"/>
          <w:shd w:val="clear" w:color="auto" w:fill="FFFFFF"/>
        </w:rPr>
        <w:t>4.8</w:t>
      </w:r>
      <w:r>
        <w:rPr>
          <w:rFonts w:ascii="方正仿宋_GBK" w:hAnsi="方正仿宋_GBK" w:eastAsia="方正仿宋_GBK" w:cs="方正仿宋_GBK"/>
          <w:sz w:val="32"/>
          <w:szCs w:val="32"/>
          <w:shd w:val="clear" w:color="auto" w:fill="FFFFFF"/>
        </w:rPr>
        <w:t>万元，较上年</w:t>
      </w:r>
      <w:r>
        <w:rPr>
          <w:rFonts w:hint="eastAsia" w:ascii="方正仿宋_GBK" w:hAnsi="方正仿宋_GBK" w:eastAsia="方正仿宋_GBK" w:cs="方正仿宋_GBK"/>
          <w:sz w:val="32"/>
          <w:szCs w:val="32"/>
          <w:shd w:val="clear" w:color="auto" w:fill="FFFFFF"/>
          <w:lang w:val="en-US" w:eastAsia="zh-CN"/>
        </w:rPr>
        <w:t>不变</w:t>
      </w:r>
      <w:r>
        <w:rPr>
          <w:rFonts w:ascii="方正仿宋_GBK" w:hAnsi="方正仿宋_GBK" w:eastAsia="方正仿宋_GBK" w:cs="方正仿宋_GBK"/>
          <w:sz w:val="32"/>
          <w:szCs w:val="32"/>
          <w:shd w:val="clear" w:color="auto" w:fill="FFFFFF"/>
        </w:rPr>
        <w:t>；差旅费</w:t>
      </w:r>
      <w:r>
        <w:rPr>
          <w:rFonts w:hint="eastAsia" w:ascii="方正仿宋_GBK" w:hAnsi="方正仿宋_GBK" w:eastAsia="方正仿宋_GBK" w:cs="方正仿宋_GBK"/>
          <w:sz w:val="32"/>
          <w:szCs w:val="32"/>
          <w:shd w:val="clear" w:color="auto" w:fill="FFFFFF"/>
        </w:rPr>
        <w:t>20.92</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较上年减少18.68</w:t>
      </w:r>
      <w:r>
        <w:rPr>
          <w:rFonts w:ascii="方正仿宋_GBK" w:hAnsi="方正仿宋_GBK" w:eastAsia="方正仿宋_GBK" w:cs="方正仿宋_GBK"/>
          <w:sz w:val="32"/>
          <w:szCs w:val="32"/>
          <w:shd w:val="clear" w:color="auto" w:fill="FFFFFF"/>
        </w:rPr>
        <w:t>万元；会议费</w:t>
      </w:r>
      <w:r>
        <w:rPr>
          <w:rFonts w:hint="eastAsia" w:ascii="方正仿宋_GBK" w:hAnsi="方正仿宋_GBK" w:eastAsia="方正仿宋_GBK" w:cs="方正仿宋_GBK"/>
          <w:sz w:val="32"/>
          <w:szCs w:val="32"/>
          <w:shd w:val="clear" w:color="auto" w:fill="FFFFFF"/>
        </w:rPr>
        <w:t>1.5</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较上年减少0.04</w:t>
      </w:r>
      <w:r>
        <w:rPr>
          <w:rFonts w:ascii="方正仿宋_GBK" w:hAnsi="方正仿宋_GBK" w:eastAsia="方正仿宋_GBK" w:cs="方正仿宋_GBK"/>
          <w:sz w:val="32"/>
          <w:szCs w:val="32"/>
          <w:shd w:val="clear" w:color="auto" w:fill="FFFFFF"/>
        </w:rPr>
        <w:t>万元；培训费</w:t>
      </w:r>
      <w:r>
        <w:rPr>
          <w:rFonts w:hint="eastAsia" w:ascii="方正仿宋_GBK" w:hAnsi="方正仿宋_GBK" w:eastAsia="方正仿宋_GBK" w:cs="方正仿宋_GBK"/>
          <w:sz w:val="32"/>
          <w:szCs w:val="32"/>
          <w:shd w:val="clear" w:color="auto" w:fill="FFFFFF"/>
        </w:rPr>
        <w:t>2.36</w:t>
      </w:r>
      <w:r>
        <w:rPr>
          <w:rFonts w:ascii="方正仿宋_GBK" w:hAnsi="方正仿宋_GBK" w:eastAsia="方正仿宋_GBK" w:cs="方正仿宋_GBK"/>
          <w:sz w:val="32"/>
          <w:szCs w:val="32"/>
          <w:shd w:val="clear" w:color="auto" w:fill="FFFFFF"/>
        </w:rPr>
        <w:t>万元，较上年</w:t>
      </w:r>
      <w:r>
        <w:rPr>
          <w:rFonts w:hint="eastAsia" w:ascii="方正仿宋_GBK" w:hAnsi="方正仿宋_GBK" w:eastAsia="方正仿宋_GBK" w:cs="方正仿宋_GBK"/>
          <w:sz w:val="32"/>
          <w:szCs w:val="32"/>
          <w:shd w:val="clear" w:color="auto" w:fill="FFFFFF"/>
          <w:lang w:val="en-US" w:eastAsia="zh-CN"/>
        </w:rPr>
        <w:t>不变</w:t>
      </w:r>
      <w:r>
        <w:rPr>
          <w:rFonts w:ascii="方正仿宋_GBK" w:hAnsi="方正仿宋_GBK" w:eastAsia="方正仿宋_GBK" w:cs="方正仿宋_GBK"/>
          <w:sz w:val="32"/>
          <w:szCs w:val="32"/>
          <w:shd w:val="clear" w:color="auto" w:fill="FFFFFF"/>
        </w:rPr>
        <w:t>；工会经费</w:t>
      </w:r>
      <w:r>
        <w:rPr>
          <w:rFonts w:hint="eastAsia" w:ascii="方正仿宋_GBK" w:hAnsi="方正仿宋_GBK" w:eastAsia="方正仿宋_GBK" w:cs="方正仿宋_GBK"/>
          <w:sz w:val="32"/>
          <w:szCs w:val="32"/>
          <w:shd w:val="clear" w:color="auto" w:fill="FFFFFF"/>
        </w:rPr>
        <w:t>28.67</w:t>
      </w:r>
      <w:r>
        <w:rPr>
          <w:rFonts w:ascii="方正仿宋_GBK" w:hAnsi="方正仿宋_GBK" w:eastAsia="方正仿宋_GBK" w:cs="方正仿宋_GBK"/>
          <w:sz w:val="32"/>
          <w:szCs w:val="32"/>
          <w:shd w:val="clear" w:color="auto" w:fill="FFFFFF"/>
        </w:rPr>
        <w:t>万元，较上年增加</w:t>
      </w:r>
      <w:r>
        <w:rPr>
          <w:rFonts w:hint="eastAsia" w:ascii="方正仿宋_GBK" w:hAnsi="方正仿宋_GBK" w:eastAsia="方正仿宋_GBK" w:cs="方正仿宋_GBK"/>
          <w:sz w:val="32"/>
          <w:szCs w:val="32"/>
          <w:shd w:val="clear" w:color="auto" w:fill="FFFFFF"/>
        </w:rPr>
        <w:t>25.52</w:t>
      </w:r>
      <w:r>
        <w:rPr>
          <w:rFonts w:ascii="方正仿宋_GBK" w:hAnsi="方正仿宋_GBK" w:eastAsia="方正仿宋_GBK" w:cs="方正仿宋_GBK"/>
          <w:sz w:val="32"/>
          <w:szCs w:val="32"/>
          <w:shd w:val="clear" w:color="auto" w:fill="FFFFFF"/>
        </w:rPr>
        <w:t>万元；福利费</w:t>
      </w:r>
      <w:r>
        <w:rPr>
          <w:rFonts w:hint="eastAsia" w:ascii="方正仿宋_GBK" w:hAnsi="方正仿宋_GBK" w:eastAsia="方正仿宋_GBK" w:cs="方正仿宋_GBK"/>
          <w:sz w:val="32"/>
          <w:szCs w:val="32"/>
          <w:shd w:val="clear" w:color="auto" w:fill="FFFFFF"/>
        </w:rPr>
        <w:t>0.05</w:t>
      </w:r>
      <w:r>
        <w:rPr>
          <w:rFonts w:ascii="方正仿宋_GBK" w:hAnsi="方正仿宋_GBK" w:eastAsia="方正仿宋_GBK" w:cs="方正仿宋_GBK"/>
          <w:sz w:val="32"/>
          <w:szCs w:val="32"/>
          <w:shd w:val="clear" w:color="auto" w:fill="FFFFFF"/>
        </w:rPr>
        <w:t>万元，较上年减少</w:t>
      </w:r>
      <w:r>
        <w:rPr>
          <w:rFonts w:hint="eastAsia" w:ascii="方正仿宋_GBK" w:hAnsi="方正仿宋_GBK" w:eastAsia="方正仿宋_GBK" w:cs="方正仿宋_GBK"/>
          <w:sz w:val="32"/>
          <w:szCs w:val="32"/>
          <w:shd w:val="clear" w:color="auto" w:fill="FFFFFF"/>
        </w:rPr>
        <w:t>2.52</w:t>
      </w:r>
      <w:r>
        <w:rPr>
          <w:rFonts w:ascii="方正仿宋_GBK" w:hAnsi="方正仿宋_GBK" w:eastAsia="方正仿宋_GBK" w:cs="方正仿宋_GBK"/>
          <w:sz w:val="32"/>
          <w:szCs w:val="32"/>
          <w:shd w:val="clear" w:color="auto" w:fill="FFFFFF"/>
        </w:rPr>
        <w:t>万元；公务用车运行维护费</w:t>
      </w:r>
      <w:r>
        <w:rPr>
          <w:rFonts w:hint="eastAsia" w:ascii="方正仿宋_GBK" w:hAnsi="方正仿宋_GBK" w:eastAsia="方正仿宋_GBK" w:cs="方正仿宋_GBK"/>
          <w:sz w:val="32"/>
          <w:szCs w:val="32"/>
          <w:shd w:val="clear" w:color="auto" w:fill="FFFFFF"/>
        </w:rPr>
        <w:t>6.93</w:t>
      </w:r>
      <w:r>
        <w:rPr>
          <w:rFonts w:ascii="方正仿宋_GBK" w:hAnsi="方正仿宋_GBK" w:eastAsia="方正仿宋_GBK" w:cs="方正仿宋_GBK"/>
          <w:sz w:val="32"/>
          <w:szCs w:val="32"/>
          <w:shd w:val="clear" w:color="auto" w:fill="FFFFFF"/>
        </w:rPr>
        <w:t>万元，较上年减少</w:t>
      </w:r>
      <w:r>
        <w:rPr>
          <w:rFonts w:hint="eastAsia" w:ascii="方正仿宋_GBK" w:hAnsi="方正仿宋_GBK" w:eastAsia="方正仿宋_GBK" w:cs="方正仿宋_GBK"/>
          <w:sz w:val="32"/>
          <w:szCs w:val="32"/>
          <w:shd w:val="clear" w:color="auto" w:fill="FFFFFF"/>
        </w:rPr>
        <w:t>0.02</w:t>
      </w:r>
      <w:r>
        <w:rPr>
          <w:rFonts w:ascii="方正仿宋_GBK" w:hAnsi="方正仿宋_GBK" w:eastAsia="方正仿宋_GBK" w:cs="方正仿宋_GBK"/>
          <w:sz w:val="32"/>
          <w:szCs w:val="32"/>
          <w:shd w:val="clear" w:color="auto" w:fill="FFFFFF"/>
        </w:rPr>
        <w:t>万元；其他商品和服务支出</w:t>
      </w:r>
      <w:r>
        <w:rPr>
          <w:rFonts w:hint="eastAsia" w:ascii="方正仿宋_GBK" w:hAnsi="方正仿宋_GBK" w:eastAsia="方正仿宋_GBK" w:cs="方正仿宋_GBK"/>
          <w:sz w:val="32"/>
          <w:szCs w:val="32"/>
          <w:shd w:val="clear" w:color="auto" w:fill="FFFFFF"/>
        </w:rPr>
        <w:t>3.42</w:t>
      </w:r>
      <w:r>
        <w:rPr>
          <w:rFonts w:ascii="方正仿宋_GBK" w:hAnsi="方正仿宋_GBK" w:eastAsia="方正仿宋_GBK" w:cs="方正仿宋_GBK"/>
          <w:sz w:val="32"/>
          <w:szCs w:val="32"/>
          <w:shd w:val="clear" w:color="auto" w:fill="FFFFFF"/>
        </w:rPr>
        <w:t>万元，较上年增加</w:t>
      </w:r>
      <w:r>
        <w:rPr>
          <w:rFonts w:hint="eastAsia" w:ascii="方正仿宋_GBK" w:hAnsi="方正仿宋_GBK" w:eastAsia="方正仿宋_GBK" w:cs="方正仿宋_GBK"/>
          <w:sz w:val="32"/>
          <w:szCs w:val="32"/>
          <w:shd w:val="clear" w:color="auto" w:fill="FFFFFF"/>
        </w:rPr>
        <w:t>3.14</w:t>
      </w:r>
      <w:r>
        <w:rPr>
          <w:rFonts w:ascii="方正仿宋_GBK" w:hAnsi="方正仿宋_GBK" w:eastAsia="方正仿宋_GBK" w:cs="方正仿宋_GBK"/>
          <w:sz w:val="32"/>
          <w:szCs w:val="32"/>
          <w:shd w:val="clear" w:color="auto" w:fill="FFFFFF"/>
        </w:rPr>
        <w:t>万元。</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公用经费用途主要包括办公费、水费、电费、邮电费、物业管理费、差旅费、维修（护）费、会议费、培训费、工会经费、福利费、公务用车运行维护费、其他交通费用、其他商品和服务支出。</w:t>
      </w:r>
    </w:p>
    <w:p>
      <w:pPr>
        <w:pStyle w:val="40"/>
        <w:widowControl w:val="0"/>
        <w:shd w:val="clear" w:color="auto" w:fill="FFFFFF"/>
        <w:autoSpaceDE w:val="0"/>
        <w:spacing w:beforeAutospacing="0" w:afterAutospacing="0" w:line="576" w:lineRule="exact"/>
        <w:ind w:firstLine="640" w:firstLineChars="200"/>
        <w:jc w:val="both"/>
        <w:rPr>
          <w:rFonts w:hint="default" w:ascii="方正黑体_GBK" w:hAnsi="方正黑体_GBK" w:eastAsia="方正黑体_GBK" w:cs="方正黑体_GBK"/>
          <w:sz w:val="32"/>
          <w:szCs w:val="32"/>
          <w:shd w:val="clear" w:color="auto" w:fill="FFFFFF"/>
        </w:rPr>
      </w:pPr>
      <w:r>
        <w:rPr>
          <w:rFonts w:ascii="方正黑体_GBK" w:hAnsi="方正黑体_GBK" w:eastAsia="方正黑体_GBK" w:cs="方正黑体_GBK"/>
          <w:sz w:val="32"/>
          <w:szCs w:val="32"/>
          <w:shd w:val="clear" w:color="auto" w:fill="FFFFFF"/>
        </w:rPr>
        <w:t>三、“三公”经费情况说明</w:t>
      </w:r>
    </w:p>
    <w:p>
      <w:pPr>
        <w:pStyle w:val="40"/>
        <w:widowControl w:val="0"/>
        <w:shd w:val="clear" w:color="auto" w:fill="FFFFFF"/>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（一）“三公”经费支出总体情况说明</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2020</w:t>
      </w:r>
      <w:r>
        <w:rPr>
          <w:rFonts w:ascii="方正仿宋_GBK" w:hAnsi="方正仿宋_GBK" w:eastAsia="方正仿宋_GBK" w:cs="方正仿宋_GBK"/>
          <w:sz w:val="32"/>
          <w:szCs w:val="32"/>
          <w:shd w:val="clear" w:color="auto" w:fill="FFFFFF"/>
        </w:rPr>
        <w:t>年度“三公”经费支出共计</w:t>
      </w:r>
      <w:r>
        <w:rPr>
          <w:rFonts w:hint="eastAsia" w:ascii="方正仿宋_GBK" w:hAnsi="方正仿宋_GBK" w:eastAsia="方正仿宋_GBK" w:cs="方正仿宋_GBK"/>
          <w:sz w:val="32"/>
          <w:szCs w:val="32"/>
          <w:shd w:val="clear" w:color="auto" w:fill="FFFFFF"/>
        </w:rPr>
        <w:t>6.93</w:t>
      </w:r>
      <w:r>
        <w:rPr>
          <w:rFonts w:ascii="方正仿宋_GBK" w:hAnsi="方正仿宋_GBK" w:eastAsia="方正仿宋_GBK" w:cs="方正仿宋_GBK"/>
          <w:sz w:val="32"/>
          <w:szCs w:val="32"/>
          <w:shd w:val="clear" w:color="auto" w:fill="FFFFFF"/>
        </w:rPr>
        <w:t>万元，较年初预算数减少</w:t>
      </w:r>
      <w:r>
        <w:rPr>
          <w:rFonts w:hint="eastAsia" w:ascii="方正仿宋_GBK" w:hAnsi="方正仿宋_GBK" w:eastAsia="方正仿宋_GBK" w:cs="方正仿宋_GBK"/>
          <w:sz w:val="32"/>
          <w:szCs w:val="32"/>
          <w:shd w:val="clear" w:color="auto" w:fill="FFFFFF"/>
          <w:lang w:val="en-US" w:eastAsia="zh-CN"/>
        </w:rPr>
        <w:t>0.07</w:t>
      </w:r>
      <w:r>
        <w:rPr>
          <w:rFonts w:ascii="方正仿宋_GBK" w:hAnsi="方正仿宋_GBK" w:eastAsia="方正仿宋_GBK" w:cs="方正仿宋_GBK"/>
          <w:sz w:val="32"/>
          <w:szCs w:val="32"/>
          <w:shd w:val="clear" w:color="auto" w:fill="FFFFFF"/>
        </w:rPr>
        <w:t>万元，下降</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%。较上年支出数减少</w:t>
      </w:r>
      <w:r>
        <w:rPr>
          <w:rFonts w:hint="eastAsia" w:ascii="方正仿宋_GBK" w:hAnsi="方正仿宋_GBK" w:eastAsia="方正仿宋_GBK" w:cs="方正仿宋_GBK"/>
          <w:sz w:val="32"/>
          <w:szCs w:val="32"/>
          <w:shd w:val="clear" w:color="auto" w:fill="FFFFFF"/>
          <w:lang w:val="en-US" w:eastAsia="zh-CN"/>
        </w:rPr>
        <w:t>0.02</w:t>
      </w:r>
      <w:r>
        <w:rPr>
          <w:rFonts w:ascii="方正仿宋_GBK" w:hAnsi="方正仿宋_GBK" w:eastAsia="方正仿宋_GBK" w:cs="方正仿宋_GBK"/>
          <w:sz w:val="32"/>
          <w:szCs w:val="32"/>
          <w:shd w:val="clear" w:color="auto" w:fill="FFFFFF"/>
        </w:rPr>
        <w:t>万元，下降</w:t>
      </w:r>
      <w:r>
        <w:rPr>
          <w:rFonts w:hint="eastAsia" w:ascii="方正仿宋_GBK" w:hAnsi="方正仿宋_GBK" w:eastAsia="方正仿宋_GBK" w:cs="方正仿宋_GBK"/>
          <w:sz w:val="32"/>
          <w:szCs w:val="32"/>
          <w:shd w:val="clear" w:color="auto" w:fill="FFFFFF"/>
          <w:lang w:val="en-US" w:eastAsia="zh-CN"/>
        </w:rPr>
        <w:t>0.29</w:t>
      </w:r>
      <w:r>
        <w:rPr>
          <w:rFonts w:ascii="方正仿宋_GBK" w:hAnsi="方正仿宋_GBK" w:eastAsia="方正仿宋_GBK" w:cs="方正仿宋_GBK"/>
          <w:sz w:val="32"/>
          <w:szCs w:val="32"/>
          <w:shd w:val="clear" w:color="auto" w:fill="FFFFFF"/>
        </w:rPr>
        <w:t>%。我委未发生因公出国（境）费，未购置公务车辆，</w:t>
      </w:r>
      <w:r>
        <w:rPr>
          <w:rFonts w:hint="eastAsia" w:ascii="方正仿宋_GBK" w:hAnsi="方正仿宋_GBK" w:eastAsia="方正仿宋_GBK" w:cs="方正仿宋_GBK"/>
          <w:sz w:val="32"/>
          <w:szCs w:val="32"/>
          <w:shd w:val="clear" w:color="auto" w:fill="FFFFFF"/>
          <w:lang w:val="en-US" w:eastAsia="zh-CN"/>
        </w:rPr>
        <w:t>未发生公务接待费，</w:t>
      </w:r>
      <w:r>
        <w:rPr>
          <w:rFonts w:ascii="方正仿宋_GBK" w:hAnsi="方正仿宋_GBK" w:eastAsia="方正仿宋_GBK" w:cs="方正仿宋_GBK"/>
          <w:sz w:val="32"/>
          <w:szCs w:val="32"/>
          <w:shd w:val="clear" w:color="auto" w:fill="FFFFFF"/>
        </w:rPr>
        <w:t>未发生外事接待费 和国（境）外接待费。“三公”经费下降的主要原因：一是我委认真贯彻落实中央</w:t>
      </w:r>
      <w:bookmarkStart w:id="0" w:name="_GoBack"/>
      <w:bookmarkEnd w:id="0"/>
      <w:r>
        <w:rPr>
          <w:rFonts w:ascii="方正仿宋_GBK" w:hAnsi="方正仿宋_GBK" w:eastAsia="方正仿宋_GBK" w:cs="方正仿宋_GBK"/>
          <w:sz w:val="32"/>
          <w:szCs w:val="32"/>
          <w:shd w:val="clear" w:color="auto" w:fill="FFFFFF"/>
        </w:rPr>
        <w:t>八项规定精神和厉行节约要求，按照只减不增的要求从严控制三公经费，减少了接待费支出；二是强化公务接待支出管理，严格按照区机关事务局的要求，自觉遵守公务接待开支范围和开支标准，严格控制陪餐人数，除接待市级主管部门外，一般都安排在伙食团就餐，对应由接待对象承担的费用一律由接待对象自行支付，公务接待较年初预算有所下降。三是合理安排用车时间和人员配置，重新规划公务用车维护时效，减少了公务车辆的维修维护费。</w:t>
      </w:r>
    </w:p>
    <w:p>
      <w:pPr>
        <w:pStyle w:val="40"/>
        <w:widowControl w:val="0"/>
        <w:shd w:val="clear" w:color="auto" w:fill="FFFFFF"/>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（二）“三公”经费分项支出情况</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2020</w:t>
      </w:r>
      <w:r>
        <w:rPr>
          <w:rFonts w:ascii="方正仿宋_GBK" w:hAnsi="方正仿宋_GBK" w:eastAsia="方正仿宋_GBK" w:cs="方正仿宋_GBK"/>
          <w:sz w:val="32"/>
          <w:szCs w:val="32"/>
          <w:shd w:val="clear" w:color="auto" w:fill="FFFFFF"/>
        </w:rPr>
        <w:t>年度本部门因公出国（境）费用0.00万元，主要是我委进一步规范因公出国（境）活动，今年未安排单位人员出国出访，未发生因公出国（境）费支出。</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公务车购置费0.00万元，主要是我委严格执行公务车改革规定，</w:t>
      </w:r>
      <w:r>
        <w:rPr>
          <w:rFonts w:hint="eastAsia" w:ascii="方正仿宋_GBK" w:hAnsi="方正仿宋_GBK" w:eastAsia="方正仿宋_GBK" w:cs="方正仿宋_GBK"/>
          <w:sz w:val="32"/>
          <w:szCs w:val="32"/>
          <w:shd w:val="clear" w:color="auto" w:fill="FFFFFF"/>
          <w:lang w:val="en-US" w:eastAsia="zh-CN"/>
        </w:rPr>
        <w:t>2020</w:t>
      </w:r>
      <w:r>
        <w:rPr>
          <w:rFonts w:ascii="方正仿宋_GBK" w:hAnsi="方正仿宋_GBK" w:eastAsia="方正仿宋_GBK" w:cs="方正仿宋_GBK"/>
          <w:sz w:val="32"/>
          <w:szCs w:val="32"/>
          <w:shd w:val="clear" w:color="auto" w:fill="FFFFFF"/>
        </w:rPr>
        <w:t>年未新购公务车辆。</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公务车运行维护费</w:t>
      </w:r>
      <w:r>
        <w:rPr>
          <w:rFonts w:hint="eastAsia" w:ascii="方正仿宋_GBK" w:hAnsi="方正仿宋_GBK" w:eastAsia="方正仿宋_GBK" w:cs="方正仿宋_GBK"/>
          <w:sz w:val="32"/>
          <w:szCs w:val="32"/>
          <w:shd w:val="clear" w:color="auto" w:fill="FFFFFF"/>
        </w:rPr>
        <w:t>6.93</w:t>
      </w:r>
      <w:r>
        <w:rPr>
          <w:rFonts w:ascii="方正仿宋_GBK" w:hAnsi="方正仿宋_GBK" w:eastAsia="方正仿宋_GBK" w:cs="方正仿宋_GBK"/>
          <w:sz w:val="32"/>
          <w:szCs w:val="32"/>
          <w:shd w:val="clear" w:color="auto" w:fill="FFFFFF"/>
        </w:rPr>
        <w:t>万元，主要用于机要文件交换、市内因公出行、建筑行业质量监督和施工安全检查等工作所需车辆的燃料费、维修费、过桥过路费、保险费等。费用支出较年初预算数减少</w:t>
      </w:r>
      <w:r>
        <w:rPr>
          <w:rFonts w:hint="eastAsia" w:ascii="方正仿宋_GBK" w:hAnsi="方正仿宋_GBK" w:eastAsia="方正仿宋_GBK" w:cs="方正仿宋_GBK"/>
          <w:sz w:val="32"/>
          <w:szCs w:val="32"/>
          <w:shd w:val="clear" w:color="auto" w:fill="FFFFFF"/>
          <w:lang w:val="en-US" w:eastAsia="zh-CN"/>
        </w:rPr>
        <w:t>0.07</w:t>
      </w:r>
      <w:r>
        <w:rPr>
          <w:rFonts w:ascii="方正仿宋_GBK" w:hAnsi="方正仿宋_GBK" w:eastAsia="方正仿宋_GBK" w:cs="方正仿宋_GBK"/>
          <w:sz w:val="32"/>
          <w:szCs w:val="32"/>
          <w:shd w:val="clear" w:color="auto" w:fill="FFFFFF"/>
        </w:rPr>
        <w:t>万元，下降</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%，较上年支出数减少</w:t>
      </w:r>
      <w:r>
        <w:rPr>
          <w:rFonts w:hint="eastAsia" w:ascii="方正仿宋_GBK" w:hAnsi="方正仿宋_GBK" w:eastAsia="方正仿宋_GBK" w:cs="方正仿宋_GBK"/>
          <w:sz w:val="32"/>
          <w:szCs w:val="32"/>
          <w:shd w:val="clear" w:color="auto" w:fill="FFFFFF"/>
          <w:lang w:val="en-US" w:eastAsia="zh-CN"/>
        </w:rPr>
        <w:t>0.02</w:t>
      </w:r>
      <w:r>
        <w:rPr>
          <w:rFonts w:ascii="方正仿宋_GBK" w:hAnsi="方正仿宋_GBK" w:eastAsia="方正仿宋_GBK" w:cs="方正仿宋_GBK"/>
          <w:sz w:val="32"/>
          <w:szCs w:val="32"/>
          <w:shd w:val="clear" w:color="auto" w:fill="FFFFFF"/>
        </w:rPr>
        <w:t>万元，下降</w:t>
      </w:r>
      <w:r>
        <w:rPr>
          <w:rFonts w:hint="eastAsia" w:ascii="方正仿宋_GBK" w:hAnsi="方正仿宋_GBK" w:eastAsia="方正仿宋_GBK" w:cs="方正仿宋_GBK"/>
          <w:sz w:val="32"/>
          <w:szCs w:val="32"/>
          <w:shd w:val="clear" w:color="auto" w:fill="FFFFFF"/>
          <w:lang w:val="en-US" w:eastAsia="zh-CN"/>
        </w:rPr>
        <w:t>0.29</w:t>
      </w:r>
      <w:r>
        <w:rPr>
          <w:rFonts w:ascii="方正仿宋_GBK" w:hAnsi="方正仿宋_GBK" w:eastAsia="方正仿宋_GBK" w:cs="方正仿宋_GBK"/>
          <w:sz w:val="32"/>
          <w:szCs w:val="32"/>
          <w:shd w:val="clear" w:color="auto" w:fill="FFFFFF"/>
        </w:rPr>
        <w:t>%，主要原因是我委加强了公务车辆的统一管理，合理安排用车时间和人员配置，重新规划公务用车维护时效，减少了公务车辆的维修维护费。</w:t>
      </w:r>
    </w:p>
    <w:p>
      <w:pPr>
        <w:pStyle w:val="40"/>
        <w:widowControl w:val="0"/>
        <w:shd w:val="clear" w:color="auto" w:fill="FFFFFF"/>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（三）“三公”经费实物量情况</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2020</w:t>
      </w:r>
      <w:r>
        <w:rPr>
          <w:rFonts w:ascii="方正仿宋_GBK" w:hAnsi="方正仿宋_GBK" w:eastAsia="方正仿宋_GBK" w:cs="方正仿宋_GBK"/>
          <w:sz w:val="32"/>
          <w:szCs w:val="32"/>
          <w:shd w:val="clear" w:color="auto" w:fill="FFFFFF"/>
        </w:rPr>
        <w:t>年度本部门因公出国（境）共计0个团组，0人；公务用车购置0辆，公务车保有量为</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辆；国内公务接待</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批次</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人，其中：国内外事接待0批次，0人；国（境）外公务接待0批次，0人。2</w:t>
      </w:r>
      <w:r>
        <w:rPr>
          <w:rFonts w:hint="eastAsia" w:ascii="方正仿宋_GBK" w:hAnsi="方正仿宋_GBK" w:eastAsia="方正仿宋_GBK" w:cs="方正仿宋_GBK"/>
          <w:sz w:val="32"/>
          <w:szCs w:val="32"/>
          <w:shd w:val="clear" w:color="auto" w:fill="FFFFFF"/>
          <w:lang w:val="en-US" w:eastAsia="zh-CN"/>
        </w:rPr>
        <w:t>020</w:t>
      </w:r>
      <w:r>
        <w:rPr>
          <w:rFonts w:ascii="方正仿宋_GBK" w:hAnsi="方正仿宋_GBK" w:eastAsia="方正仿宋_GBK" w:cs="方正仿宋_GBK"/>
          <w:sz w:val="32"/>
          <w:szCs w:val="32"/>
          <w:shd w:val="clear" w:color="auto" w:fill="FFFFFF"/>
        </w:rPr>
        <w:t>年本部门人均接待费</w:t>
      </w:r>
      <w:r>
        <w:rPr>
          <w:rFonts w:hint="eastAsia" w:ascii="方正仿宋_GBK" w:hAnsi="方正仿宋_GBK" w:eastAsia="方正仿宋_GBK" w:cs="方正仿宋_GBK"/>
          <w:sz w:val="32"/>
          <w:szCs w:val="32"/>
          <w:shd w:val="clear" w:color="auto" w:fill="FFFFFF"/>
          <w:lang w:val="en-US" w:eastAsia="zh-CN"/>
        </w:rPr>
        <w:t>0万</w:t>
      </w:r>
      <w:r>
        <w:rPr>
          <w:rFonts w:ascii="方正仿宋_GBK" w:hAnsi="方正仿宋_GBK" w:eastAsia="方正仿宋_GBK" w:cs="方正仿宋_GBK"/>
          <w:sz w:val="32"/>
          <w:szCs w:val="32"/>
          <w:shd w:val="clear" w:color="auto" w:fill="FFFFFF"/>
        </w:rPr>
        <w:t>元，车均购置费</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万元，车均维护费</w:t>
      </w:r>
      <w:r>
        <w:rPr>
          <w:rFonts w:hint="eastAsia" w:ascii="方正仿宋_GBK" w:hAnsi="方正仿宋_GBK" w:eastAsia="方正仿宋_GBK" w:cs="方正仿宋_GBK"/>
          <w:sz w:val="32"/>
          <w:szCs w:val="32"/>
          <w:shd w:val="clear" w:color="auto" w:fill="FFFFFF"/>
          <w:lang w:val="en-US" w:eastAsia="zh-CN"/>
        </w:rPr>
        <w:t>3.47</w:t>
      </w:r>
      <w:r>
        <w:rPr>
          <w:rFonts w:ascii="方正仿宋_GBK" w:hAnsi="方正仿宋_GBK" w:eastAsia="方正仿宋_GBK" w:cs="方正仿宋_GBK"/>
          <w:sz w:val="32"/>
          <w:szCs w:val="32"/>
          <w:shd w:val="clear" w:color="auto" w:fill="FFFFFF"/>
        </w:rPr>
        <w:t>万元。</w:t>
      </w:r>
    </w:p>
    <w:p>
      <w:pPr>
        <w:pStyle w:val="40"/>
        <w:widowControl w:val="0"/>
        <w:shd w:val="clear" w:color="auto" w:fill="FFFFFF"/>
        <w:autoSpaceDE w:val="0"/>
        <w:spacing w:beforeAutospacing="0" w:afterAutospacing="0" w:line="576" w:lineRule="exact"/>
        <w:ind w:firstLine="640" w:firstLineChars="200"/>
        <w:jc w:val="both"/>
        <w:rPr>
          <w:rFonts w:hint="default" w:ascii="方正黑体_GBK" w:hAnsi="方正黑体_GBK" w:eastAsia="方正黑体_GBK" w:cs="方正黑体_GBK"/>
          <w:sz w:val="32"/>
          <w:szCs w:val="32"/>
          <w:shd w:val="clear" w:color="auto" w:fill="FFFFFF"/>
        </w:rPr>
      </w:pPr>
      <w:r>
        <w:rPr>
          <w:rFonts w:ascii="方正黑体_GBK" w:hAnsi="方正黑体_GBK" w:eastAsia="方正黑体_GBK" w:cs="方正黑体_GBK"/>
          <w:sz w:val="32"/>
          <w:szCs w:val="32"/>
          <w:shd w:val="clear" w:color="auto" w:fill="FFFFFF"/>
        </w:rPr>
        <w:t>四、其他需要说明的事项</w:t>
      </w:r>
    </w:p>
    <w:p>
      <w:pPr>
        <w:pStyle w:val="40"/>
        <w:widowControl w:val="0"/>
        <w:shd w:val="clear" w:color="auto" w:fill="FFFFFF"/>
        <w:autoSpaceDE w:val="0"/>
        <w:spacing w:beforeAutospacing="0" w:afterAutospacing="0"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（一）机关运行经费情况说明</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w:t>
      </w:r>
      <w:r>
        <w:rPr>
          <w:rFonts w:hint="eastAsia" w:ascii="方正仿宋_GBK" w:hAnsi="方正仿宋_GBK" w:eastAsia="方正仿宋_GBK" w:cs="方正仿宋_GBK"/>
          <w:sz w:val="32"/>
          <w:szCs w:val="32"/>
          <w:shd w:val="clear" w:color="auto" w:fill="FFFFFF"/>
          <w:lang w:val="en-US" w:eastAsia="zh-CN"/>
        </w:rPr>
        <w:t>20</w:t>
      </w:r>
      <w:r>
        <w:rPr>
          <w:rFonts w:ascii="方正仿宋_GBK" w:hAnsi="方正仿宋_GBK" w:eastAsia="方正仿宋_GBK" w:cs="方正仿宋_GBK"/>
          <w:sz w:val="32"/>
          <w:szCs w:val="32"/>
          <w:shd w:val="clear" w:color="auto" w:fill="FFFFFF"/>
        </w:rPr>
        <w:t>年度本部门机关运行经费支出</w:t>
      </w:r>
      <w:r>
        <w:rPr>
          <w:rFonts w:hint="eastAsia" w:ascii="方正仿宋_GBK" w:hAnsi="方正仿宋_GBK" w:eastAsia="方正仿宋_GBK" w:cs="方正仿宋_GBK"/>
          <w:sz w:val="32"/>
          <w:szCs w:val="32"/>
          <w:shd w:val="clear" w:color="auto" w:fill="FFFFFF"/>
          <w:lang w:val="en-US" w:eastAsia="zh-CN"/>
        </w:rPr>
        <w:t>0.00</w:t>
      </w:r>
      <w:r>
        <w:rPr>
          <w:rFonts w:ascii="方正仿宋_GBK" w:hAnsi="方正仿宋_GBK" w:eastAsia="方正仿宋_GBK" w:cs="方正仿宋_GBK"/>
          <w:sz w:val="32"/>
          <w:szCs w:val="32"/>
          <w:shd w:val="clear" w:color="auto" w:fill="FFFFFF"/>
        </w:rPr>
        <w:t>万元。机关运行经费较上年</w:t>
      </w:r>
      <w:r>
        <w:rPr>
          <w:rFonts w:hint="eastAsia" w:ascii="方正仿宋_GBK" w:hAnsi="方正仿宋_GBK" w:eastAsia="方正仿宋_GBK" w:cs="方正仿宋_GBK"/>
          <w:sz w:val="32"/>
          <w:szCs w:val="32"/>
          <w:shd w:val="clear" w:color="auto" w:fill="FFFFFF"/>
          <w:lang w:val="en-US" w:eastAsia="zh-CN"/>
        </w:rPr>
        <w:t>不变</w:t>
      </w:r>
      <w:r>
        <w:rPr>
          <w:rFonts w:ascii="方正仿宋_GBK" w:hAnsi="方正仿宋_GBK" w:eastAsia="方正仿宋_GBK" w:cs="方正仿宋_GBK"/>
          <w:sz w:val="32"/>
          <w:szCs w:val="32"/>
          <w:shd w:val="clear" w:color="auto" w:fill="FFFFFF"/>
        </w:rPr>
        <w:t>。</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此外，本年度一般公共预算财政拨款会议费支出</w:t>
      </w:r>
      <w:r>
        <w:rPr>
          <w:rFonts w:hint="eastAsia" w:ascii="方正仿宋_GBK" w:hAnsi="方正仿宋_GBK" w:eastAsia="方正仿宋_GBK" w:cs="方正仿宋_GBK"/>
          <w:sz w:val="32"/>
          <w:szCs w:val="32"/>
          <w:shd w:val="clear" w:color="auto" w:fill="FFFFFF"/>
        </w:rPr>
        <w:t>1.5</w:t>
      </w:r>
      <w:r>
        <w:rPr>
          <w:rFonts w:ascii="方正仿宋_GBK" w:hAnsi="方正仿宋_GBK" w:eastAsia="方正仿宋_GBK" w:cs="方正仿宋_GBK"/>
          <w:sz w:val="32"/>
          <w:szCs w:val="32"/>
          <w:shd w:val="clear" w:color="auto" w:fill="FFFFFF"/>
        </w:rPr>
        <w:t>万元，较上年决算数</w:t>
      </w:r>
      <w:r>
        <w:rPr>
          <w:rFonts w:hint="eastAsia" w:ascii="方正仿宋_GBK" w:hAnsi="方正仿宋_GBK" w:eastAsia="方正仿宋_GBK" w:cs="方正仿宋_GBK"/>
          <w:sz w:val="32"/>
          <w:szCs w:val="32"/>
          <w:shd w:val="clear" w:color="auto" w:fill="FFFFFF"/>
          <w:lang w:val="en-US" w:eastAsia="zh-CN"/>
        </w:rPr>
        <w:t>较少0.04</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下降2.60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召开会议减少</w:t>
      </w:r>
      <w:r>
        <w:rPr>
          <w:rFonts w:ascii="方正仿宋_GBK" w:hAnsi="方正仿宋_GBK" w:eastAsia="方正仿宋_GBK" w:cs="方正仿宋_GBK"/>
          <w:sz w:val="32"/>
          <w:szCs w:val="32"/>
          <w:shd w:val="clear" w:color="auto" w:fill="FFFFFF"/>
        </w:rPr>
        <w:t>。本年度一般公共预算财政拨款培训费支出</w:t>
      </w:r>
      <w:r>
        <w:rPr>
          <w:rFonts w:hint="eastAsia" w:ascii="方正仿宋_GBK" w:hAnsi="方正仿宋_GBK" w:eastAsia="方正仿宋_GBK" w:cs="方正仿宋_GBK"/>
          <w:sz w:val="32"/>
          <w:szCs w:val="32"/>
          <w:shd w:val="clear" w:color="auto" w:fill="FFFFFF"/>
        </w:rPr>
        <w:t>2.48</w:t>
      </w:r>
      <w:r>
        <w:rPr>
          <w:rFonts w:ascii="方正仿宋_GBK" w:hAnsi="方正仿宋_GBK" w:eastAsia="方正仿宋_GBK" w:cs="方正仿宋_GBK"/>
          <w:sz w:val="32"/>
          <w:szCs w:val="32"/>
          <w:shd w:val="clear" w:color="auto" w:fill="FFFFFF"/>
        </w:rPr>
        <w:t>万元，较上年决算数</w:t>
      </w:r>
      <w:r>
        <w:rPr>
          <w:rFonts w:hint="eastAsia" w:ascii="方正仿宋_GBK" w:hAnsi="方正仿宋_GBK" w:eastAsia="方正仿宋_GBK" w:cs="方正仿宋_GBK"/>
          <w:sz w:val="32"/>
          <w:szCs w:val="32"/>
          <w:shd w:val="clear" w:color="auto" w:fill="FFFFFF"/>
          <w:lang w:val="en-US" w:eastAsia="zh-CN"/>
        </w:rPr>
        <w:t>增加0.12</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上升5.08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培训次数、人员增加</w:t>
      </w:r>
      <w:r>
        <w:rPr>
          <w:rFonts w:ascii="方正仿宋_GBK" w:hAnsi="方正仿宋_GBK" w:eastAsia="方正仿宋_GBK" w:cs="方正仿宋_GBK"/>
          <w:sz w:val="32"/>
          <w:szCs w:val="32"/>
          <w:shd w:val="clear" w:color="auto" w:fill="FFFFFF"/>
        </w:rPr>
        <w:t>。</w:t>
      </w:r>
    </w:p>
    <w:p>
      <w:pPr>
        <w:pStyle w:val="40"/>
        <w:widowControl w:val="0"/>
        <w:shd w:val="clear" w:color="auto" w:fill="FFFFFF"/>
        <w:autoSpaceDE w:val="0"/>
        <w:spacing w:beforeAutospacing="0" w:afterAutospacing="0"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（二）国有资产占用情况说明</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截至20</w:t>
      </w:r>
      <w:r>
        <w:rPr>
          <w:rFonts w:hint="eastAsia" w:ascii="方正仿宋_GBK" w:hAnsi="方正仿宋_GBK" w:eastAsia="方正仿宋_GBK" w:cs="方正仿宋_GBK"/>
          <w:sz w:val="32"/>
          <w:szCs w:val="32"/>
          <w:shd w:val="clear" w:color="auto" w:fill="FFFFFF"/>
          <w:lang w:val="en-US" w:eastAsia="zh-CN"/>
        </w:rPr>
        <w:t>20</w:t>
      </w:r>
      <w:r>
        <w:rPr>
          <w:rFonts w:ascii="方正仿宋_GBK" w:hAnsi="方正仿宋_GBK" w:eastAsia="方正仿宋_GBK" w:cs="方正仿宋_GBK"/>
          <w:sz w:val="32"/>
          <w:szCs w:val="32"/>
          <w:shd w:val="clear" w:color="auto" w:fill="FFFFFF"/>
        </w:rPr>
        <w:t>年12月31日，本部门共有车辆</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辆，其中，副部（省）级及以上领导用车0辆、主要领导干部用车0辆、机要通信用车</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辆、应急保障用车2辆、执法执勤用车0辆，特种专业技术用车0辆，离退休干部用车0辆，其他用车0辆，单价50万元（含）以上通用设备0台（套），单价100万元（含）以上专用设备0台（套）。</w:t>
      </w:r>
    </w:p>
    <w:p>
      <w:pPr>
        <w:pStyle w:val="40"/>
        <w:widowControl w:val="0"/>
        <w:shd w:val="clear" w:color="auto" w:fill="FFFFFF"/>
        <w:autoSpaceDE w:val="0"/>
        <w:spacing w:beforeAutospacing="0" w:afterAutospacing="0" w:line="576" w:lineRule="exact"/>
        <w:ind w:firstLine="640" w:firstLineChars="200"/>
        <w:jc w:val="both"/>
        <w:rPr>
          <w:rFonts w:hint="default" w:ascii="方正黑体_GBK" w:hAnsi="方正黑体_GBK" w:eastAsia="方正黑体_GBK" w:cs="方正黑体_GBK"/>
          <w:sz w:val="32"/>
          <w:szCs w:val="32"/>
          <w:shd w:val="clear" w:color="auto" w:fill="FFFFFF"/>
        </w:rPr>
      </w:pPr>
      <w:r>
        <w:rPr>
          <w:rFonts w:ascii="方正黑体_GBK" w:hAnsi="方正黑体_GBK" w:eastAsia="方正黑体_GBK" w:cs="方正黑体_GBK"/>
          <w:sz w:val="32"/>
          <w:szCs w:val="32"/>
          <w:shd w:val="clear" w:color="auto" w:fill="FFFFFF"/>
        </w:rPr>
        <w:t>五、预算绩效管理情况说明</w:t>
      </w:r>
    </w:p>
    <w:p>
      <w:pPr>
        <w:pStyle w:val="40"/>
        <w:widowControl w:val="0"/>
        <w:shd w:val="clear" w:color="auto" w:fill="FFFFFF"/>
        <w:autoSpaceDE w:val="0"/>
        <w:spacing w:beforeAutospacing="0" w:afterAutospacing="0" w:line="576" w:lineRule="exact"/>
        <w:ind w:firstLine="640" w:firstLineChars="200"/>
        <w:jc w:val="both"/>
        <w:rPr>
          <w:rFonts w:hint="default" w:ascii="方正楷体_GBK" w:hAnsi="方正楷体_GBK" w:eastAsia="方正楷体_GBK" w:cs="方正楷体_GBK"/>
          <w:color w:val="FF0000"/>
          <w:sz w:val="32"/>
          <w:szCs w:val="32"/>
          <w:shd w:val="clear" w:color="auto" w:fill="FFFFFF"/>
        </w:rPr>
      </w:pPr>
      <w:r>
        <w:rPr>
          <w:rFonts w:ascii="方正楷体_GBK" w:hAnsi="方正楷体_GBK" w:eastAsia="方正楷体_GBK" w:cs="方正楷体_GBK"/>
          <w:sz w:val="32"/>
          <w:szCs w:val="32"/>
          <w:shd w:val="clear" w:color="auto" w:fill="FFFFFF"/>
        </w:rPr>
        <w:t>（一）预算绩效管理工作开展情况</w:t>
      </w:r>
    </w:p>
    <w:p>
      <w:pPr>
        <w:widowControl w:val="0"/>
        <w:tabs>
          <w:tab w:val="left" w:pos="7020"/>
        </w:tabs>
        <w:autoSpaceDE w:val="0"/>
        <w:spacing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根据区财政预算绩效管理要求，我</w:t>
      </w:r>
      <w:r>
        <w:rPr>
          <w:rFonts w:hint="eastAsia" w:ascii="方正仿宋_GBK" w:hAnsi="方正仿宋_GBK" w:eastAsia="方正仿宋_GBK" w:cs="方正仿宋_GBK"/>
          <w:sz w:val="32"/>
          <w:szCs w:val="32"/>
          <w:lang w:val="en-US" w:eastAsia="zh-CN"/>
        </w:rPr>
        <w:t>部门</w:t>
      </w:r>
      <w:r>
        <w:rPr>
          <w:rFonts w:ascii="方正仿宋_GBK" w:hAnsi="方正仿宋_GBK" w:eastAsia="方正仿宋_GBK" w:cs="方正仿宋_GBK"/>
          <w:sz w:val="32"/>
          <w:szCs w:val="32"/>
        </w:rPr>
        <w:t>对</w:t>
      </w:r>
      <w:r>
        <w:rPr>
          <w:rFonts w:hint="eastAsia" w:ascii="方正仿宋_GBK" w:hAnsi="方正仿宋_GBK" w:eastAsia="方正仿宋_GBK" w:cs="方正仿宋_GBK"/>
          <w:sz w:val="32"/>
          <w:szCs w:val="32"/>
          <w:lang w:val="en-US" w:eastAsia="zh-CN"/>
        </w:rPr>
        <w:t>3个</w:t>
      </w:r>
      <w:r>
        <w:rPr>
          <w:rFonts w:ascii="方正仿宋_GBK" w:hAnsi="方正仿宋_GBK" w:eastAsia="方正仿宋_GBK" w:cs="方正仿宋_GBK"/>
          <w:sz w:val="32"/>
          <w:szCs w:val="32"/>
        </w:rPr>
        <w:t>资金项目，开展了以填报目标自评表的形式对预算资金进行了目标绩效自评。</w:t>
      </w:r>
      <w:r>
        <w:rPr>
          <w:rFonts w:ascii="方正仿宋_GBK" w:hAnsi="方正仿宋_GBK" w:eastAsia="方正仿宋_GBK" w:cs="方正仿宋_GBK"/>
          <w:kern w:val="2"/>
          <w:sz w:val="32"/>
          <w:szCs w:val="32"/>
        </w:rPr>
        <w:t>从评价情况来看，自我评价结果总体较好，都达到了年初设定的绩效目标，均为优良等级。</w:t>
      </w:r>
    </w:p>
    <w:p>
      <w:pPr>
        <w:widowControl w:val="0"/>
        <w:autoSpaceDE w:val="0"/>
        <w:spacing w:line="576" w:lineRule="exact"/>
        <w:ind w:firstLine="640" w:firstLineChars="200"/>
        <w:jc w:val="both"/>
        <w:rPr>
          <w:rFonts w:hint="default" w:ascii="方正楷体_GBK" w:hAnsi="方正楷体_GBK" w:eastAsia="方正楷体_GBK" w:cs="方正楷体_GBK"/>
          <w:sz w:val="32"/>
          <w:szCs w:val="32"/>
        </w:rPr>
      </w:pPr>
      <w:r>
        <w:rPr>
          <w:rFonts w:ascii="方正楷体_GBK" w:hAnsi="方正楷体_GBK" w:eastAsia="方正楷体_GBK" w:cs="方正楷体_GBK"/>
          <w:sz w:val="32"/>
          <w:szCs w:val="32"/>
        </w:rPr>
        <w:t>（二）绩效自评结果</w:t>
      </w:r>
    </w:p>
    <w:p>
      <w:pPr>
        <w:widowControl w:val="0"/>
        <w:autoSpaceDE w:val="0"/>
        <w:spacing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1.绩效目标自评表</w:t>
      </w:r>
    </w:p>
    <w:p>
      <w:pPr>
        <w:widowControl w:val="0"/>
        <w:autoSpaceDE w:val="0"/>
        <w:spacing w:line="576"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2020</w:t>
      </w:r>
      <w:r>
        <w:rPr>
          <w:rFonts w:ascii="方正仿宋_GBK" w:hAnsi="方正仿宋_GBK" w:eastAsia="方正仿宋_GBK" w:cs="方正仿宋_GBK"/>
          <w:sz w:val="32"/>
          <w:szCs w:val="32"/>
        </w:rPr>
        <w:t>年，我</w:t>
      </w:r>
      <w:r>
        <w:rPr>
          <w:rFonts w:hint="eastAsia" w:ascii="方正仿宋_GBK" w:hAnsi="方正仿宋_GBK" w:eastAsia="方正仿宋_GBK" w:cs="方正仿宋_GBK"/>
          <w:sz w:val="32"/>
          <w:szCs w:val="32"/>
          <w:lang w:val="en-US" w:eastAsia="zh-CN"/>
        </w:rPr>
        <w:t>部门</w:t>
      </w:r>
      <w:r>
        <w:rPr>
          <w:rFonts w:ascii="方正仿宋_GBK" w:hAnsi="方正仿宋_GBK" w:eastAsia="方正仿宋_GBK" w:cs="方正仿宋_GBK"/>
          <w:sz w:val="32"/>
          <w:szCs w:val="32"/>
        </w:rPr>
        <w:t>共开展了</w:t>
      </w:r>
      <w:r>
        <w:rPr>
          <w:rFonts w:hint="eastAsia" w:ascii="方正仿宋_GBK" w:hAnsi="方正仿宋_GBK" w:eastAsia="方正仿宋_GBK" w:cs="方正仿宋_GBK"/>
          <w:sz w:val="32"/>
          <w:szCs w:val="32"/>
          <w:lang w:val="en-US" w:eastAsia="zh-CN"/>
        </w:rPr>
        <w:t>3</w:t>
      </w:r>
      <w:r>
        <w:rPr>
          <w:rFonts w:ascii="方正仿宋_GBK" w:hAnsi="方正仿宋_GBK" w:eastAsia="方正仿宋_GBK" w:cs="方正仿宋_GBK"/>
          <w:sz w:val="32"/>
          <w:szCs w:val="32"/>
        </w:rPr>
        <w:t>个项目的绩效自评，现将其中“</w:t>
      </w:r>
      <w:r>
        <w:rPr>
          <w:rFonts w:hint="eastAsia" w:ascii="方正仿宋_GBK" w:hAnsi="方正仿宋_GBK" w:eastAsia="方正仿宋_GBK" w:cs="方正仿宋_GBK"/>
          <w:sz w:val="32"/>
          <w:szCs w:val="32"/>
        </w:rPr>
        <w:t>原材料及实体质量抽查抽测费</w:t>
      </w:r>
      <w:r>
        <w:rPr>
          <w:rFonts w:ascii="方正仿宋_GBK" w:hAnsi="方正仿宋_GBK" w:eastAsia="方正仿宋_GBK" w:cs="方正仿宋_GBK"/>
          <w:sz w:val="32"/>
          <w:szCs w:val="32"/>
        </w:rPr>
        <w:t>”项目绩效自评情况公开如下。</w:t>
      </w:r>
    </w:p>
    <w:tbl>
      <w:tblPr>
        <w:tblStyle w:val="15"/>
        <w:tblW w:w="9371" w:type="dxa"/>
        <w:tblInd w:w="93" w:type="dxa"/>
        <w:tblLayout w:type="fixed"/>
        <w:tblCellMar>
          <w:top w:w="0" w:type="dxa"/>
          <w:left w:w="108" w:type="dxa"/>
          <w:bottom w:w="0" w:type="dxa"/>
          <w:right w:w="108" w:type="dxa"/>
        </w:tblCellMar>
      </w:tblPr>
      <w:tblGrid>
        <w:gridCol w:w="975"/>
        <w:gridCol w:w="1635"/>
        <w:gridCol w:w="1080"/>
        <w:gridCol w:w="210"/>
        <w:gridCol w:w="975"/>
        <w:gridCol w:w="974"/>
        <w:gridCol w:w="975"/>
        <w:gridCol w:w="974"/>
        <w:gridCol w:w="973"/>
        <w:gridCol w:w="90"/>
        <w:gridCol w:w="510"/>
      </w:tblGrid>
      <w:tr>
        <w:tblPrEx>
          <w:tblLayout w:type="fixed"/>
          <w:tblCellMar>
            <w:top w:w="0" w:type="dxa"/>
            <w:left w:w="108" w:type="dxa"/>
            <w:bottom w:w="0" w:type="dxa"/>
            <w:right w:w="108" w:type="dxa"/>
          </w:tblCellMar>
        </w:tblPrEx>
        <w:trPr>
          <w:gridAfter w:val="1"/>
          <w:wAfter w:w="510" w:type="dxa"/>
          <w:trHeight w:val="705" w:hRule="atLeast"/>
        </w:trPr>
        <w:tc>
          <w:tcPr>
            <w:tcW w:w="8861" w:type="dxa"/>
            <w:gridSpan w:val="10"/>
            <w:tcBorders>
              <w:top w:val="nil"/>
              <w:left w:val="nil"/>
              <w:bottom w:val="nil"/>
              <w:right w:val="nil"/>
            </w:tcBorders>
            <w:shd w:val="clear" w:color="auto" w:fill="auto"/>
            <w:tcMar>
              <w:top w:w="15" w:type="dxa"/>
              <w:bottom w:w="15" w:type="dxa"/>
            </w:tcMar>
            <w:vAlign w:val="center"/>
          </w:tcPr>
          <w:p>
            <w:pPr>
              <w:widowControl w:val="0"/>
              <w:autoSpaceDE w:val="0"/>
              <w:spacing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      预算绩效目标单位自评评价表       单位：万元</w:t>
            </w:r>
          </w:p>
        </w:tc>
      </w:tr>
      <w:tr>
        <w:tblPrEx>
          <w:tblLayout w:type="fixed"/>
          <w:tblCellMar>
            <w:top w:w="0" w:type="dxa"/>
            <w:left w:w="108" w:type="dxa"/>
            <w:bottom w:w="0" w:type="dxa"/>
            <w:right w:w="108" w:type="dxa"/>
          </w:tblCellMar>
        </w:tblPrEx>
        <w:trPr>
          <w:trHeight w:val="297"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项目名称</w:t>
            </w:r>
          </w:p>
        </w:tc>
        <w:tc>
          <w:tcPr>
            <w:tcW w:w="3900"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eastAsia" w:ascii="Times New Roman" w:hAnsi="Times New Roman" w:eastAsia="方正仿宋_GBK"/>
                <w:color w:val="000000"/>
                <w:sz w:val="20"/>
                <w:szCs w:val="20"/>
              </w:rPr>
              <w:t>原材料及实体质量抽查抽测费</w:t>
            </w: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自评总分</w:t>
            </w:r>
            <w:r>
              <w:rPr>
                <w:rFonts w:ascii="Times New Roman" w:hAnsi="Times New Roman" w:eastAsia="方正仿宋_GBK"/>
                <w:color w:val="000000"/>
                <w:sz w:val="20"/>
                <w:szCs w:val="20"/>
              </w:rPr>
              <w:br w:type="textWrapping"/>
            </w:r>
            <w:r>
              <w:rPr>
                <w:rFonts w:ascii="Times New Roman" w:hAnsi="Times New Roman" w:eastAsia="方正仿宋_GBK"/>
                <w:color w:val="000000"/>
                <w:sz w:val="20"/>
                <w:szCs w:val="20"/>
              </w:rPr>
              <w:t>（分</w:t>
            </w:r>
            <w:r>
              <w:rPr>
                <w:rFonts w:hint="default" w:ascii="Times New Roman" w:hAnsi="Times New Roman" w:eastAsia="方正仿宋_GBK"/>
                <w:color w:val="000000"/>
                <w:sz w:val="20"/>
                <w:szCs w:val="20"/>
              </w:rPr>
              <w:t>)</w:t>
            </w:r>
          </w:p>
        </w:tc>
        <w:tc>
          <w:tcPr>
            <w:tcW w:w="3522"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100</w:t>
            </w:r>
          </w:p>
        </w:tc>
      </w:tr>
      <w:tr>
        <w:tblPrEx>
          <w:tblLayout w:type="fixed"/>
          <w:tblCellMar>
            <w:top w:w="0" w:type="dxa"/>
            <w:left w:w="108" w:type="dxa"/>
            <w:bottom w:w="0" w:type="dxa"/>
            <w:right w:w="108" w:type="dxa"/>
          </w:tblCellMar>
        </w:tblPrEx>
        <w:trPr>
          <w:trHeight w:val="297"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业务主管部门</w:t>
            </w:r>
          </w:p>
        </w:tc>
        <w:tc>
          <w:tcPr>
            <w:tcW w:w="3900"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Times New Roman" w:hAnsi="Times New Roman" w:eastAsia="方正仿宋_GBK"/>
                <w:color w:val="000000"/>
                <w:sz w:val="20"/>
                <w:szCs w:val="20"/>
                <w:lang w:eastAsia="zh-CN"/>
              </w:rPr>
            </w:pPr>
            <w:r>
              <w:rPr>
                <w:rFonts w:hint="eastAsia" w:ascii="Times New Roman" w:hAnsi="Times New Roman" w:eastAsia="方正仿宋_GBK"/>
                <w:color w:val="000000"/>
                <w:sz w:val="20"/>
                <w:szCs w:val="20"/>
                <w:lang w:val="en-US" w:eastAsia="zh-CN"/>
              </w:rPr>
              <w:t>区质安中心</w:t>
            </w: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联系人</w:t>
            </w:r>
            <w:r>
              <w:rPr>
                <w:rFonts w:ascii="Times New Roman" w:hAnsi="Times New Roman" w:eastAsia="方正仿宋_GBK"/>
                <w:color w:val="000000"/>
                <w:sz w:val="20"/>
                <w:szCs w:val="20"/>
              </w:rPr>
              <w:br w:type="textWrapping"/>
            </w:r>
            <w:r>
              <w:rPr>
                <w:rFonts w:ascii="Times New Roman" w:hAnsi="Times New Roman" w:eastAsia="方正仿宋_GBK"/>
                <w:color w:val="000000"/>
                <w:sz w:val="20"/>
                <w:szCs w:val="20"/>
              </w:rPr>
              <w:t>及电话</w:t>
            </w:r>
          </w:p>
        </w:tc>
        <w:tc>
          <w:tcPr>
            <w:tcW w:w="3522"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lang w:val="en-US" w:eastAsia="zh-CN"/>
              </w:rPr>
            </w:pPr>
            <w:r>
              <w:rPr>
                <w:rFonts w:hint="eastAsia" w:ascii="Times New Roman" w:hAnsi="Times New Roman" w:eastAsia="方正仿宋_GBK"/>
                <w:color w:val="000000"/>
                <w:sz w:val="20"/>
                <w:szCs w:val="20"/>
                <w:lang w:val="en-US" w:eastAsia="zh-CN"/>
              </w:rPr>
              <w:t>48678506</w:t>
            </w:r>
          </w:p>
        </w:tc>
      </w:tr>
      <w:tr>
        <w:tblPrEx>
          <w:tblLayout w:type="fixed"/>
          <w:tblCellMar>
            <w:top w:w="0" w:type="dxa"/>
            <w:left w:w="108" w:type="dxa"/>
            <w:bottom w:w="0" w:type="dxa"/>
            <w:right w:w="108" w:type="dxa"/>
          </w:tblCellMar>
        </w:tblPrEx>
        <w:trPr>
          <w:trHeight w:val="297" w:hRule="atLeast"/>
        </w:trPr>
        <w:tc>
          <w:tcPr>
            <w:tcW w:w="97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项目资金（万元）</w:t>
            </w:r>
          </w:p>
        </w:tc>
        <w:tc>
          <w:tcPr>
            <w:tcW w:w="1635"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rPr>
                <w:rFonts w:hint="default" w:ascii="Times New Roman" w:hAnsi="Times New Roman" w:eastAsia="方正仿宋_GBK"/>
                <w:color w:val="000000"/>
                <w:sz w:val="20"/>
                <w:szCs w:val="20"/>
              </w:rPr>
            </w:pP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全年预算数（</w:t>
            </w:r>
            <w:r>
              <w:rPr>
                <w:rFonts w:hint="default" w:ascii="Times New Roman" w:hAnsi="Times New Roman" w:eastAsia="方正仿宋_GBK"/>
                <w:color w:val="000000"/>
                <w:sz w:val="20"/>
                <w:szCs w:val="20"/>
              </w:rPr>
              <w:t>A</w:t>
            </w:r>
            <w:r>
              <w:rPr>
                <w:rFonts w:ascii="方正仿宋_GBK" w:hAnsi="Times New Roman" w:eastAsia="方正仿宋_GBK"/>
                <w:color w:val="000000"/>
                <w:sz w:val="20"/>
                <w:szCs w:val="20"/>
              </w:rPr>
              <w:t>）</w:t>
            </w:r>
          </w:p>
        </w:tc>
        <w:tc>
          <w:tcPr>
            <w:tcW w:w="194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全年执行数（</w:t>
            </w:r>
            <w:r>
              <w:rPr>
                <w:rFonts w:hint="default" w:ascii="Times New Roman" w:hAnsi="Times New Roman" w:eastAsia="方正仿宋_GBK"/>
                <w:color w:val="000000"/>
                <w:sz w:val="20"/>
                <w:szCs w:val="20"/>
              </w:rPr>
              <w:t>B</w:t>
            </w:r>
            <w:r>
              <w:rPr>
                <w:rFonts w:ascii="方正仿宋_GBK" w:hAnsi="Times New Roman" w:eastAsia="方正仿宋_GBK"/>
                <w:color w:val="000000"/>
                <w:sz w:val="20"/>
                <w:szCs w:val="20"/>
              </w:rPr>
              <w:t>）</w:t>
            </w: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执行率</w:t>
            </w:r>
            <w:r>
              <w:rPr>
                <w:rFonts w:hint="default" w:ascii="Times New Roman" w:hAnsi="Times New Roman" w:eastAsia="方正仿宋_GBK"/>
                <w:color w:val="000000"/>
                <w:sz w:val="20"/>
                <w:szCs w:val="20"/>
              </w:rPr>
              <w:t>%</w:t>
            </w:r>
            <w:r>
              <w:rPr>
                <w:rFonts w:ascii="方正仿宋_GBK" w:hAnsi="Times New Roman" w:eastAsia="方正仿宋_GBK"/>
                <w:color w:val="000000"/>
                <w:sz w:val="20"/>
                <w:szCs w:val="20"/>
              </w:rPr>
              <w:t>（</w:t>
            </w:r>
            <w:r>
              <w:rPr>
                <w:rFonts w:ascii="Times New Roman" w:hAnsi="Times New Roman" w:eastAsia="方正仿宋_GBK"/>
                <w:color w:val="000000"/>
                <w:sz w:val="20"/>
                <w:szCs w:val="20"/>
              </w:rPr>
              <w:t>B/A</w:t>
            </w:r>
            <w:r>
              <w:rPr>
                <w:rFonts w:ascii="方正仿宋_GBK" w:hAnsi="Times New Roman" w:eastAsia="方正仿宋_GBK"/>
                <w:color w:val="000000"/>
                <w:sz w:val="20"/>
                <w:szCs w:val="20"/>
              </w:rPr>
              <w:t>）</w:t>
            </w:r>
          </w:p>
        </w:tc>
        <w:tc>
          <w:tcPr>
            <w:tcW w:w="157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执行率得分（分）</w:t>
            </w:r>
          </w:p>
        </w:tc>
      </w:tr>
      <w:tr>
        <w:tblPrEx>
          <w:tblLayout w:type="fixed"/>
          <w:tblCellMar>
            <w:top w:w="0" w:type="dxa"/>
            <w:left w:w="108" w:type="dxa"/>
            <w:bottom w:w="0" w:type="dxa"/>
            <w:right w:w="108" w:type="dxa"/>
          </w:tblCellMar>
        </w:tblPrEx>
        <w:trPr>
          <w:trHeight w:val="297" w:hRule="atLeast"/>
        </w:trPr>
        <w:tc>
          <w:tcPr>
            <w:tcW w:w="9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sz w:val="20"/>
                <w:szCs w:val="20"/>
              </w:rPr>
            </w:pPr>
          </w:p>
        </w:tc>
        <w:tc>
          <w:tcPr>
            <w:tcW w:w="16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年度资金总额：</w:t>
            </w:r>
          </w:p>
        </w:tc>
        <w:tc>
          <w:tcPr>
            <w:tcW w:w="226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lang w:val="en-US" w:eastAsia="zh-CN"/>
              </w:rPr>
            </w:pPr>
            <w:r>
              <w:rPr>
                <w:rFonts w:hint="eastAsia" w:ascii="Times New Roman" w:hAnsi="Times New Roman" w:eastAsia="方正仿宋_GBK"/>
                <w:color w:val="000000"/>
                <w:sz w:val="20"/>
                <w:szCs w:val="20"/>
                <w:lang w:val="en-US" w:eastAsia="zh-CN"/>
              </w:rPr>
              <w:t>30</w:t>
            </w:r>
          </w:p>
        </w:tc>
        <w:tc>
          <w:tcPr>
            <w:tcW w:w="194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lang w:val="en-US" w:eastAsia="zh-CN"/>
              </w:rPr>
            </w:pPr>
            <w:r>
              <w:rPr>
                <w:rFonts w:hint="eastAsia" w:ascii="Times New Roman" w:hAnsi="Times New Roman" w:eastAsia="方正仿宋_GBK"/>
                <w:color w:val="000000"/>
                <w:sz w:val="20"/>
                <w:szCs w:val="20"/>
                <w:lang w:val="en-US" w:eastAsia="zh-CN"/>
              </w:rPr>
              <w:t>30</w:t>
            </w: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100</w:t>
            </w:r>
          </w:p>
        </w:tc>
        <w:tc>
          <w:tcPr>
            <w:tcW w:w="157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10</w:t>
            </w:r>
          </w:p>
        </w:tc>
      </w:tr>
      <w:tr>
        <w:tblPrEx>
          <w:tblLayout w:type="fixed"/>
          <w:tblCellMar>
            <w:top w:w="0" w:type="dxa"/>
            <w:left w:w="108" w:type="dxa"/>
            <w:bottom w:w="0" w:type="dxa"/>
            <w:right w:w="108" w:type="dxa"/>
          </w:tblCellMar>
        </w:tblPrEx>
        <w:trPr>
          <w:trHeight w:val="297" w:hRule="atLeast"/>
        </w:trPr>
        <w:tc>
          <w:tcPr>
            <w:tcW w:w="9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sz w:val="20"/>
                <w:szCs w:val="20"/>
              </w:rPr>
            </w:pPr>
          </w:p>
        </w:tc>
        <w:tc>
          <w:tcPr>
            <w:tcW w:w="16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其中：中央及市级补助</w:t>
            </w:r>
          </w:p>
        </w:tc>
        <w:tc>
          <w:tcPr>
            <w:tcW w:w="226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0</w:t>
            </w:r>
          </w:p>
        </w:tc>
        <w:tc>
          <w:tcPr>
            <w:tcW w:w="194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0</w:t>
            </w: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100</w:t>
            </w:r>
          </w:p>
        </w:tc>
        <w:tc>
          <w:tcPr>
            <w:tcW w:w="157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olor w:val="000000"/>
                <w:sz w:val="20"/>
                <w:szCs w:val="20"/>
              </w:rPr>
            </w:pPr>
          </w:p>
        </w:tc>
      </w:tr>
      <w:tr>
        <w:tblPrEx>
          <w:tblLayout w:type="fixed"/>
          <w:tblCellMar>
            <w:top w:w="0" w:type="dxa"/>
            <w:left w:w="108" w:type="dxa"/>
            <w:bottom w:w="0" w:type="dxa"/>
            <w:right w:w="108" w:type="dxa"/>
          </w:tblCellMar>
        </w:tblPrEx>
        <w:trPr>
          <w:trHeight w:val="297" w:hRule="atLeast"/>
        </w:trPr>
        <w:tc>
          <w:tcPr>
            <w:tcW w:w="9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sz w:val="20"/>
                <w:szCs w:val="20"/>
              </w:rPr>
            </w:pPr>
          </w:p>
        </w:tc>
        <w:tc>
          <w:tcPr>
            <w:tcW w:w="16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区级资金</w:t>
            </w:r>
          </w:p>
        </w:tc>
        <w:tc>
          <w:tcPr>
            <w:tcW w:w="226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lang w:val="en-US" w:eastAsia="zh-CN"/>
              </w:rPr>
            </w:pPr>
            <w:r>
              <w:rPr>
                <w:rFonts w:hint="eastAsia" w:ascii="Times New Roman" w:hAnsi="Times New Roman" w:eastAsia="方正仿宋_GBK"/>
                <w:color w:val="000000"/>
                <w:sz w:val="20"/>
                <w:szCs w:val="20"/>
                <w:lang w:val="en-US" w:eastAsia="zh-CN"/>
              </w:rPr>
              <w:t>30</w:t>
            </w:r>
          </w:p>
        </w:tc>
        <w:tc>
          <w:tcPr>
            <w:tcW w:w="194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lang w:val="en-US" w:eastAsia="zh-CN"/>
              </w:rPr>
            </w:pPr>
            <w:r>
              <w:rPr>
                <w:rFonts w:hint="eastAsia" w:ascii="Times New Roman" w:hAnsi="Times New Roman" w:eastAsia="方正仿宋_GBK"/>
                <w:color w:val="000000"/>
                <w:sz w:val="20"/>
                <w:szCs w:val="20"/>
                <w:lang w:val="en-US" w:eastAsia="zh-CN"/>
              </w:rPr>
              <w:t>30</w:t>
            </w: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100</w:t>
            </w:r>
          </w:p>
        </w:tc>
        <w:tc>
          <w:tcPr>
            <w:tcW w:w="157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olor w:val="000000"/>
                <w:sz w:val="20"/>
                <w:szCs w:val="20"/>
              </w:rPr>
            </w:pPr>
          </w:p>
        </w:tc>
      </w:tr>
      <w:tr>
        <w:tblPrEx>
          <w:tblLayout w:type="fixed"/>
          <w:tblCellMar>
            <w:top w:w="0" w:type="dxa"/>
            <w:left w:w="108" w:type="dxa"/>
            <w:bottom w:w="0" w:type="dxa"/>
            <w:right w:w="108" w:type="dxa"/>
          </w:tblCellMar>
        </w:tblPrEx>
        <w:trPr>
          <w:trHeight w:val="297" w:hRule="atLeast"/>
        </w:trPr>
        <w:tc>
          <w:tcPr>
            <w:tcW w:w="9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sz w:val="20"/>
                <w:szCs w:val="20"/>
              </w:rPr>
            </w:pPr>
          </w:p>
        </w:tc>
        <w:tc>
          <w:tcPr>
            <w:tcW w:w="16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其他资金</w:t>
            </w:r>
          </w:p>
        </w:tc>
        <w:tc>
          <w:tcPr>
            <w:tcW w:w="226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olor w:val="000000"/>
                <w:sz w:val="20"/>
                <w:szCs w:val="20"/>
              </w:rPr>
            </w:pPr>
          </w:p>
        </w:tc>
        <w:tc>
          <w:tcPr>
            <w:tcW w:w="194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olor w:val="000000"/>
                <w:sz w:val="20"/>
                <w:szCs w:val="20"/>
              </w:rPr>
            </w:pP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olor w:val="000000"/>
                <w:sz w:val="20"/>
                <w:szCs w:val="20"/>
              </w:rPr>
            </w:pPr>
          </w:p>
        </w:tc>
        <w:tc>
          <w:tcPr>
            <w:tcW w:w="157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olor w:val="000000"/>
                <w:sz w:val="20"/>
                <w:szCs w:val="20"/>
              </w:rPr>
            </w:pPr>
          </w:p>
        </w:tc>
      </w:tr>
      <w:tr>
        <w:tblPrEx>
          <w:tblLayout w:type="fixed"/>
          <w:tblCellMar>
            <w:top w:w="0" w:type="dxa"/>
            <w:left w:w="108" w:type="dxa"/>
            <w:bottom w:w="0" w:type="dxa"/>
            <w:right w:w="108" w:type="dxa"/>
          </w:tblCellMar>
        </w:tblPrEx>
        <w:trPr>
          <w:trHeight w:val="175" w:hRule="atLeast"/>
        </w:trPr>
        <w:tc>
          <w:tcPr>
            <w:tcW w:w="97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年度总体目标</w:t>
            </w:r>
          </w:p>
        </w:tc>
        <w:tc>
          <w:tcPr>
            <w:tcW w:w="3900"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年初设定目标</w:t>
            </w:r>
          </w:p>
        </w:tc>
        <w:tc>
          <w:tcPr>
            <w:tcW w:w="4496"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全年目标实际完成情况</w:t>
            </w:r>
          </w:p>
        </w:tc>
      </w:tr>
      <w:tr>
        <w:tblPrEx>
          <w:tblLayout w:type="fixed"/>
          <w:tblCellMar>
            <w:top w:w="0" w:type="dxa"/>
            <w:left w:w="108" w:type="dxa"/>
            <w:bottom w:w="0" w:type="dxa"/>
            <w:right w:w="108" w:type="dxa"/>
          </w:tblCellMar>
        </w:tblPrEx>
        <w:trPr>
          <w:trHeight w:val="639" w:hRule="atLeast"/>
        </w:trPr>
        <w:tc>
          <w:tcPr>
            <w:tcW w:w="9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sz w:val="20"/>
                <w:szCs w:val="20"/>
              </w:rPr>
            </w:pPr>
          </w:p>
        </w:tc>
        <w:tc>
          <w:tcPr>
            <w:tcW w:w="3900"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eastAsia="方正仿宋_GBK"/>
                <w:color w:val="000000"/>
                <w:sz w:val="20"/>
                <w:szCs w:val="20"/>
              </w:rPr>
            </w:pPr>
            <w:r>
              <w:rPr>
                <w:rFonts w:hint="eastAsia" w:ascii="Times New Roman" w:hAnsi="Times New Roman" w:eastAsia="方正仿宋_GBK"/>
                <w:color w:val="000000"/>
                <w:sz w:val="20"/>
                <w:szCs w:val="20"/>
              </w:rPr>
              <w:t>加强原材料及实体质量抽查力度，保障我区建设工程质量</w:t>
            </w:r>
            <w:r>
              <w:rPr>
                <w:rFonts w:ascii="Times New Roman" w:hAnsi="Times New Roman" w:eastAsia="方正仿宋_GBK"/>
                <w:color w:val="000000"/>
                <w:sz w:val="20"/>
                <w:szCs w:val="20"/>
              </w:rPr>
              <w:t xml:space="preserve">    </w:t>
            </w:r>
          </w:p>
        </w:tc>
        <w:tc>
          <w:tcPr>
            <w:tcW w:w="4496"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eastAsia="方正仿宋_GBK"/>
                <w:color w:val="000000"/>
                <w:sz w:val="20"/>
                <w:szCs w:val="20"/>
              </w:rPr>
            </w:pPr>
            <w:r>
              <w:rPr>
                <w:rFonts w:hint="eastAsia" w:ascii="Times New Roman" w:hAnsi="Times New Roman" w:eastAsia="方正仿宋_GBK"/>
                <w:color w:val="000000"/>
                <w:sz w:val="20"/>
                <w:szCs w:val="20"/>
              </w:rPr>
              <w:t>加强原材料及实体质量抽查力度，保障我区建设工程质量</w:t>
            </w:r>
          </w:p>
        </w:tc>
      </w:tr>
      <w:tr>
        <w:tblPrEx>
          <w:tblLayout w:type="fixed"/>
          <w:tblCellMar>
            <w:top w:w="0" w:type="dxa"/>
            <w:left w:w="108" w:type="dxa"/>
            <w:bottom w:w="0" w:type="dxa"/>
            <w:right w:w="108" w:type="dxa"/>
          </w:tblCellMar>
        </w:tblPrEx>
        <w:trPr>
          <w:trHeight w:val="444" w:hRule="atLeast"/>
        </w:trPr>
        <w:tc>
          <w:tcPr>
            <w:tcW w:w="975" w:type="dxa"/>
            <w:vMerge w:val="restar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绩效指标</w:t>
            </w:r>
          </w:p>
        </w:tc>
        <w:tc>
          <w:tcPr>
            <w:tcW w:w="16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指标名称</w:t>
            </w:r>
            <w:r>
              <w:rPr>
                <w:rFonts w:ascii="Times New Roman" w:hAnsi="Times New Roman" w:eastAsia="方正仿宋_GBK"/>
                <w:color w:val="000000"/>
                <w:sz w:val="20"/>
                <w:szCs w:val="20"/>
              </w:rPr>
              <w:br w:type="textWrapping"/>
            </w:r>
            <w:r>
              <w:rPr>
                <w:rFonts w:ascii="Times New Roman" w:hAnsi="Times New Roman" w:eastAsia="方正仿宋_GBK"/>
                <w:color w:val="000000"/>
                <w:sz w:val="20"/>
                <w:szCs w:val="20"/>
              </w:rPr>
              <w:t>（三级指标）</w:t>
            </w:r>
          </w:p>
        </w:tc>
        <w:tc>
          <w:tcPr>
            <w:tcW w:w="10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计量单位</w:t>
            </w:r>
          </w:p>
        </w:tc>
        <w:tc>
          <w:tcPr>
            <w:tcW w:w="11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指标权重</w:t>
            </w: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指标值</w:t>
            </w:r>
          </w:p>
        </w:tc>
        <w:tc>
          <w:tcPr>
            <w:tcW w:w="194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全年完成值</w:t>
            </w:r>
          </w:p>
        </w:tc>
        <w:tc>
          <w:tcPr>
            <w:tcW w:w="97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得分系数（</w:t>
            </w:r>
            <w:r>
              <w:rPr>
                <w:rFonts w:hint="default" w:ascii="Times New Roman" w:hAnsi="Times New Roman" w:eastAsia="方正仿宋_GBK"/>
                <w:color w:val="000000"/>
                <w:sz w:val="20"/>
                <w:szCs w:val="20"/>
              </w:rPr>
              <w:t>%</w:t>
            </w:r>
            <w:r>
              <w:rPr>
                <w:rFonts w:ascii="方正仿宋_GBK" w:hAnsi="Times New Roman" w:eastAsia="方正仿宋_GBK"/>
                <w:color w:val="000000"/>
                <w:sz w:val="20"/>
                <w:szCs w:val="20"/>
              </w:rPr>
              <w:t>）</w:t>
            </w:r>
          </w:p>
        </w:tc>
        <w:tc>
          <w:tcPr>
            <w:tcW w:w="60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指标得分</w:t>
            </w:r>
            <w:r>
              <w:rPr>
                <w:rFonts w:ascii="Times New Roman" w:hAnsi="Times New Roman" w:eastAsia="方正仿宋_GBK"/>
                <w:color w:val="000000"/>
                <w:sz w:val="20"/>
                <w:szCs w:val="20"/>
              </w:rPr>
              <w:br w:type="textWrapping"/>
            </w:r>
            <w:r>
              <w:rPr>
                <w:rFonts w:ascii="Times New Roman" w:hAnsi="Times New Roman" w:eastAsia="方正仿宋_GBK"/>
                <w:color w:val="000000"/>
                <w:sz w:val="20"/>
                <w:szCs w:val="20"/>
              </w:rPr>
              <w:t>（分</w:t>
            </w:r>
            <w:r>
              <w:rPr>
                <w:rFonts w:hint="default" w:ascii="Times New Roman" w:hAnsi="Times New Roman" w:eastAsia="方正仿宋_GBK"/>
                <w:color w:val="000000"/>
                <w:sz w:val="20"/>
                <w:szCs w:val="20"/>
              </w:rPr>
              <w:t>)</w:t>
            </w:r>
          </w:p>
        </w:tc>
      </w:tr>
      <w:tr>
        <w:tblPrEx>
          <w:tblLayout w:type="fixed"/>
          <w:tblCellMar>
            <w:top w:w="0" w:type="dxa"/>
            <w:left w:w="108" w:type="dxa"/>
            <w:bottom w:w="0" w:type="dxa"/>
            <w:right w:w="108" w:type="dxa"/>
          </w:tblCellMar>
        </w:tblPrEx>
        <w:trPr>
          <w:trHeight w:val="444" w:hRule="atLeast"/>
        </w:trPr>
        <w:tc>
          <w:tcPr>
            <w:tcW w:w="975"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rPr>
                <w:rFonts w:hint="default" w:ascii="Times New Roman" w:hAnsi="Times New Roman"/>
                <w:sz w:val="20"/>
                <w:szCs w:val="20"/>
              </w:rPr>
            </w:pPr>
          </w:p>
        </w:tc>
        <w:tc>
          <w:tcPr>
            <w:tcW w:w="16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抽测材料数量</w:t>
            </w:r>
          </w:p>
        </w:tc>
        <w:tc>
          <w:tcPr>
            <w:tcW w:w="10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组数</w:t>
            </w:r>
          </w:p>
        </w:tc>
        <w:tc>
          <w:tcPr>
            <w:tcW w:w="11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eastAsia" w:ascii="Times New Roman" w:hAnsi="Times New Roman" w:eastAsia="方正仿宋_GBK"/>
                <w:color w:val="000000"/>
                <w:sz w:val="20"/>
                <w:szCs w:val="20"/>
                <w:lang w:val="en-US" w:eastAsia="zh-CN"/>
              </w:rPr>
              <w:t>1</w:t>
            </w:r>
            <w:r>
              <w:rPr>
                <w:rFonts w:hint="default" w:ascii="Times New Roman" w:hAnsi="Times New Roman" w:eastAsia="方正仿宋_GBK"/>
                <w:color w:val="000000"/>
                <w:sz w:val="20"/>
                <w:szCs w:val="20"/>
              </w:rPr>
              <w:t>0%</w:t>
            </w: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≥600</w:t>
            </w:r>
          </w:p>
        </w:tc>
        <w:tc>
          <w:tcPr>
            <w:tcW w:w="194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600</w:t>
            </w:r>
          </w:p>
        </w:tc>
        <w:tc>
          <w:tcPr>
            <w:tcW w:w="97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eastAsia" w:ascii="Times New Roman" w:hAnsi="Times New Roman" w:eastAsia="方正仿宋_GBK"/>
                <w:color w:val="000000"/>
                <w:sz w:val="20"/>
                <w:szCs w:val="20"/>
                <w:lang w:val="en-US" w:eastAsia="zh-CN"/>
              </w:rPr>
              <w:t>100</w:t>
            </w:r>
            <w:r>
              <w:rPr>
                <w:rFonts w:hint="default" w:ascii="Times New Roman" w:hAnsi="Times New Roman" w:eastAsia="方正仿宋_GBK"/>
                <w:color w:val="000000"/>
                <w:sz w:val="20"/>
                <w:szCs w:val="20"/>
              </w:rPr>
              <w:t>%</w:t>
            </w:r>
          </w:p>
        </w:tc>
        <w:tc>
          <w:tcPr>
            <w:tcW w:w="60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lang w:val="en-US" w:eastAsia="zh-CN"/>
              </w:rPr>
            </w:pPr>
            <w:r>
              <w:rPr>
                <w:rFonts w:hint="eastAsia" w:ascii="Times New Roman" w:hAnsi="Times New Roman" w:eastAsia="方正仿宋_GBK"/>
                <w:color w:val="000000"/>
                <w:sz w:val="20"/>
                <w:szCs w:val="20"/>
                <w:lang w:val="en-US" w:eastAsia="zh-CN"/>
              </w:rPr>
              <w:t>10</w:t>
            </w:r>
          </w:p>
        </w:tc>
      </w:tr>
      <w:tr>
        <w:tblPrEx>
          <w:tblLayout w:type="fixed"/>
          <w:tblCellMar>
            <w:top w:w="0" w:type="dxa"/>
            <w:left w:w="108" w:type="dxa"/>
            <w:bottom w:w="0" w:type="dxa"/>
            <w:right w:w="108" w:type="dxa"/>
          </w:tblCellMar>
        </w:tblPrEx>
        <w:trPr>
          <w:trHeight w:val="444" w:hRule="atLeast"/>
        </w:trPr>
        <w:tc>
          <w:tcPr>
            <w:tcW w:w="975"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rPr>
                <w:rFonts w:hint="default" w:ascii="Times New Roman" w:hAnsi="Times New Roman"/>
                <w:sz w:val="20"/>
                <w:szCs w:val="20"/>
              </w:rPr>
            </w:pPr>
          </w:p>
        </w:tc>
        <w:tc>
          <w:tcPr>
            <w:tcW w:w="16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抽测项目</w:t>
            </w:r>
          </w:p>
        </w:tc>
        <w:tc>
          <w:tcPr>
            <w:tcW w:w="10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个</w:t>
            </w:r>
          </w:p>
        </w:tc>
        <w:tc>
          <w:tcPr>
            <w:tcW w:w="11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20%</w:t>
            </w: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≥120</w:t>
            </w:r>
          </w:p>
        </w:tc>
        <w:tc>
          <w:tcPr>
            <w:tcW w:w="194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120</w:t>
            </w:r>
          </w:p>
        </w:tc>
        <w:tc>
          <w:tcPr>
            <w:tcW w:w="97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eastAsia" w:ascii="Times New Roman" w:hAnsi="Times New Roman" w:eastAsia="方正仿宋_GBK"/>
                <w:color w:val="000000"/>
                <w:sz w:val="20"/>
                <w:szCs w:val="20"/>
                <w:lang w:val="en-US" w:eastAsia="zh-CN"/>
              </w:rPr>
              <w:t>100</w:t>
            </w:r>
            <w:r>
              <w:rPr>
                <w:rFonts w:hint="default" w:ascii="Times New Roman" w:hAnsi="Times New Roman" w:eastAsia="方正仿宋_GBK"/>
                <w:color w:val="000000"/>
                <w:sz w:val="20"/>
                <w:szCs w:val="20"/>
              </w:rPr>
              <w:t>%</w:t>
            </w:r>
          </w:p>
        </w:tc>
        <w:tc>
          <w:tcPr>
            <w:tcW w:w="60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lang w:val="en-US" w:eastAsia="zh-CN"/>
              </w:rPr>
            </w:pPr>
            <w:r>
              <w:rPr>
                <w:rFonts w:hint="eastAsia" w:ascii="Times New Roman" w:hAnsi="Times New Roman" w:eastAsia="方正仿宋_GBK"/>
                <w:color w:val="000000"/>
                <w:sz w:val="20"/>
                <w:szCs w:val="20"/>
                <w:lang w:val="en-US" w:eastAsia="zh-CN"/>
              </w:rPr>
              <w:t>20</w:t>
            </w:r>
          </w:p>
        </w:tc>
      </w:tr>
      <w:tr>
        <w:tblPrEx>
          <w:tblLayout w:type="fixed"/>
          <w:tblCellMar>
            <w:top w:w="0" w:type="dxa"/>
            <w:left w:w="108" w:type="dxa"/>
            <w:bottom w:w="0" w:type="dxa"/>
            <w:right w:w="108" w:type="dxa"/>
          </w:tblCellMar>
        </w:tblPrEx>
        <w:trPr>
          <w:trHeight w:val="428" w:hRule="atLeast"/>
        </w:trPr>
        <w:tc>
          <w:tcPr>
            <w:tcW w:w="975"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rPr>
                <w:rFonts w:hint="default" w:ascii="Times New Roman" w:hAnsi="Times New Roman"/>
                <w:sz w:val="20"/>
                <w:szCs w:val="20"/>
              </w:rPr>
            </w:pPr>
          </w:p>
        </w:tc>
        <w:tc>
          <w:tcPr>
            <w:tcW w:w="16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抽测材料合格率</w:t>
            </w:r>
          </w:p>
        </w:tc>
        <w:tc>
          <w:tcPr>
            <w:tcW w:w="10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w:t>
            </w:r>
          </w:p>
        </w:tc>
        <w:tc>
          <w:tcPr>
            <w:tcW w:w="11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20%</w:t>
            </w: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lang w:val="en-US" w:eastAsia="zh-CN"/>
              </w:rPr>
            </w:pPr>
            <w:r>
              <w:rPr>
                <w:rFonts w:hint="default" w:ascii="Times New Roman" w:hAnsi="Times New Roman" w:eastAsia="方正仿宋_GBK"/>
                <w:color w:val="000000"/>
                <w:sz w:val="20"/>
                <w:szCs w:val="20"/>
              </w:rPr>
              <w:t>≥</w:t>
            </w:r>
            <w:r>
              <w:rPr>
                <w:rFonts w:hint="eastAsia" w:ascii="Times New Roman" w:hAnsi="Times New Roman" w:eastAsia="方正仿宋_GBK"/>
                <w:color w:val="000000"/>
                <w:sz w:val="20"/>
                <w:szCs w:val="20"/>
                <w:lang w:val="en-US" w:eastAsia="zh-CN"/>
              </w:rPr>
              <w:t>95</w:t>
            </w:r>
            <w:r>
              <w:rPr>
                <w:rFonts w:hint="default" w:ascii="Times New Roman" w:hAnsi="Times New Roman" w:eastAsia="方正仿宋_GBK"/>
                <w:color w:val="000000"/>
                <w:sz w:val="20"/>
                <w:szCs w:val="20"/>
              </w:rPr>
              <w:t>%</w:t>
            </w:r>
          </w:p>
        </w:tc>
        <w:tc>
          <w:tcPr>
            <w:tcW w:w="194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lang w:val="en-US" w:eastAsia="zh-CN"/>
              </w:rPr>
            </w:pPr>
            <w:r>
              <w:rPr>
                <w:rFonts w:hint="eastAsia" w:ascii="Times New Roman" w:hAnsi="Times New Roman" w:eastAsia="方正仿宋_GBK"/>
                <w:color w:val="000000"/>
                <w:sz w:val="20"/>
                <w:szCs w:val="20"/>
                <w:lang w:val="en-US" w:eastAsia="zh-CN"/>
              </w:rPr>
              <w:t>99</w:t>
            </w:r>
            <w:r>
              <w:rPr>
                <w:rFonts w:hint="default" w:ascii="Times New Roman" w:hAnsi="Times New Roman" w:eastAsia="方正仿宋_GBK"/>
                <w:color w:val="000000"/>
                <w:sz w:val="20"/>
                <w:szCs w:val="20"/>
              </w:rPr>
              <w:t>%</w:t>
            </w:r>
          </w:p>
        </w:tc>
        <w:tc>
          <w:tcPr>
            <w:tcW w:w="97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eastAsia" w:ascii="Times New Roman" w:hAnsi="Times New Roman" w:eastAsia="方正仿宋_GBK"/>
                <w:color w:val="000000"/>
                <w:sz w:val="20"/>
                <w:szCs w:val="20"/>
                <w:lang w:val="en-US" w:eastAsia="zh-CN"/>
              </w:rPr>
              <w:t>100</w:t>
            </w:r>
            <w:r>
              <w:rPr>
                <w:rFonts w:hint="default" w:ascii="Times New Roman" w:hAnsi="Times New Roman" w:eastAsia="方正仿宋_GBK"/>
                <w:color w:val="000000"/>
                <w:sz w:val="20"/>
                <w:szCs w:val="20"/>
              </w:rPr>
              <w:t>%</w:t>
            </w:r>
          </w:p>
        </w:tc>
        <w:tc>
          <w:tcPr>
            <w:tcW w:w="60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lang w:val="en-US" w:eastAsia="zh-CN"/>
              </w:rPr>
            </w:pPr>
            <w:r>
              <w:rPr>
                <w:rFonts w:hint="eastAsia" w:ascii="Times New Roman" w:hAnsi="Times New Roman" w:eastAsia="方正仿宋_GBK"/>
                <w:color w:val="000000"/>
                <w:sz w:val="20"/>
                <w:szCs w:val="20"/>
                <w:lang w:val="en-US" w:eastAsia="zh-CN"/>
              </w:rPr>
              <w:t>20</w:t>
            </w:r>
          </w:p>
        </w:tc>
      </w:tr>
      <w:tr>
        <w:tblPrEx>
          <w:tblLayout w:type="fixed"/>
          <w:tblCellMar>
            <w:top w:w="0" w:type="dxa"/>
            <w:left w:w="108" w:type="dxa"/>
            <w:bottom w:w="0" w:type="dxa"/>
            <w:right w:w="108" w:type="dxa"/>
          </w:tblCellMar>
        </w:tblPrEx>
        <w:trPr>
          <w:trHeight w:val="444" w:hRule="atLeast"/>
        </w:trPr>
        <w:tc>
          <w:tcPr>
            <w:tcW w:w="975"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rPr>
                <w:rFonts w:hint="default" w:ascii="Times New Roman" w:hAnsi="Times New Roman"/>
                <w:sz w:val="20"/>
                <w:szCs w:val="20"/>
              </w:rPr>
            </w:pPr>
          </w:p>
        </w:tc>
        <w:tc>
          <w:tcPr>
            <w:tcW w:w="16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目标完成时间</w:t>
            </w:r>
          </w:p>
        </w:tc>
        <w:tc>
          <w:tcPr>
            <w:tcW w:w="10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月</w:t>
            </w:r>
          </w:p>
        </w:tc>
        <w:tc>
          <w:tcPr>
            <w:tcW w:w="11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10%</w:t>
            </w: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lang w:val="en-US" w:eastAsia="zh-CN"/>
              </w:rPr>
            </w:pPr>
            <w:r>
              <w:rPr>
                <w:rFonts w:hint="default" w:ascii="Times New Roman" w:hAnsi="Times New Roman" w:eastAsia="方正仿宋_GBK"/>
                <w:color w:val="000000"/>
                <w:sz w:val="20"/>
                <w:szCs w:val="20"/>
              </w:rPr>
              <w:t>≤</w:t>
            </w:r>
            <w:r>
              <w:rPr>
                <w:rFonts w:hint="eastAsia" w:ascii="Times New Roman" w:hAnsi="Times New Roman" w:eastAsia="方正仿宋_GBK"/>
                <w:color w:val="000000"/>
                <w:sz w:val="20"/>
                <w:szCs w:val="20"/>
                <w:lang w:val="en-US" w:eastAsia="zh-CN"/>
              </w:rPr>
              <w:t>12</w:t>
            </w:r>
          </w:p>
        </w:tc>
        <w:tc>
          <w:tcPr>
            <w:tcW w:w="194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lang w:val="en-US" w:eastAsia="zh-CN"/>
              </w:rPr>
            </w:pPr>
            <w:r>
              <w:rPr>
                <w:rFonts w:hint="eastAsia" w:ascii="Times New Roman" w:hAnsi="Times New Roman" w:eastAsia="方正仿宋_GBK"/>
                <w:color w:val="000000"/>
                <w:sz w:val="20"/>
                <w:szCs w:val="20"/>
                <w:lang w:val="en-US" w:eastAsia="zh-CN"/>
              </w:rPr>
              <w:t>10</w:t>
            </w:r>
          </w:p>
        </w:tc>
        <w:tc>
          <w:tcPr>
            <w:tcW w:w="97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eastAsia" w:ascii="Times New Roman" w:hAnsi="Times New Roman" w:eastAsia="方正仿宋_GBK"/>
                <w:color w:val="000000"/>
                <w:sz w:val="20"/>
                <w:szCs w:val="20"/>
                <w:lang w:val="en-US" w:eastAsia="zh-CN"/>
              </w:rPr>
              <w:t>100</w:t>
            </w:r>
            <w:r>
              <w:rPr>
                <w:rFonts w:hint="default" w:ascii="Times New Roman" w:hAnsi="Times New Roman" w:eastAsia="方正仿宋_GBK"/>
                <w:color w:val="000000"/>
                <w:sz w:val="20"/>
                <w:szCs w:val="20"/>
              </w:rPr>
              <w:t>%</w:t>
            </w:r>
          </w:p>
        </w:tc>
        <w:tc>
          <w:tcPr>
            <w:tcW w:w="60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lang w:val="en-US" w:eastAsia="zh-CN"/>
              </w:rPr>
            </w:pPr>
            <w:r>
              <w:rPr>
                <w:rFonts w:hint="eastAsia" w:ascii="Times New Roman" w:hAnsi="Times New Roman" w:eastAsia="方正仿宋_GBK"/>
                <w:color w:val="000000"/>
                <w:sz w:val="20"/>
                <w:szCs w:val="20"/>
                <w:lang w:val="en-US" w:eastAsia="zh-CN"/>
              </w:rPr>
              <w:t>10</w:t>
            </w:r>
          </w:p>
        </w:tc>
      </w:tr>
      <w:tr>
        <w:tblPrEx>
          <w:tblLayout w:type="fixed"/>
          <w:tblCellMar>
            <w:top w:w="0" w:type="dxa"/>
            <w:left w:w="108" w:type="dxa"/>
            <w:bottom w:w="0" w:type="dxa"/>
            <w:right w:w="108" w:type="dxa"/>
          </w:tblCellMar>
        </w:tblPrEx>
        <w:trPr>
          <w:trHeight w:val="444" w:hRule="atLeast"/>
        </w:trPr>
        <w:tc>
          <w:tcPr>
            <w:tcW w:w="975"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rPr>
                <w:rFonts w:hint="default" w:ascii="Times New Roman" w:hAnsi="Times New Roman"/>
                <w:sz w:val="20"/>
                <w:szCs w:val="20"/>
              </w:rPr>
            </w:pPr>
          </w:p>
        </w:tc>
        <w:tc>
          <w:tcPr>
            <w:tcW w:w="16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工程质量合格率</w:t>
            </w:r>
          </w:p>
        </w:tc>
        <w:tc>
          <w:tcPr>
            <w:tcW w:w="10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w:t>
            </w:r>
          </w:p>
        </w:tc>
        <w:tc>
          <w:tcPr>
            <w:tcW w:w="11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10%</w:t>
            </w: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lang w:val="en-US" w:eastAsia="zh-CN"/>
              </w:rPr>
            </w:pPr>
            <w:r>
              <w:rPr>
                <w:rFonts w:hint="default" w:ascii="Times New Roman" w:hAnsi="Times New Roman" w:eastAsia="方正仿宋_GBK"/>
                <w:color w:val="000000"/>
                <w:sz w:val="20"/>
                <w:szCs w:val="20"/>
              </w:rPr>
              <w:t>≥</w:t>
            </w:r>
            <w:r>
              <w:rPr>
                <w:rFonts w:hint="eastAsia" w:ascii="Times New Roman" w:hAnsi="Times New Roman" w:eastAsia="方正仿宋_GBK"/>
                <w:color w:val="000000"/>
                <w:sz w:val="20"/>
                <w:szCs w:val="20"/>
                <w:lang w:val="en-US" w:eastAsia="zh-CN"/>
              </w:rPr>
              <w:t>98</w:t>
            </w:r>
            <w:r>
              <w:rPr>
                <w:rFonts w:hint="default" w:ascii="Times New Roman" w:hAnsi="Times New Roman" w:eastAsia="方正仿宋_GBK"/>
                <w:color w:val="000000"/>
                <w:sz w:val="20"/>
                <w:szCs w:val="20"/>
              </w:rPr>
              <w:t>%</w:t>
            </w:r>
          </w:p>
        </w:tc>
        <w:tc>
          <w:tcPr>
            <w:tcW w:w="194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eastAsia" w:ascii="Times New Roman" w:hAnsi="Times New Roman" w:eastAsia="方正仿宋_GBK"/>
                <w:color w:val="000000"/>
                <w:sz w:val="20"/>
                <w:szCs w:val="20"/>
                <w:lang w:val="en-US" w:eastAsia="zh-CN"/>
              </w:rPr>
              <w:t>99</w:t>
            </w:r>
            <w:r>
              <w:rPr>
                <w:rFonts w:hint="default" w:ascii="Times New Roman" w:hAnsi="Times New Roman" w:eastAsia="方正仿宋_GBK"/>
                <w:color w:val="000000"/>
                <w:sz w:val="20"/>
                <w:szCs w:val="20"/>
              </w:rPr>
              <w:t>%</w:t>
            </w:r>
          </w:p>
        </w:tc>
        <w:tc>
          <w:tcPr>
            <w:tcW w:w="97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eastAsia" w:ascii="Times New Roman" w:hAnsi="Times New Roman" w:eastAsia="方正仿宋_GBK"/>
                <w:color w:val="000000"/>
                <w:sz w:val="20"/>
                <w:szCs w:val="20"/>
                <w:lang w:val="en-US" w:eastAsia="zh-CN"/>
              </w:rPr>
              <w:t>100</w:t>
            </w:r>
            <w:r>
              <w:rPr>
                <w:rFonts w:hint="default" w:ascii="Times New Roman" w:hAnsi="Times New Roman" w:eastAsia="方正仿宋_GBK"/>
                <w:color w:val="000000"/>
                <w:sz w:val="20"/>
                <w:szCs w:val="20"/>
              </w:rPr>
              <w:t>%</w:t>
            </w:r>
          </w:p>
        </w:tc>
        <w:tc>
          <w:tcPr>
            <w:tcW w:w="60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lang w:val="en-US" w:eastAsia="zh-CN"/>
              </w:rPr>
            </w:pPr>
            <w:r>
              <w:rPr>
                <w:rFonts w:hint="eastAsia" w:ascii="Times New Roman" w:hAnsi="Times New Roman" w:eastAsia="方正仿宋_GBK"/>
                <w:color w:val="000000"/>
                <w:sz w:val="20"/>
                <w:szCs w:val="20"/>
                <w:lang w:val="en-US" w:eastAsia="zh-CN"/>
              </w:rPr>
              <w:t>10</w:t>
            </w:r>
          </w:p>
        </w:tc>
      </w:tr>
      <w:tr>
        <w:tblPrEx>
          <w:tblLayout w:type="fixed"/>
          <w:tblCellMar>
            <w:top w:w="0" w:type="dxa"/>
            <w:left w:w="108" w:type="dxa"/>
            <w:bottom w:w="0" w:type="dxa"/>
            <w:right w:w="108" w:type="dxa"/>
          </w:tblCellMar>
        </w:tblPrEx>
        <w:trPr>
          <w:trHeight w:val="444" w:hRule="atLeast"/>
        </w:trPr>
        <w:tc>
          <w:tcPr>
            <w:tcW w:w="975"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rPr>
                <w:rFonts w:hint="default" w:ascii="Times New Roman" w:hAnsi="Times New Roman"/>
                <w:sz w:val="20"/>
                <w:szCs w:val="20"/>
              </w:rPr>
            </w:pPr>
          </w:p>
        </w:tc>
        <w:tc>
          <w:tcPr>
            <w:tcW w:w="16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服务对象满意度</w:t>
            </w:r>
          </w:p>
        </w:tc>
        <w:tc>
          <w:tcPr>
            <w:tcW w:w="10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w:t>
            </w:r>
          </w:p>
        </w:tc>
        <w:tc>
          <w:tcPr>
            <w:tcW w:w="11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5%</w:t>
            </w: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lang w:val="en-US" w:eastAsia="zh-CN"/>
              </w:rPr>
            </w:pPr>
            <w:r>
              <w:rPr>
                <w:rFonts w:hint="default" w:ascii="Times New Roman" w:hAnsi="Times New Roman" w:eastAsia="方正仿宋_GBK"/>
                <w:color w:val="000000"/>
                <w:sz w:val="20"/>
                <w:szCs w:val="20"/>
              </w:rPr>
              <w:t>≥</w:t>
            </w:r>
            <w:r>
              <w:rPr>
                <w:rFonts w:hint="eastAsia" w:ascii="Times New Roman" w:hAnsi="Times New Roman" w:eastAsia="方正仿宋_GBK"/>
                <w:color w:val="000000"/>
                <w:sz w:val="20"/>
                <w:szCs w:val="20"/>
                <w:lang w:val="en-US" w:eastAsia="zh-CN"/>
              </w:rPr>
              <w:t>95</w:t>
            </w:r>
            <w:r>
              <w:rPr>
                <w:rFonts w:hint="default" w:ascii="Times New Roman" w:hAnsi="Times New Roman" w:eastAsia="方正仿宋_GBK"/>
                <w:color w:val="000000"/>
                <w:sz w:val="20"/>
                <w:szCs w:val="20"/>
              </w:rPr>
              <w:t>%</w:t>
            </w:r>
          </w:p>
        </w:tc>
        <w:tc>
          <w:tcPr>
            <w:tcW w:w="194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eastAsia" w:ascii="Times New Roman" w:hAnsi="Times New Roman" w:eastAsia="方正仿宋_GBK"/>
                <w:color w:val="000000"/>
                <w:sz w:val="20"/>
                <w:szCs w:val="20"/>
                <w:lang w:val="en-US" w:eastAsia="zh-CN"/>
              </w:rPr>
              <w:t>98</w:t>
            </w:r>
            <w:r>
              <w:rPr>
                <w:rFonts w:hint="default" w:ascii="Times New Roman" w:hAnsi="Times New Roman" w:eastAsia="方正仿宋_GBK"/>
                <w:color w:val="000000"/>
                <w:sz w:val="20"/>
                <w:szCs w:val="20"/>
              </w:rPr>
              <w:t>%</w:t>
            </w:r>
          </w:p>
        </w:tc>
        <w:tc>
          <w:tcPr>
            <w:tcW w:w="97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eastAsia" w:ascii="Times New Roman" w:hAnsi="Times New Roman" w:eastAsia="方正仿宋_GBK"/>
                <w:color w:val="000000"/>
                <w:sz w:val="20"/>
                <w:szCs w:val="20"/>
                <w:lang w:val="en-US" w:eastAsia="zh-CN"/>
              </w:rPr>
              <w:t>100</w:t>
            </w:r>
            <w:r>
              <w:rPr>
                <w:rFonts w:hint="default" w:ascii="Times New Roman" w:hAnsi="Times New Roman" w:eastAsia="方正仿宋_GBK"/>
                <w:color w:val="000000"/>
                <w:sz w:val="20"/>
                <w:szCs w:val="20"/>
              </w:rPr>
              <w:t>%</w:t>
            </w:r>
          </w:p>
        </w:tc>
        <w:tc>
          <w:tcPr>
            <w:tcW w:w="60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Times New Roman" w:hAnsi="Times New Roman" w:eastAsia="方正仿宋_GBK"/>
                <w:color w:val="000000"/>
                <w:sz w:val="20"/>
                <w:szCs w:val="20"/>
                <w:lang w:val="en-US" w:eastAsia="zh-CN"/>
              </w:rPr>
            </w:pPr>
            <w:r>
              <w:rPr>
                <w:rFonts w:hint="eastAsia" w:ascii="Times New Roman" w:hAnsi="Times New Roman" w:eastAsia="方正仿宋_GBK"/>
                <w:color w:val="000000"/>
                <w:sz w:val="20"/>
                <w:szCs w:val="20"/>
                <w:lang w:val="en-US" w:eastAsia="zh-CN"/>
              </w:rPr>
              <w:t>5</w:t>
            </w:r>
          </w:p>
        </w:tc>
      </w:tr>
      <w:tr>
        <w:tblPrEx>
          <w:tblLayout w:type="fixed"/>
          <w:tblCellMar>
            <w:top w:w="0" w:type="dxa"/>
            <w:left w:w="108" w:type="dxa"/>
            <w:bottom w:w="0" w:type="dxa"/>
            <w:right w:w="108" w:type="dxa"/>
          </w:tblCellMar>
        </w:tblPrEx>
        <w:trPr>
          <w:trHeight w:val="444" w:hRule="atLeast"/>
        </w:trPr>
        <w:tc>
          <w:tcPr>
            <w:tcW w:w="975"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rPr>
                <w:rFonts w:hint="default" w:ascii="Times New Roman" w:hAnsi="Times New Roman"/>
                <w:sz w:val="20"/>
                <w:szCs w:val="20"/>
              </w:rPr>
            </w:pPr>
          </w:p>
        </w:tc>
        <w:tc>
          <w:tcPr>
            <w:tcW w:w="16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支付安全性合法合规率</w:t>
            </w:r>
          </w:p>
        </w:tc>
        <w:tc>
          <w:tcPr>
            <w:tcW w:w="10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w:t>
            </w:r>
          </w:p>
        </w:tc>
        <w:tc>
          <w:tcPr>
            <w:tcW w:w="11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5%</w:t>
            </w: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lang w:val="en-US" w:eastAsia="zh-CN"/>
              </w:rPr>
            </w:pPr>
            <w:r>
              <w:rPr>
                <w:rFonts w:hint="default" w:ascii="Times New Roman" w:hAnsi="Times New Roman" w:eastAsia="方正仿宋_GBK"/>
                <w:color w:val="000000"/>
                <w:sz w:val="20"/>
                <w:szCs w:val="20"/>
              </w:rPr>
              <w:t>=</w:t>
            </w:r>
            <w:r>
              <w:rPr>
                <w:rFonts w:hint="eastAsia" w:ascii="Times New Roman" w:hAnsi="Times New Roman" w:eastAsia="方正仿宋_GBK"/>
                <w:color w:val="000000"/>
                <w:sz w:val="20"/>
                <w:szCs w:val="20"/>
                <w:lang w:val="en-US" w:eastAsia="zh-CN"/>
              </w:rPr>
              <w:t>100</w:t>
            </w:r>
            <w:r>
              <w:rPr>
                <w:rFonts w:hint="default" w:ascii="Times New Roman" w:hAnsi="Times New Roman" w:eastAsia="方正仿宋_GBK"/>
                <w:color w:val="000000"/>
                <w:sz w:val="20"/>
                <w:szCs w:val="20"/>
              </w:rPr>
              <w:t>%</w:t>
            </w:r>
          </w:p>
        </w:tc>
        <w:tc>
          <w:tcPr>
            <w:tcW w:w="194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eastAsia" w:ascii="Times New Roman" w:hAnsi="Times New Roman" w:eastAsia="方正仿宋_GBK"/>
                <w:color w:val="000000"/>
                <w:sz w:val="20"/>
                <w:szCs w:val="20"/>
                <w:lang w:val="en-US" w:eastAsia="zh-CN"/>
              </w:rPr>
              <w:t>100</w:t>
            </w:r>
            <w:r>
              <w:rPr>
                <w:rFonts w:hint="default" w:ascii="Times New Roman" w:hAnsi="Times New Roman" w:eastAsia="方正仿宋_GBK"/>
                <w:color w:val="000000"/>
                <w:sz w:val="20"/>
                <w:szCs w:val="20"/>
              </w:rPr>
              <w:t>%</w:t>
            </w:r>
          </w:p>
        </w:tc>
        <w:tc>
          <w:tcPr>
            <w:tcW w:w="97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eastAsia" w:ascii="Times New Roman" w:hAnsi="Times New Roman" w:eastAsia="方正仿宋_GBK"/>
                <w:color w:val="000000"/>
                <w:sz w:val="20"/>
                <w:szCs w:val="20"/>
                <w:lang w:val="en-US" w:eastAsia="zh-CN"/>
              </w:rPr>
              <w:t>100</w:t>
            </w:r>
            <w:r>
              <w:rPr>
                <w:rFonts w:hint="default" w:ascii="Times New Roman" w:hAnsi="Times New Roman" w:eastAsia="方正仿宋_GBK"/>
                <w:color w:val="000000"/>
                <w:sz w:val="20"/>
                <w:szCs w:val="20"/>
              </w:rPr>
              <w:t>%</w:t>
            </w:r>
          </w:p>
        </w:tc>
        <w:tc>
          <w:tcPr>
            <w:tcW w:w="60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Times New Roman" w:hAnsi="Times New Roman" w:eastAsia="方正仿宋_GBK"/>
                <w:color w:val="000000"/>
                <w:sz w:val="20"/>
                <w:szCs w:val="20"/>
                <w:lang w:val="en-US" w:eastAsia="zh-CN"/>
              </w:rPr>
            </w:pPr>
            <w:r>
              <w:rPr>
                <w:rFonts w:hint="eastAsia" w:ascii="Times New Roman" w:hAnsi="Times New Roman" w:eastAsia="方正仿宋_GBK"/>
                <w:color w:val="000000"/>
                <w:sz w:val="20"/>
                <w:szCs w:val="20"/>
                <w:lang w:val="en-US" w:eastAsia="zh-CN"/>
              </w:rPr>
              <w:t>5</w:t>
            </w:r>
          </w:p>
        </w:tc>
      </w:tr>
      <w:tr>
        <w:tblPrEx>
          <w:tblLayout w:type="fixed"/>
          <w:tblCellMar>
            <w:top w:w="0" w:type="dxa"/>
            <w:left w:w="108" w:type="dxa"/>
            <w:bottom w:w="0" w:type="dxa"/>
            <w:right w:w="108" w:type="dxa"/>
          </w:tblCellMar>
        </w:tblPrEx>
        <w:trPr>
          <w:trHeight w:val="444" w:hRule="atLeast"/>
        </w:trPr>
        <w:tc>
          <w:tcPr>
            <w:tcW w:w="975"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rPr>
                <w:rFonts w:hint="default" w:ascii="Times New Roman" w:hAnsi="Times New Roman"/>
                <w:sz w:val="20"/>
                <w:szCs w:val="20"/>
              </w:rPr>
            </w:pPr>
          </w:p>
        </w:tc>
        <w:tc>
          <w:tcPr>
            <w:tcW w:w="16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按照序时进度支付率</w:t>
            </w:r>
          </w:p>
        </w:tc>
        <w:tc>
          <w:tcPr>
            <w:tcW w:w="10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w:t>
            </w:r>
          </w:p>
        </w:tc>
        <w:tc>
          <w:tcPr>
            <w:tcW w:w="11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5%</w:t>
            </w: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w:t>
            </w:r>
            <w:r>
              <w:rPr>
                <w:rFonts w:hint="eastAsia" w:ascii="Times New Roman" w:hAnsi="Times New Roman" w:eastAsia="方正仿宋_GBK"/>
                <w:color w:val="000000"/>
                <w:sz w:val="20"/>
                <w:szCs w:val="20"/>
                <w:lang w:val="en-US" w:eastAsia="zh-CN"/>
              </w:rPr>
              <w:t>100</w:t>
            </w:r>
            <w:r>
              <w:rPr>
                <w:rFonts w:hint="default" w:ascii="Times New Roman" w:hAnsi="Times New Roman" w:eastAsia="方正仿宋_GBK"/>
                <w:color w:val="000000"/>
                <w:sz w:val="20"/>
                <w:szCs w:val="20"/>
              </w:rPr>
              <w:t>%</w:t>
            </w:r>
          </w:p>
        </w:tc>
        <w:tc>
          <w:tcPr>
            <w:tcW w:w="194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eastAsia" w:ascii="Times New Roman" w:hAnsi="Times New Roman" w:eastAsia="方正仿宋_GBK"/>
                <w:color w:val="000000"/>
                <w:sz w:val="20"/>
                <w:szCs w:val="20"/>
                <w:lang w:val="en-US" w:eastAsia="zh-CN"/>
              </w:rPr>
              <w:t>100</w:t>
            </w:r>
            <w:r>
              <w:rPr>
                <w:rFonts w:hint="default" w:ascii="Times New Roman" w:hAnsi="Times New Roman" w:eastAsia="方正仿宋_GBK"/>
                <w:color w:val="000000"/>
                <w:sz w:val="20"/>
                <w:szCs w:val="20"/>
              </w:rPr>
              <w:t>%</w:t>
            </w:r>
          </w:p>
        </w:tc>
        <w:tc>
          <w:tcPr>
            <w:tcW w:w="97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eastAsia" w:ascii="Times New Roman" w:hAnsi="Times New Roman" w:eastAsia="方正仿宋_GBK"/>
                <w:color w:val="000000"/>
                <w:sz w:val="20"/>
                <w:szCs w:val="20"/>
                <w:lang w:val="en-US" w:eastAsia="zh-CN"/>
              </w:rPr>
              <w:t>100</w:t>
            </w:r>
            <w:r>
              <w:rPr>
                <w:rFonts w:hint="default" w:ascii="Times New Roman" w:hAnsi="Times New Roman" w:eastAsia="方正仿宋_GBK"/>
                <w:color w:val="000000"/>
                <w:sz w:val="20"/>
                <w:szCs w:val="20"/>
              </w:rPr>
              <w:t>%</w:t>
            </w:r>
          </w:p>
        </w:tc>
        <w:tc>
          <w:tcPr>
            <w:tcW w:w="60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Times New Roman" w:hAnsi="Times New Roman" w:eastAsia="方正仿宋_GBK"/>
                <w:color w:val="000000"/>
                <w:sz w:val="20"/>
                <w:szCs w:val="20"/>
                <w:lang w:val="en-US" w:eastAsia="zh-CN"/>
              </w:rPr>
            </w:pPr>
            <w:r>
              <w:rPr>
                <w:rFonts w:hint="eastAsia" w:ascii="Times New Roman" w:hAnsi="Times New Roman" w:eastAsia="方正仿宋_GBK"/>
                <w:color w:val="000000"/>
                <w:sz w:val="20"/>
                <w:szCs w:val="20"/>
                <w:lang w:val="en-US" w:eastAsia="zh-CN"/>
              </w:rPr>
              <w:t>5</w:t>
            </w:r>
          </w:p>
        </w:tc>
      </w:tr>
      <w:tr>
        <w:tblPrEx>
          <w:tblLayout w:type="fixed"/>
          <w:tblCellMar>
            <w:top w:w="0" w:type="dxa"/>
            <w:left w:w="108" w:type="dxa"/>
            <w:bottom w:w="0" w:type="dxa"/>
            <w:right w:w="108" w:type="dxa"/>
          </w:tblCellMar>
        </w:tblPrEx>
        <w:trPr>
          <w:trHeight w:val="444" w:hRule="atLeast"/>
        </w:trPr>
        <w:tc>
          <w:tcPr>
            <w:tcW w:w="975"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rPr>
                <w:rFonts w:hint="default" w:ascii="Times New Roman" w:hAnsi="Times New Roman"/>
                <w:sz w:val="20"/>
                <w:szCs w:val="20"/>
              </w:rPr>
            </w:pPr>
          </w:p>
        </w:tc>
        <w:tc>
          <w:tcPr>
            <w:tcW w:w="16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执行业务内控流程偏差</w:t>
            </w:r>
          </w:p>
        </w:tc>
        <w:tc>
          <w:tcPr>
            <w:tcW w:w="10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w:t>
            </w:r>
          </w:p>
        </w:tc>
        <w:tc>
          <w:tcPr>
            <w:tcW w:w="11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5%</w:t>
            </w: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Times New Roman" w:hAnsi="Times New Roman" w:eastAsia="方正仿宋_GBK"/>
                <w:color w:val="000000"/>
                <w:sz w:val="20"/>
                <w:szCs w:val="20"/>
                <w:lang w:val="en-US" w:eastAsia="zh-CN"/>
              </w:rPr>
            </w:pPr>
            <w:r>
              <w:rPr>
                <w:rFonts w:hint="default" w:ascii="Times New Roman" w:hAnsi="Times New Roman" w:eastAsia="方正仿宋_GBK"/>
                <w:color w:val="000000"/>
                <w:sz w:val="20"/>
                <w:szCs w:val="20"/>
              </w:rPr>
              <w:t>＜</w:t>
            </w:r>
            <w:r>
              <w:rPr>
                <w:rFonts w:hint="eastAsia" w:ascii="Times New Roman" w:hAnsi="Times New Roman" w:eastAsia="方正仿宋_GBK"/>
                <w:color w:val="000000"/>
                <w:sz w:val="20"/>
                <w:szCs w:val="20"/>
                <w:lang w:val="en-US" w:eastAsia="zh-CN"/>
              </w:rPr>
              <w:t>5</w:t>
            </w:r>
            <w:r>
              <w:rPr>
                <w:rFonts w:hint="default" w:ascii="Times New Roman" w:hAnsi="Times New Roman" w:eastAsia="方正仿宋_GBK"/>
                <w:color w:val="000000"/>
                <w:sz w:val="20"/>
                <w:szCs w:val="20"/>
              </w:rPr>
              <w:t>%</w:t>
            </w:r>
          </w:p>
        </w:tc>
        <w:tc>
          <w:tcPr>
            <w:tcW w:w="194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Times New Roman" w:hAnsi="Times New Roman" w:eastAsia="方正仿宋_GBK"/>
                <w:color w:val="000000"/>
                <w:sz w:val="20"/>
                <w:szCs w:val="20"/>
                <w:lang w:val="en-US" w:eastAsia="zh-CN"/>
              </w:rPr>
            </w:pPr>
            <w:r>
              <w:rPr>
                <w:rFonts w:hint="eastAsia" w:ascii="Times New Roman" w:hAnsi="Times New Roman" w:eastAsia="方正仿宋_GBK"/>
                <w:color w:val="000000"/>
                <w:sz w:val="20"/>
                <w:szCs w:val="20"/>
                <w:lang w:val="en-US" w:eastAsia="zh-CN"/>
              </w:rPr>
              <w:t>2</w:t>
            </w:r>
            <w:r>
              <w:rPr>
                <w:rFonts w:hint="default" w:ascii="Times New Roman" w:hAnsi="Times New Roman" w:eastAsia="方正仿宋_GBK"/>
                <w:color w:val="000000"/>
                <w:sz w:val="20"/>
                <w:szCs w:val="20"/>
              </w:rPr>
              <w:t>%</w:t>
            </w:r>
          </w:p>
        </w:tc>
        <w:tc>
          <w:tcPr>
            <w:tcW w:w="97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eastAsia" w:ascii="Times New Roman" w:hAnsi="Times New Roman" w:eastAsia="方正仿宋_GBK"/>
                <w:color w:val="000000"/>
                <w:sz w:val="20"/>
                <w:szCs w:val="20"/>
                <w:lang w:val="en-US" w:eastAsia="zh-CN"/>
              </w:rPr>
              <w:t>100</w:t>
            </w:r>
            <w:r>
              <w:rPr>
                <w:rFonts w:hint="default" w:ascii="Times New Roman" w:hAnsi="Times New Roman" w:eastAsia="方正仿宋_GBK"/>
                <w:color w:val="000000"/>
                <w:sz w:val="20"/>
                <w:szCs w:val="20"/>
              </w:rPr>
              <w:t>%</w:t>
            </w:r>
          </w:p>
        </w:tc>
        <w:tc>
          <w:tcPr>
            <w:tcW w:w="60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Times New Roman" w:hAnsi="Times New Roman" w:eastAsia="方正仿宋_GBK"/>
                <w:color w:val="000000"/>
                <w:sz w:val="20"/>
                <w:szCs w:val="20"/>
                <w:lang w:val="en-US" w:eastAsia="zh-CN"/>
              </w:rPr>
            </w:pPr>
            <w:r>
              <w:rPr>
                <w:rFonts w:hint="eastAsia" w:ascii="Times New Roman" w:hAnsi="Times New Roman" w:eastAsia="方正仿宋_GBK"/>
                <w:color w:val="000000"/>
                <w:sz w:val="20"/>
                <w:szCs w:val="20"/>
                <w:lang w:val="en-US" w:eastAsia="zh-CN"/>
              </w:rPr>
              <w:t>5</w:t>
            </w:r>
          </w:p>
        </w:tc>
      </w:tr>
      <w:tr>
        <w:tblPrEx>
          <w:tblLayout w:type="fixed"/>
          <w:tblCellMar>
            <w:top w:w="0" w:type="dxa"/>
            <w:left w:w="108" w:type="dxa"/>
            <w:bottom w:w="0" w:type="dxa"/>
            <w:right w:w="108" w:type="dxa"/>
          </w:tblCellMar>
        </w:tblPrEx>
        <w:trPr>
          <w:trHeight w:val="7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未完成绩效目标或偏离较多的原因、改进措施及其他说明</w:t>
            </w:r>
          </w:p>
        </w:tc>
        <w:tc>
          <w:tcPr>
            <w:tcW w:w="8396" w:type="dxa"/>
            <w:gridSpan w:val="10"/>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olor w:val="000000"/>
                <w:sz w:val="20"/>
                <w:szCs w:val="20"/>
              </w:rPr>
            </w:pPr>
          </w:p>
        </w:tc>
      </w:tr>
      <w:tr>
        <w:tblPrEx>
          <w:tblLayout w:type="fixed"/>
          <w:tblCellMar>
            <w:top w:w="0" w:type="dxa"/>
            <w:left w:w="108" w:type="dxa"/>
            <w:bottom w:w="0" w:type="dxa"/>
            <w:right w:w="108" w:type="dxa"/>
          </w:tblCellMar>
        </w:tblPrEx>
        <w:trPr>
          <w:trHeight w:val="175" w:hRule="atLeast"/>
        </w:trPr>
        <w:tc>
          <w:tcPr>
            <w:tcW w:w="975" w:type="dxa"/>
            <w:tcBorders>
              <w:top w:val="nil"/>
              <w:left w:val="nil"/>
              <w:bottom w:val="nil"/>
              <w:right w:val="nil"/>
            </w:tcBorders>
            <w:shd w:val="clear" w:color="auto" w:fill="auto"/>
            <w:tcMar>
              <w:top w:w="15" w:type="dxa"/>
              <w:left w:w="15" w:type="dxa"/>
              <w:right w:w="15" w:type="dxa"/>
            </w:tcMar>
            <w:vAlign w:val="center"/>
          </w:tcPr>
          <w:p>
            <w:pPr>
              <w:rPr>
                <w:rFonts w:hint="default" w:ascii="Times New Roman" w:hAnsi="Times New Roman" w:eastAsia="方正仿宋_GBK"/>
                <w:color w:val="000000"/>
                <w:sz w:val="22"/>
                <w:szCs w:val="22"/>
              </w:rPr>
            </w:pPr>
          </w:p>
        </w:tc>
        <w:tc>
          <w:tcPr>
            <w:tcW w:w="1635" w:type="dxa"/>
            <w:tcBorders>
              <w:top w:val="nil"/>
              <w:left w:val="nil"/>
              <w:bottom w:val="nil"/>
              <w:right w:val="nil"/>
            </w:tcBorders>
            <w:shd w:val="clear" w:color="auto" w:fill="auto"/>
            <w:tcMar>
              <w:top w:w="15" w:type="dxa"/>
              <w:left w:w="15" w:type="dxa"/>
              <w:right w:w="15" w:type="dxa"/>
            </w:tcMar>
            <w:vAlign w:val="center"/>
          </w:tcPr>
          <w:p>
            <w:pPr>
              <w:rPr>
                <w:rFonts w:hint="default" w:ascii="Times New Roman" w:hAnsi="Times New Roman" w:eastAsia="方正仿宋_GBK"/>
                <w:color w:val="000000"/>
                <w:sz w:val="22"/>
                <w:szCs w:val="22"/>
              </w:rPr>
            </w:pPr>
          </w:p>
        </w:tc>
        <w:tc>
          <w:tcPr>
            <w:tcW w:w="1080" w:type="dxa"/>
            <w:tcBorders>
              <w:top w:val="nil"/>
              <w:left w:val="nil"/>
              <w:bottom w:val="nil"/>
              <w:right w:val="nil"/>
            </w:tcBorders>
            <w:shd w:val="clear" w:color="auto" w:fill="auto"/>
            <w:tcMar>
              <w:top w:w="15" w:type="dxa"/>
              <w:left w:w="15" w:type="dxa"/>
              <w:right w:w="15" w:type="dxa"/>
            </w:tcMar>
            <w:vAlign w:val="center"/>
          </w:tcPr>
          <w:p>
            <w:pPr>
              <w:rPr>
                <w:rFonts w:hint="default" w:ascii="Times New Roman" w:hAnsi="Times New Roman" w:eastAsia="方正仿宋_GBK"/>
                <w:color w:val="000000"/>
                <w:sz w:val="22"/>
                <w:szCs w:val="22"/>
              </w:rPr>
            </w:pPr>
          </w:p>
        </w:tc>
        <w:tc>
          <w:tcPr>
            <w:tcW w:w="210" w:type="dxa"/>
            <w:tcBorders>
              <w:top w:val="nil"/>
              <w:left w:val="nil"/>
              <w:bottom w:val="nil"/>
              <w:right w:val="nil"/>
            </w:tcBorders>
            <w:shd w:val="clear" w:color="auto" w:fill="auto"/>
            <w:tcMar>
              <w:top w:w="15" w:type="dxa"/>
              <w:left w:w="15" w:type="dxa"/>
              <w:right w:w="15" w:type="dxa"/>
            </w:tcMar>
            <w:vAlign w:val="center"/>
          </w:tcPr>
          <w:p>
            <w:pPr>
              <w:rPr>
                <w:rFonts w:hint="default" w:ascii="Times New Roman" w:hAnsi="Times New Roman" w:eastAsia="方正仿宋_GBK"/>
                <w:color w:val="000000"/>
                <w:sz w:val="22"/>
                <w:szCs w:val="22"/>
              </w:rPr>
            </w:pPr>
          </w:p>
        </w:tc>
        <w:tc>
          <w:tcPr>
            <w:tcW w:w="975" w:type="dxa"/>
            <w:tcBorders>
              <w:top w:val="nil"/>
              <w:left w:val="nil"/>
              <w:bottom w:val="nil"/>
              <w:right w:val="nil"/>
            </w:tcBorders>
            <w:shd w:val="clear" w:color="auto" w:fill="auto"/>
            <w:tcMar>
              <w:top w:w="15" w:type="dxa"/>
              <w:left w:w="15" w:type="dxa"/>
              <w:right w:w="15" w:type="dxa"/>
            </w:tcMar>
            <w:vAlign w:val="center"/>
          </w:tcPr>
          <w:p>
            <w:pPr>
              <w:rPr>
                <w:rFonts w:hint="default" w:ascii="Times New Roman" w:hAnsi="Times New Roman" w:eastAsia="方正仿宋_GBK"/>
                <w:color w:val="000000"/>
                <w:sz w:val="22"/>
                <w:szCs w:val="22"/>
              </w:rPr>
            </w:pPr>
          </w:p>
        </w:tc>
        <w:tc>
          <w:tcPr>
            <w:tcW w:w="974" w:type="dxa"/>
            <w:tcBorders>
              <w:top w:val="nil"/>
              <w:left w:val="nil"/>
              <w:bottom w:val="nil"/>
              <w:right w:val="nil"/>
            </w:tcBorders>
            <w:shd w:val="clear" w:color="auto" w:fill="auto"/>
            <w:tcMar>
              <w:top w:w="15" w:type="dxa"/>
              <w:left w:w="15" w:type="dxa"/>
              <w:right w:w="15" w:type="dxa"/>
            </w:tcMar>
            <w:vAlign w:val="center"/>
          </w:tcPr>
          <w:p>
            <w:pPr>
              <w:rPr>
                <w:rFonts w:hint="default" w:ascii="Times New Roman" w:hAnsi="Times New Roman" w:eastAsia="方正仿宋_GBK"/>
                <w:color w:val="000000"/>
                <w:sz w:val="22"/>
                <w:szCs w:val="22"/>
              </w:rPr>
            </w:pPr>
          </w:p>
        </w:tc>
        <w:tc>
          <w:tcPr>
            <w:tcW w:w="975" w:type="dxa"/>
            <w:tcBorders>
              <w:top w:val="nil"/>
              <w:left w:val="nil"/>
              <w:bottom w:val="nil"/>
              <w:right w:val="nil"/>
            </w:tcBorders>
            <w:shd w:val="clear" w:color="auto" w:fill="auto"/>
            <w:tcMar>
              <w:top w:w="15" w:type="dxa"/>
              <w:left w:w="15" w:type="dxa"/>
              <w:right w:w="15" w:type="dxa"/>
            </w:tcMar>
            <w:vAlign w:val="center"/>
          </w:tcPr>
          <w:p>
            <w:pPr>
              <w:rPr>
                <w:rFonts w:hint="default" w:ascii="Times New Roman" w:hAnsi="Times New Roman" w:eastAsia="方正仿宋_GBK"/>
                <w:color w:val="000000"/>
                <w:sz w:val="22"/>
                <w:szCs w:val="22"/>
              </w:rPr>
            </w:pPr>
          </w:p>
        </w:tc>
        <w:tc>
          <w:tcPr>
            <w:tcW w:w="974" w:type="dxa"/>
            <w:tcBorders>
              <w:top w:val="nil"/>
              <w:left w:val="nil"/>
              <w:bottom w:val="nil"/>
              <w:right w:val="nil"/>
            </w:tcBorders>
            <w:shd w:val="clear" w:color="auto" w:fill="auto"/>
            <w:tcMar>
              <w:top w:w="15" w:type="dxa"/>
              <w:left w:w="15" w:type="dxa"/>
              <w:right w:w="15" w:type="dxa"/>
            </w:tcMar>
            <w:vAlign w:val="center"/>
          </w:tcPr>
          <w:p>
            <w:pPr>
              <w:rPr>
                <w:rFonts w:hint="default" w:ascii="Times New Roman" w:hAnsi="Times New Roman" w:eastAsia="方正仿宋_GBK"/>
                <w:color w:val="000000"/>
                <w:sz w:val="22"/>
                <w:szCs w:val="22"/>
              </w:rPr>
            </w:pPr>
          </w:p>
        </w:tc>
        <w:tc>
          <w:tcPr>
            <w:tcW w:w="973" w:type="dxa"/>
            <w:tcBorders>
              <w:top w:val="nil"/>
              <w:left w:val="nil"/>
              <w:bottom w:val="nil"/>
              <w:right w:val="nil"/>
            </w:tcBorders>
            <w:shd w:val="clear" w:color="auto" w:fill="auto"/>
            <w:tcMar>
              <w:top w:w="15" w:type="dxa"/>
              <w:left w:w="15" w:type="dxa"/>
              <w:right w:w="15" w:type="dxa"/>
            </w:tcMar>
            <w:vAlign w:val="center"/>
          </w:tcPr>
          <w:p>
            <w:pPr>
              <w:rPr>
                <w:rFonts w:hint="default" w:ascii="Times New Roman" w:hAnsi="Times New Roman" w:eastAsia="方正仿宋_GBK"/>
                <w:color w:val="000000"/>
                <w:sz w:val="22"/>
                <w:szCs w:val="22"/>
              </w:rPr>
            </w:pPr>
          </w:p>
        </w:tc>
        <w:tc>
          <w:tcPr>
            <w:tcW w:w="600" w:type="dxa"/>
            <w:gridSpan w:val="2"/>
            <w:tcBorders>
              <w:top w:val="nil"/>
              <w:left w:val="nil"/>
              <w:bottom w:val="nil"/>
              <w:right w:val="nil"/>
            </w:tcBorders>
            <w:shd w:val="clear" w:color="auto" w:fill="auto"/>
            <w:tcMar>
              <w:top w:w="15" w:type="dxa"/>
              <w:left w:w="15" w:type="dxa"/>
              <w:right w:w="15" w:type="dxa"/>
            </w:tcMar>
            <w:vAlign w:val="center"/>
          </w:tcPr>
          <w:p>
            <w:pPr>
              <w:rPr>
                <w:rFonts w:hint="default" w:ascii="Times New Roman" w:hAnsi="Times New Roman" w:eastAsia="方正仿宋_GBK"/>
                <w:color w:val="000000"/>
                <w:sz w:val="22"/>
                <w:szCs w:val="22"/>
              </w:rPr>
            </w:pPr>
          </w:p>
        </w:tc>
      </w:tr>
      <w:tr>
        <w:tblPrEx>
          <w:tblLayout w:type="fixed"/>
          <w:tblCellMar>
            <w:top w:w="0" w:type="dxa"/>
            <w:left w:w="108" w:type="dxa"/>
            <w:bottom w:w="0" w:type="dxa"/>
            <w:right w:w="108" w:type="dxa"/>
          </w:tblCellMar>
        </w:tblPrEx>
        <w:trPr>
          <w:trHeight w:val="175" w:hRule="atLeast"/>
        </w:trPr>
        <w:tc>
          <w:tcPr>
            <w:tcW w:w="3690" w:type="dxa"/>
            <w:gridSpan w:val="3"/>
            <w:tcBorders>
              <w:top w:val="nil"/>
              <w:left w:val="nil"/>
              <w:bottom w:val="nil"/>
              <w:right w:val="nil"/>
            </w:tcBorders>
            <w:shd w:val="clear" w:color="auto" w:fill="auto"/>
            <w:tcMar>
              <w:top w:w="15" w:type="dxa"/>
              <w:left w:w="15" w:type="dxa"/>
              <w:right w:w="15" w:type="dxa"/>
            </w:tcMar>
            <w:vAlign w:val="center"/>
          </w:tcPr>
          <w:p>
            <w:pP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 xml:space="preserve"> 预算单位主要领导：</w:t>
            </w:r>
            <w:r>
              <w:rPr>
                <w:rFonts w:hint="eastAsia" w:ascii="Times New Roman" w:hAnsi="Times New Roman" w:eastAsia="方正仿宋_GBK"/>
                <w:color w:val="000000"/>
                <w:sz w:val="20"/>
                <w:szCs w:val="20"/>
                <w:lang w:val="en-US" w:eastAsia="zh-CN"/>
              </w:rPr>
              <w:t>张芬</w:t>
            </w:r>
            <w:r>
              <w:rPr>
                <w:rFonts w:ascii="Times New Roman" w:hAnsi="Times New Roman" w:eastAsia="方正仿宋_GBK"/>
                <w:color w:val="000000"/>
                <w:sz w:val="20"/>
                <w:szCs w:val="20"/>
              </w:rPr>
              <w:t xml:space="preserve">           </w:t>
            </w:r>
          </w:p>
        </w:tc>
        <w:tc>
          <w:tcPr>
            <w:tcW w:w="210" w:type="dxa"/>
            <w:tcBorders>
              <w:top w:val="nil"/>
              <w:left w:val="nil"/>
              <w:bottom w:val="nil"/>
              <w:right w:val="nil"/>
            </w:tcBorders>
            <w:shd w:val="clear" w:color="auto" w:fill="auto"/>
            <w:tcMar>
              <w:top w:w="15" w:type="dxa"/>
              <w:left w:w="15" w:type="dxa"/>
              <w:right w:w="15" w:type="dxa"/>
            </w:tcMar>
            <w:vAlign w:val="center"/>
          </w:tcPr>
          <w:p>
            <w:pPr>
              <w:rPr>
                <w:rFonts w:hint="default" w:ascii="Times New Roman" w:hAnsi="Times New Roman" w:eastAsia="方正仿宋_GBK"/>
                <w:color w:val="000000"/>
                <w:sz w:val="20"/>
                <w:szCs w:val="20"/>
              </w:rPr>
            </w:pPr>
          </w:p>
        </w:tc>
        <w:tc>
          <w:tcPr>
            <w:tcW w:w="2924" w:type="dxa"/>
            <w:gridSpan w:val="3"/>
            <w:tcBorders>
              <w:top w:val="nil"/>
              <w:left w:val="nil"/>
              <w:bottom w:val="nil"/>
              <w:right w:val="nil"/>
            </w:tcBorders>
            <w:shd w:val="clear" w:color="auto" w:fill="auto"/>
            <w:tcMar>
              <w:top w:w="15" w:type="dxa"/>
              <w:left w:w="15" w:type="dxa"/>
              <w:right w:w="15" w:type="dxa"/>
            </w:tcMar>
            <w:vAlign w:val="center"/>
          </w:tcPr>
          <w:p>
            <w:pPr>
              <w:rPr>
                <w:rFonts w:hint="eastAsia" w:ascii="Times New Roman" w:hAnsi="Times New Roman" w:eastAsia="方正仿宋_GBK"/>
                <w:color w:val="000000"/>
                <w:sz w:val="20"/>
                <w:szCs w:val="20"/>
                <w:lang w:val="en-US" w:eastAsia="zh-CN"/>
              </w:rPr>
            </w:pPr>
            <w:r>
              <w:rPr>
                <w:rFonts w:ascii="Times New Roman" w:hAnsi="Times New Roman" w:eastAsia="方正仿宋_GBK"/>
                <w:color w:val="000000"/>
                <w:sz w:val="20"/>
                <w:szCs w:val="20"/>
              </w:rPr>
              <w:t>绩效评价负责人：</w:t>
            </w:r>
            <w:r>
              <w:rPr>
                <w:rFonts w:hint="eastAsia" w:ascii="Times New Roman" w:hAnsi="Times New Roman" w:eastAsia="方正仿宋_GBK"/>
                <w:color w:val="000000"/>
                <w:sz w:val="20"/>
                <w:szCs w:val="20"/>
                <w:lang w:val="en-US" w:eastAsia="zh-CN"/>
              </w:rPr>
              <w:t>郭睿</w:t>
            </w:r>
          </w:p>
        </w:tc>
        <w:tc>
          <w:tcPr>
            <w:tcW w:w="974" w:type="dxa"/>
            <w:tcBorders>
              <w:top w:val="nil"/>
              <w:left w:val="nil"/>
              <w:bottom w:val="nil"/>
              <w:right w:val="nil"/>
            </w:tcBorders>
            <w:shd w:val="clear" w:color="auto" w:fill="auto"/>
            <w:tcMar>
              <w:top w:w="15" w:type="dxa"/>
              <w:left w:w="15" w:type="dxa"/>
              <w:right w:w="15" w:type="dxa"/>
            </w:tcMar>
            <w:vAlign w:val="center"/>
          </w:tcPr>
          <w:p>
            <w:pPr>
              <w:rPr>
                <w:rFonts w:hint="default" w:ascii="Times New Roman" w:hAnsi="Times New Roman" w:eastAsia="方正仿宋_GBK"/>
                <w:color w:val="000000"/>
                <w:sz w:val="20"/>
                <w:szCs w:val="20"/>
              </w:rPr>
            </w:pPr>
          </w:p>
        </w:tc>
        <w:tc>
          <w:tcPr>
            <w:tcW w:w="1573" w:type="dxa"/>
            <w:gridSpan w:val="3"/>
            <w:tcBorders>
              <w:top w:val="nil"/>
              <w:left w:val="nil"/>
              <w:bottom w:val="nil"/>
              <w:right w:val="nil"/>
            </w:tcBorders>
            <w:shd w:val="clear" w:color="auto" w:fill="auto"/>
            <w:tcMar>
              <w:top w:w="15" w:type="dxa"/>
              <w:left w:w="15" w:type="dxa"/>
              <w:right w:w="15" w:type="dxa"/>
            </w:tcMar>
            <w:vAlign w:val="center"/>
          </w:tcPr>
          <w:p>
            <w:pPr>
              <w:jc w:val="center"/>
              <w:textAlignment w:val="center"/>
              <w:rPr>
                <w:rFonts w:hint="eastAsia" w:ascii="Times New Roman" w:hAnsi="Times New Roman" w:eastAsia="方正仿宋_GBK"/>
                <w:color w:val="000000"/>
                <w:sz w:val="20"/>
                <w:szCs w:val="20"/>
                <w:lang w:val="en-US" w:eastAsia="zh-CN"/>
              </w:rPr>
            </w:pPr>
            <w:r>
              <w:rPr>
                <w:rFonts w:ascii="Times New Roman" w:hAnsi="Times New Roman" w:eastAsia="方正仿宋_GBK"/>
                <w:color w:val="000000"/>
                <w:sz w:val="20"/>
                <w:szCs w:val="20"/>
              </w:rPr>
              <w:t>经办人：</w:t>
            </w:r>
            <w:r>
              <w:rPr>
                <w:rFonts w:hint="eastAsia" w:ascii="Times New Roman" w:hAnsi="Times New Roman" w:eastAsia="方正仿宋_GBK"/>
                <w:color w:val="000000"/>
                <w:sz w:val="20"/>
                <w:szCs w:val="20"/>
                <w:lang w:val="en-US" w:eastAsia="zh-CN"/>
              </w:rPr>
              <w:t>彭露</w:t>
            </w:r>
          </w:p>
        </w:tc>
      </w:tr>
    </w:tbl>
    <w:p>
      <w:pPr>
        <w:widowControl w:val="0"/>
        <w:autoSpaceDE w:val="0"/>
        <w:spacing w:line="576" w:lineRule="exact"/>
        <w:ind w:firstLine="640" w:firstLineChars="200"/>
        <w:jc w:val="both"/>
        <w:rPr>
          <w:rFonts w:hint="default" w:ascii="方正黑体_GBK" w:hAnsi="方正黑体_GBK" w:eastAsia="方正黑体_GBK" w:cs="方正黑体_GBK"/>
          <w:sz w:val="32"/>
          <w:szCs w:val="32"/>
          <w:shd w:val="clear" w:color="auto" w:fill="FFFF00"/>
        </w:rPr>
      </w:pPr>
      <w:r>
        <w:rPr>
          <w:rFonts w:ascii="方正黑体_GBK" w:hAnsi="方正黑体_GBK" w:eastAsia="方正黑体_GBK" w:cs="方正黑体_GBK"/>
          <w:sz w:val="32"/>
          <w:szCs w:val="32"/>
        </w:rPr>
        <w:t>六、专业名词解释</w:t>
      </w:r>
    </w:p>
    <w:p>
      <w:pPr>
        <w:widowControl w:val="0"/>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（一）财政拨款收入</w:t>
      </w:r>
    </w:p>
    <w:p>
      <w:pPr>
        <w:widowControl w:val="0"/>
        <w:autoSpaceDE w:val="0"/>
        <w:spacing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指本年度从本级财政部门取得的财政拨款，包括一般公共预算财政拨款和政府性基金预算财政拨款。</w:t>
      </w:r>
    </w:p>
    <w:p>
      <w:pPr>
        <w:widowControl w:val="0"/>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（二）事业收入</w:t>
      </w:r>
    </w:p>
    <w:p>
      <w:pPr>
        <w:widowControl w:val="0"/>
        <w:autoSpaceDE w:val="0"/>
        <w:spacing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指事业单位开展专业业务活动及其辅助活动取得的现金流入；事业单位收到的财政专户实际核拨的教育收费等资金在此反映。</w:t>
      </w:r>
    </w:p>
    <w:p>
      <w:pPr>
        <w:widowControl w:val="0"/>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（三）经营收入</w:t>
      </w:r>
    </w:p>
    <w:p>
      <w:pPr>
        <w:widowControl w:val="0"/>
        <w:autoSpaceDE w:val="0"/>
        <w:spacing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指事业单位在专业业务活动及其辅助活动之外开展非独立核算经营活动取得的现金流入。</w:t>
      </w:r>
    </w:p>
    <w:p>
      <w:pPr>
        <w:widowControl w:val="0"/>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（四）其他收入</w:t>
      </w:r>
    </w:p>
    <w:p>
      <w:pPr>
        <w:widowControl w:val="0"/>
        <w:autoSpaceDE w:val="0"/>
        <w:spacing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widowControl w:val="0"/>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（五）用事业基金弥补收支差额</w:t>
      </w:r>
    </w:p>
    <w:p>
      <w:pPr>
        <w:widowControl w:val="0"/>
        <w:autoSpaceDE w:val="0"/>
        <w:spacing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widowControl w:val="0"/>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（六）年初结转和结余</w:t>
      </w:r>
    </w:p>
    <w:p>
      <w:pPr>
        <w:widowControl w:val="0"/>
        <w:autoSpaceDE w:val="0"/>
        <w:spacing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指单位上年结转本年使用的基本支出结转、项目支出结转和结余、经营结余。</w:t>
      </w:r>
    </w:p>
    <w:p>
      <w:pPr>
        <w:widowControl w:val="0"/>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（七）结余分配</w:t>
      </w:r>
    </w:p>
    <w:p>
      <w:pPr>
        <w:widowControl w:val="0"/>
        <w:autoSpaceDE w:val="0"/>
        <w:spacing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指单位按照国家有关规定，缴纳所得税、提取专用基金、转入事业基金等当年结余的分配情况。</w:t>
      </w:r>
    </w:p>
    <w:p>
      <w:pPr>
        <w:widowControl w:val="0"/>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（八）年末结转和结余</w:t>
      </w:r>
    </w:p>
    <w:p>
      <w:pPr>
        <w:widowControl w:val="0"/>
        <w:autoSpaceDE w:val="0"/>
        <w:spacing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指单位结转下年的基本支出结转、项目支出结转和结余、经营结余。</w:t>
      </w:r>
    </w:p>
    <w:p>
      <w:pPr>
        <w:widowControl w:val="0"/>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（九）基本支出</w:t>
      </w:r>
    </w:p>
    <w:p>
      <w:pPr>
        <w:widowControl w:val="0"/>
        <w:autoSpaceDE w:val="0"/>
        <w:spacing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widowControl w:val="0"/>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（十）项目支出</w:t>
      </w:r>
    </w:p>
    <w:p>
      <w:pPr>
        <w:widowControl w:val="0"/>
        <w:autoSpaceDE w:val="0"/>
        <w:spacing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指在基本支出之外为完成特定行政任务和事业发展目标所发生的支出。</w:t>
      </w:r>
    </w:p>
    <w:p>
      <w:pPr>
        <w:widowControl w:val="0"/>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（十一）经营支出</w:t>
      </w:r>
    </w:p>
    <w:p>
      <w:pPr>
        <w:widowControl w:val="0"/>
        <w:autoSpaceDE w:val="0"/>
        <w:spacing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指事业单位在专业业务活动及其辅助活动之外开展非独立核算经营活动发生的支出。</w:t>
      </w:r>
    </w:p>
    <w:p>
      <w:pPr>
        <w:widowControl w:val="0"/>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（十二）“三公”经费</w:t>
      </w:r>
    </w:p>
    <w:p>
      <w:pPr>
        <w:widowControl w:val="0"/>
        <w:autoSpaceDE w:val="0"/>
        <w:spacing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widowControl w:val="0"/>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（十三）机关运行经费</w:t>
      </w:r>
    </w:p>
    <w:p>
      <w:pPr>
        <w:widowControl w:val="0"/>
        <w:autoSpaceDE w:val="0"/>
        <w:spacing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widowControl w:val="0"/>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（十四）工资福利支出（支出经济分类科目类级）</w:t>
      </w:r>
    </w:p>
    <w:p>
      <w:pPr>
        <w:widowControl w:val="0"/>
        <w:autoSpaceDE w:val="0"/>
        <w:spacing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反映单位开支的在职职工和编制外长期聘用人员的各类劳动报酬，以及为上述人员缴纳的各项社会保险费等。</w:t>
      </w:r>
    </w:p>
    <w:p>
      <w:pPr>
        <w:widowControl w:val="0"/>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（十五）商品和服务支出（支出经济分类科目类级）</w:t>
      </w:r>
    </w:p>
    <w:p>
      <w:pPr>
        <w:widowControl w:val="0"/>
        <w:autoSpaceDE w:val="0"/>
        <w:spacing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反映单位购买商品和服务的支出（不包括用于购置固定资产的支出、战略性和应急储备支出）。</w:t>
      </w:r>
    </w:p>
    <w:p>
      <w:pPr>
        <w:widowControl w:val="0"/>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（十六）对个人和家庭的补助（支出经济分类科目类级）</w:t>
      </w:r>
    </w:p>
    <w:p>
      <w:pPr>
        <w:widowControl w:val="0"/>
        <w:autoSpaceDE w:val="0"/>
        <w:spacing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反映用于对个人和家庭的补助支出</w:t>
      </w:r>
    </w:p>
    <w:p>
      <w:pPr>
        <w:widowControl w:val="0"/>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（十七）其他资本性支出（支出经济分类科目类级）</w:t>
      </w:r>
    </w:p>
    <w:p>
      <w:pPr>
        <w:widowControl w:val="0"/>
        <w:autoSpaceDE w:val="0"/>
        <w:spacing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反映非各级发展与改革部门集中安排的用于购置固定资产、战略性和应急性储备、土地和无形资产，以及构建基础设施、大型修缮和财政支持企业更新改造所发生的支出。</w:t>
      </w:r>
    </w:p>
    <w:p>
      <w:pPr>
        <w:widowControl w:val="0"/>
        <w:autoSpaceDE w:val="0"/>
        <w:spacing w:line="576" w:lineRule="exact"/>
        <w:ind w:firstLine="640" w:firstLineChars="200"/>
        <w:jc w:val="both"/>
        <w:rPr>
          <w:rFonts w:hint="default" w:ascii="方正黑体_GBK" w:hAnsi="方正黑体_GBK" w:eastAsia="方正黑体_GBK" w:cs="方正黑体_GBK"/>
          <w:sz w:val="32"/>
          <w:szCs w:val="32"/>
        </w:rPr>
      </w:pPr>
      <w:r>
        <w:rPr>
          <w:rFonts w:ascii="方正黑体_GBK" w:hAnsi="方正黑体_GBK" w:eastAsia="方正黑体_GBK" w:cs="方正黑体_GBK"/>
          <w:sz w:val="32"/>
          <w:szCs w:val="32"/>
        </w:rPr>
        <w:t>七、决算公开联系方式及信息反馈渠道</w:t>
      </w:r>
    </w:p>
    <w:p>
      <w:pPr>
        <w:pStyle w:val="40"/>
        <w:widowControl w:val="0"/>
        <w:shd w:val="clear" w:color="auto" w:fill="FFFFFF"/>
        <w:autoSpaceDE w:val="0"/>
        <w:spacing w:line="576" w:lineRule="exact"/>
        <w:ind w:firstLine="640" w:firstLineChars="200"/>
        <w:jc w:val="both"/>
        <w:rPr>
          <w:rFonts w:hint="default"/>
          <w:sz w:val="28"/>
          <w:szCs w:val="28"/>
          <w:shd w:val="clear" w:color="auto" w:fill="FFFFFF"/>
        </w:rPr>
      </w:pPr>
      <w:r>
        <w:rPr>
          <w:rFonts w:ascii="方正仿宋_GBK" w:hAnsi="方正仿宋_GBK" w:eastAsia="方正仿宋_GBK" w:cs="方正仿宋_GBK"/>
          <w:sz w:val="32"/>
          <w:szCs w:val="32"/>
          <w:shd w:val="clear" w:color="auto" w:fill="FFFFFF"/>
        </w:rPr>
        <w:t>本单位决算公开信息反馈和联系方式：023-48678</w:t>
      </w:r>
      <w:r>
        <w:rPr>
          <w:rFonts w:hint="eastAsia" w:ascii="方正仿宋_GBK" w:hAnsi="方正仿宋_GBK" w:eastAsia="方正仿宋_GBK" w:cs="方正仿宋_GBK"/>
          <w:sz w:val="32"/>
          <w:szCs w:val="32"/>
          <w:shd w:val="clear" w:color="auto" w:fill="FFFFFF"/>
          <w:lang w:val="en-US" w:eastAsia="zh-CN"/>
        </w:rPr>
        <w:t>506</w:t>
      </w:r>
      <w:r>
        <w:rPr>
          <w:rFonts w:ascii="方正仿宋_GBK" w:hAnsi="方正仿宋_GBK" w:eastAsia="方正仿宋_GBK" w:cs="方正仿宋_GBK"/>
          <w:sz w:val="32"/>
          <w:szCs w:val="32"/>
          <w:shd w:val="clear" w:color="auto" w:fill="FFFFFF"/>
        </w:rPr>
        <w:t>。</w:t>
      </w:r>
    </w:p>
    <w:sectPr>
      <w:headerReference r:id="rId3" w:type="default"/>
      <w:footerReference r:id="rId4" w:type="default"/>
      <w:pgSz w:w="11915" w:h="16840"/>
      <w:pgMar w:top="1418" w:right="1588" w:bottom="1135" w:left="158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292"/>
    <w:rsid w:val="00016710"/>
    <w:rsid w:val="000B1CDE"/>
    <w:rsid w:val="00B85B93"/>
    <w:rsid w:val="00E63292"/>
    <w:rsid w:val="00F35478"/>
    <w:rsid w:val="078B0E26"/>
    <w:rsid w:val="0A2D2598"/>
    <w:rsid w:val="0CE17B2B"/>
    <w:rsid w:val="1728612E"/>
    <w:rsid w:val="17A65B20"/>
    <w:rsid w:val="18CB4261"/>
    <w:rsid w:val="19293D03"/>
    <w:rsid w:val="199439C1"/>
    <w:rsid w:val="1A3F08B2"/>
    <w:rsid w:val="2073683A"/>
    <w:rsid w:val="24B01061"/>
    <w:rsid w:val="25630C12"/>
    <w:rsid w:val="26CF4A3A"/>
    <w:rsid w:val="28BE5D76"/>
    <w:rsid w:val="2B2339C2"/>
    <w:rsid w:val="30154C98"/>
    <w:rsid w:val="30296B29"/>
    <w:rsid w:val="32D63FB8"/>
    <w:rsid w:val="355A35B7"/>
    <w:rsid w:val="37092F57"/>
    <w:rsid w:val="371522AB"/>
    <w:rsid w:val="39763996"/>
    <w:rsid w:val="3AAF74D3"/>
    <w:rsid w:val="3B0A4608"/>
    <w:rsid w:val="3BEB59D9"/>
    <w:rsid w:val="3CA22222"/>
    <w:rsid w:val="3DAB6296"/>
    <w:rsid w:val="3EC24531"/>
    <w:rsid w:val="415A0645"/>
    <w:rsid w:val="45B405D3"/>
    <w:rsid w:val="467D66BB"/>
    <w:rsid w:val="479C38D5"/>
    <w:rsid w:val="4C5D18EC"/>
    <w:rsid w:val="4CBE408C"/>
    <w:rsid w:val="4E044904"/>
    <w:rsid w:val="54524079"/>
    <w:rsid w:val="57AE487B"/>
    <w:rsid w:val="5A4C204E"/>
    <w:rsid w:val="5E555867"/>
    <w:rsid w:val="5FDB0843"/>
    <w:rsid w:val="64B24A7C"/>
    <w:rsid w:val="6B210631"/>
    <w:rsid w:val="6B2A3764"/>
    <w:rsid w:val="70030534"/>
    <w:rsid w:val="70775B2F"/>
    <w:rsid w:val="732A6635"/>
    <w:rsid w:val="796E046B"/>
    <w:rsid w:val="7AC31AA5"/>
    <w:rsid w:val="7CE953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hint="eastAsia" w:ascii="宋体" w:hAnsi="宋体" w:eastAsia="宋体" w:cs="Times New Roman"/>
      <w:sz w:val="24"/>
      <w:szCs w:val="24"/>
      <w:lang w:val="en-US" w:eastAsia="zh-CN" w:bidi="ar-SA"/>
    </w:rPr>
  </w:style>
  <w:style w:type="paragraph" w:styleId="2">
    <w:name w:val="heading 1"/>
    <w:basedOn w:val="1"/>
    <w:next w:val="1"/>
    <w:link w:val="31"/>
    <w:qFormat/>
    <w:uiPriority w:val="0"/>
    <w:pPr>
      <w:spacing w:beforeAutospacing="1" w:afterAutospacing="1"/>
      <w:outlineLvl w:val="0"/>
    </w:pPr>
    <w:rPr>
      <w:b/>
      <w:kern w:val="44"/>
      <w:sz w:val="48"/>
      <w:szCs w:val="48"/>
    </w:rPr>
  </w:style>
  <w:style w:type="paragraph" w:styleId="3">
    <w:name w:val="heading 2"/>
    <w:basedOn w:val="1"/>
    <w:next w:val="1"/>
    <w:link w:val="21"/>
    <w:qFormat/>
    <w:uiPriority w:val="0"/>
    <w:pPr>
      <w:spacing w:beforeAutospacing="1" w:afterAutospacing="1"/>
      <w:outlineLvl w:val="1"/>
    </w:pPr>
    <w:rPr>
      <w:b/>
      <w:sz w:val="36"/>
      <w:szCs w:val="36"/>
    </w:rPr>
  </w:style>
  <w:style w:type="paragraph" w:styleId="4">
    <w:name w:val="heading 3"/>
    <w:basedOn w:val="1"/>
    <w:next w:val="1"/>
    <w:link w:val="24"/>
    <w:qFormat/>
    <w:uiPriority w:val="0"/>
    <w:pPr>
      <w:spacing w:beforeAutospacing="1" w:afterAutospacing="1"/>
      <w:outlineLvl w:val="2"/>
    </w:pPr>
    <w:rPr>
      <w:b/>
      <w:sz w:val="27"/>
      <w:szCs w:val="27"/>
    </w:rPr>
  </w:style>
  <w:style w:type="paragraph" w:styleId="5">
    <w:name w:val="heading 4"/>
    <w:basedOn w:val="1"/>
    <w:next w:val="1"/>
    <w:link w:val="16"/>
    <w:qFormat/>
    <w:uiPriority w:val="0"/>
    <w:pPr>
      <w:spacing w:beforeAutospacing="1" w:afterAutospacing="1"/>
      <w:outlineLvl w:val="3"/>
    </w:pPr>
    <w:rPr>
      <w:b/>
    </w:rPr>
  </w:style>
  <w:style w:type="paragraph" w:styleId="6">
    <w:name w:val="heading 5"/>
    <w:basedOn w:val="1"/>
    <w:next w:val="1"/>
    <w:link w:val="32"/>
    <w:qFormat/>
    <w:uiPriority w:val="0"/>
    <w:pPr>
      <w:spacing w:beforeAutospacing="1" w:afterAutospacing="1"/>
      <w:outlineLvl w:val="4"/>
    </w:pPr>
    <w:rPr>
      <w:b/>
      <w:sz w:val="20"/>
      <w:szCs w:val="20"/>
    </w:rPr>
  </w:style>
  <w:style w:type="paragraph" w:styleId="7">
    <w:name w:val="heading 6"/>
    <w:basedOn w:val="1"/>
    <w:next w:val="1"/>
    <w:link w:val="27"/>
    <w:qFormat/>
    <w:uiPriority w:val="0"/>
    <w:pPr>
      <w:spacing w:beforeAutospacing="1" w:afterAutospacing="1"/>
      <w:outlineLvl w:val="5"/>
    </w:pPr>
    <w:rPr>
      <w:b/>
      <w:sz w:val="15"/>
      <w:szCs w:val="15"/>
    </w:rPr>
  </w:style>
  <w:style w:type="character" w:default="1" w:styleId="13">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8">
    <w:name w:val="Date"/>
    <w:basedOn w:val="1"/>
    <w:next w:val="1"/>
    <w:link w:val="37"/>
    <w:qFormat/>
    <w:uiPriority w:val="0"/>
    <w:pPr>
      <w:widowControl w:val="0"/>
      <w:ind w:leftChars="2500"/>
      <w:jc w:val="both"/>
    </w:pPr>
    <w:rPr>
      <w:rFonts w:hint="default" w:ascii="Calibri" w:hAnsi="Calibri"/>
      <w:kern w:val="2"/>
      <w:sz w:val="21"/>
      <w:szCs w:val="21"/>
    </w:rPr>
  </w:style>
  <w:style w:type="paragraph" w:styleId="9">
    <w:name w:val="footer"/>
    <w:basedOn w:val="1"/>
    <w:link w:val="29"/>
    <w:qFormat/>
    <w:uiPriority w:val="0"/>
    <w:pPr>
      <w:snapToGrid w:val="0"/>
    </w:pPr>
    <w:rPr>
      <w:sz w:val="18"/>
      <w:szCs w:val="18"/>
    </w:rPr>
  </w:style>
  <w:style w:type="paragraph" w:styleId="10">
    <w:name w:val="header"/>
    <w:basedOn w:val="1"/>
    <w:link w:val="34"/>
    <w:qFormat/>
    <w:uiPriority w:val="0"/>
    <w:pPr>
      <w:pBdr>
        <w:bottom w:val="single" w:color="auto" w:sz="6" w:space="1"/>
      </w:pBdr>
      <w:snapToGrid w:val="0"/>
      <w:jc w:val="center"/>
    </w:pPr>
    <w:rPr>
      <w:sz w:val="18"/>
      <w:szCs w:val="18"/>
    </w:rPr>
  </w:style>
  <w:style w:type="paragraph" w:styleId="11">
    <w:name w:val="HTML Preformatted"/>
    <w:basedOn w:val="1"/>
    <w:link w:val="33"/>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12">
    <w:name w:val="Normal (Web)"/>
    <w:basedOn w:val="1"/>
    <w:qFormat/>
    <w:uiPriority w:val="0"/>
    <w:pPr>
      <w:spacing w:beforeAutospacing="1" w:afterAutospacing="1"/>
    </w:pPr>
  </w:style>
  <w:style w:type="character" w:styleId="14">
    <w:name w:val="Strong"/>
    <w:basedOn w:val="13"/>
    <w:qFormat/>
    <w:uiPriority w:val="0"/>
    <w:rPr>
      <w:b/>
    </w:rPr>
  </w:style>
  <w:style w:type="character" w:customStyle="1" w:styleId="16">
    <w:name w:val="标题 4 Char"/>
    <w:basedOn w:val="13"/>
    <w:link w:val="5"/>
    <w:qFormat/>
    <w:locked/>
    <w:uiPriority w:val="0"/>
    <w:rPr>
      <w:rFonts w:hint="default" w:ascii="Cambria" w:hAnsi="Cambria" w:eastAsia="宋体" w:cs="Times New Roman"/>
      <w:b/>
      <w:sz w:val="28"/>
      <w:szCs w:val="28"/>
    </w:rPr>
  </w:style>
  <w:style w:type="paragraph" w:customStyle="1" w:styleId="17">
    <w:name w:val="msochpdefault"/>
    <w:basedOn w:val="1"/>
    <w:qFormat/>
    <w:uiPriority w:val="0"/>
    <w:rPr>
      <w:rFonts w:hint="default" w:ascii="Times New Roman" w:hAnsi="Times New Roman"/>
    </w:rPr>
  </w:style>
  <w:style w:type="paragraph" w:customStyle="1" w:styleId="18">
    <w:name w:val="普通(网站) Char Char"/>
    <w:basedOn w:val="1"/>
    <w:qFormat/>
    <w:uiPriority w:val="0"/>
    <w:pPr>
      <w:spacing w:beforeAutospacing="1" w:afterAutospacing="1"/>
    </w:pPr>
  </w:style>
  <w:style w:type="character" w:customStyle="1" w:styleId="19">
    <w:name w:val="25"/>
    <w:basedOn w:val="13"/>
    <w:qFormat/>
    <w:uiPriority w:val="0"/>
    <w:rPr>
      <w:rFonts w:hint="default" w:ascii="Times New Roman" w:hAnsi="Times New Roman" w:cs="Times New Roman"/>
    </w:rPr>
  </w:style>
  <w:style w:type="paragraph" w:customStyle="1" w:styleId="20">
    <w:name w:val="HTML 预设格式 Char1"/>
    <w:basedOn w:val="1"/>
    <w:qFormat/>
    <w:uiPriority w:val="0"/>
    <w:rPr>
      <w:rFonts w:hint="default" w:ascii="Courier New" w:hAnsi="Courier New"/>
      <w:sz w:val="20"/>
      <w:szCs w:val="20"/>
    </w:rPr>
  </w:style>
  <w:style w:type="character" w:customStyle="1" w:styleId="21">
    <w:name w:val="标题 2 Char"/>
    <w:basedOn w:val="13"/>
    <w:link w:val="3"/>
    <w:qFormat/>
    <w:locked/>
    <w:uiPriority w:val="0"/>
    <w:rPr>
      <w:rFonts w:hint="default" w:ascii="Cambria" w:hAnsi="Cambria" w:eastAsia="宋体" w:cs="Times New Roman"/>
      <w:b/>
      <w:sz w:val="32"/>
      <w:szCs w:val="32"/>
    </w:rPr>
  </w:style>
  <w:style w:type="character" w:customStyle="1" w:styleId="22">
    <w:name w:val="24"/>
    <w:basedOn w:val="13"/>
    <w:qFormat/>
    <w:uiPriority w:val="0"/>
    <w:rPr>
      <w:rFonts w:hint="default" w:ascii="Times New Roman" w:hAnsi="Times New Roman" w:cs="Times New Roman"/>
    </w:rPr>
  </w:style>
  <w:style w:type="paragraph" w:customStyle="1" w:styleId="23">
    <w:name w:val="p Char"/>
    <w:basedOn w:val="1"/>
    <w:qFormat/>
    <w:uiPriority w:val="0"/>
    <w:pPr>
      <w:spacing w:beforeAutospacing="1" w:afterAutospacing="1"/>
    </w:pPr>
  </w:style>
  <w:style w:type="character" w:customStyle="1" w:styleId="24">
    <w:name w:val="标题 3 Char"/>
    <w:basedOn w:val="13"/>
    <w:link w:val="4"/>
    <w:qFormat/>
    <w:locked/>
    <w:uiPriority w:val="0"/>
    <w:rPr>
      <w:rFonts w:hint="eastAsia" w:ascii="宋体" w:hAnsi="宋体" w:eastAsia="宋体" w:cs="宋体"/>
      <w:b/>
      <w:sz w:val="32"/>
      <w:szCs w:val="32"/>
    </w:rPr>
  </w:style>
  <w:style w:type="character" w:customStyle="1" w:styleId="25">
    <w:name w:val="20"/>
    <w:basedOn w:val="13"/>
    <w:qFormat/>
    <w:uiPriority w:val="0"/>
    <w:rPr>
      <w:rFonts w:hint="default" w:ascii="Times New Roman" w:hAnsi="Times New Roman" w:cs="Times New Roman"/>
    </w:rPr>
  </w:style>
  <w:style w:type="character" w:customStyle="1" w:styleId="26">
    <w:name w:val="10"/>
    <w:basedOn w:val="13"/>
    <w:qFormat/>
    <w:uiPriority w:val="0"/>
    <w:rPr>
      <w:rFonts w:hint="default" w:ascii="Times New Roman" w:hAnsi="Times New Roman" w:cs="Times New Roman"/>
    </w:rPr>
  </w:style>
  <w:style w:type="character" w:customStyle="1" w:styleId="27">
    <w:name w:val="标题 6 Char"/>
    <w:basedOn w:val="13"/>
    <w:link w:val="7"/>
    <w:qFormat/>
    <w:locked/>
    <w:uiPriority w:val="0"/>
    <w:rPr>
      <w:rFonts w:hint="default" w:ascii="Cambria" w:hAnsi="Cambria" w:eastAsia="宋体" w:cs="Times New Roman"/>
      <w:b/>
      <w:sz w:val="24"/>
      <w:szCs w:val="24"/>
    </w:rPr>
  </w:style>
  <w:style w:type="character" w:customStyle="1" w:styleId="28">
    <w:name w:val="22"/>
    <w:basedOn w:val="13"/>
    <w:qFormat/>
    <w:uiPriority w:val="0"/>
    <w:rPr>
      <w:rFonts w:hint="eastAsia" w:ascii="宋体" w:hAnsi="宋体" w:eastAsia="宋体" w:cs="宋体"/>
      <w:sz w:val="18"/>
      <w:szCs w:val="18"/>
    </w:rPr>
  </w:style>
  <w:style w:type="character" w:customStyle="1" w:styleId="29">
    <w:name w:val="页脚 Char"/>
    <w:basedOn w:val="13"/>
    <w:link w:val="9"/>
    <w:qFormat/>
    <w:locked/>
    <w:uiPriority w:val="0"/>
    <w:rPr>
      <w:rFonts w:hint="eastAsia" w:ascii="宋体" w:hAnsi="宋体" w:eastAsia="宋体" w:cs="宋体"/>
      <w:sz w:val="18"/>
      <w:szCs w:val="18"/>
    </w:rPr>
  </w:style>
  <w:style w:type="paragraph" w:customStyle="1" w:styleId="30">
    <w:name w:val="HTML 预设格式 Char Char"/>
    <w:basedOn w:val="1"/>
    <w:qFormat/>
    <w:uiPriority w:val="0"/>
  </w:style>
  <w:style w:type="character" w:customStyle="1" w:styleId="31">
    <w:name w:val="标题 1 Char"/>
    <w:basedOn w:val="13"/>
    <w:link w:val="2"/>
    <w:qFormat/>
    <w:locked/>
    <w:uiPriority w:val="0"/>
    <w:rPr>
      <w:rFonts w:hint="eastAsia" w:ascii="宋体" w:hAnsi="宋体" w:eastAsia="宋体" w:cs="宋体"/>
      <w:b/>
      <w:kern w:val="44"/>
      <w:sz w:val="44"/>
      <w:szCs w:val="44"/>
    </w:rPr>
  </w:style>
  <w:style w:type="character" w:customStyle="1" w:styleId="32">
    <w:name w:val="标题 5 Char"/>
    <w:basedOn w:val="13"/>
    <w:link w:val="6"/>
    <w:qFormat/>
    <w:locked/>
    <w:uiPriority w:val="0"/>
    <w:rPr>
      <w:rFonts w:hint="eastAsia" w:ascii="宋体" w:hAnsi="宋体" w:eastAsia="宋体" w:cs="宋体"/>
      <w:b/>
      <w:sz w:val="28"/>
      <w:szCs w:val="28"/>
    </w:rPr>
  </w:style>
  <w:style w:type="character" w:customStyle="1" w:styleId="33">
    <w:name w:val="HTML 预设格式 Char"/>
    <w:basedOn w:val="13"/>
    <w:link w:val="11"/>
    <w:qFormat/>
    <w:locked/>
    <w:uiPriority w:val="0"/>
    <w:rPr>
      <w:rFonts w:hint="default" w:ascii="Courier New" w:hAnsi="Courier New" w:eastAsia="宋体" w:cs="Courier New"/>
    </w:rPr>
  </w:style>
  <w:style w:type="character" w:customStyle="1" w:styleId="34">
    <w:name w:val="页眉 Char"/>
    <w:basedOn w:val="13"/>
    <w:link w:val="10"/>
    <w:qFormat/>
    <w:locked/>
    <w:uiPriority w:val="0"/>
    <w:rPr>
      <w:rFonts w:hint="eastAsia" w:ascii="宋体" w:hAnsi="宋体" w:eastAsia="宋体" w:cs="宋体"/>
      <w:sz w:val="18"/>
      <w:szCs w:val="18"/>
    </w:rPr>
  </w:style>
  <w:style w:type="paragraph" w:customStyle="1" w:styleId="35">
    <w:name w:val="pre Char"/>
    <w:basedOn w:val="1"/>
    <w:qFormat/>
    <w:uiPriority w:val="0"/>
  </w:style>
  <w:style w:type="character" w:customStyle="1" w:styleId="36">
    <w:name w:val="17"/>
    <w:basedOn w:val="13"/>
    <w:qFormat/>
    <w:uiPriority w:val="0"/>
    <w:rPr>
      <w:rFonts w:hint="default" w:ascii="Times New Roman" w:hAnsi="Times New Roman" w:cs="Times New Roman"/>
    </w:rPr>
  </w:style>
  <w:style w:type="character" w:customStyle="1" w:styleId="37">
    <w:name w:val="日期 Char"/>
    <w:basedOn w:val="13"/>
    <w:link w:val="8"/>
    <w:qFormat/>
    <w:locked/>
    <w:uiPriority w:val="0"/>
    <w:rPr>
      <w:rFonts w:hint="eastAsia" w:ascii="宋体" w:hAnsi="宋体" w:eastAsia="宋体" w:cs="宋体"/>
      <w:sz w:val="24"/>
      <w:szCs w:val="24"/>
    </w:rPr>
  </w:style>
  <w:style w:type="character" w:customStyle="1" w:styleId="38">
    <w:name w:val="23"/>
    <w:basedOn w:val="13"/>
    <w:qFormat/>
    <w:uiPriority w:val="0"/>
    <w:rPr>
      <w:rFonts w:hint="default" w:ascii="Times New Roman" w:hAnsi="Times New Roman" w:cs="Times New Roman"/>
    </w:rPr>
  </w:style>
  <w:style w:type="paragraph" w:customStyle="1" w:styleId="39">
    <w:name w:val="HTML 预设格式 Char Char Char"/>
    <w:basedOn w:val="1"/>
    <w:qFormat/>
    <w:uiPriority w:val="0"/>
  </w:style>
  <w:style w:type="paragraph" w:customStyle="1" w:styleId="40">
    <w:name w:val="普通(网站) Char"/>
    <w:basedOn w:val="1"/>
    <w:qFormat/>
    <w:uiPriority w:val="0"/>
    <w:pPr>
      <w:spacing w:beforeAutospacing="1" w:afterAutospacing="1"/>
    </w:pPr>
  </w:style>
  <w:style w:type="paragraph" w:customStyle="1" w:styleId="41">
    <w:name w:val="p Char Char"/>
    <w:basedOn w:val="1"/>
    <w:qFormat/>
    <w:uiPriority w:val="0"/>
    <w:pPr>
      <w:spacing w:beforeAutospacing="1" w:afterAutospacing="1"/>
    </w:pPr>
  </w:style>
  <w:style w:type="paragraph" w:customStyle="1" w:styleId="42">
    <w:name w:val="p16"/>
    <w:basedOn w:val="1"/>
    <w:qFormat/>
    <w:uiPriority w:val="0"/>
    <w:pPr>
      <w:jc w:val="both"/>
    </w:pPr>
    <w:rPr>
      <w:rFonts w:hint="default" w:ascii="Calibri" w:hAnsi="Calibri" w:eastAsia="方正仿宋_GBK"/>
      <w:sz w:val="32"/>
      <w:szCs w:val="32"/>
    </w:rPr>
  </w:style>
  <w:style w:type="character" w:customStyle="1" w:styleId="43">
    <w:name w:val="18"/>
    <w:basedOn w:val="13"/>
    <w:qFormat/>
    <w:uiPriority w:val="0"/>
    <w:rPr>
      <w:rFonts w:hint="default" w:ascii="Calibri" w:hAnsi="Calibri" w:eastAsia="宋体" w:cs="Calibri"/>
      <w:kern w:val="2"/>
      <w:sz w:val="21"/>
      <w:szCs w:val="21"/>
    </w:rPr>
  </w:style>
  <w:style w:type="character" w:customStyle="1" w:styleId="44">
    <w:name w:val="21"/>
    <w:basedOn w:val="13"/>
    <w:qFormat/>
    <w:uiPriority w:val="0"/>
    <w:rPr>
      <w:rFonts w:hint="default" w:ascii="Times New Roman" w:hAnsi="Times New Roman" w:cs="Times New Roman"/>
    </w:rPr>
  </w:style>
  <w:style w:type="character" w:customStyle="1" w:styleId="45">
    <w:name w:val="19"/>
    <w:basedOn w:val="13"/>
    <w:qFormat/>
    <w:uiPriority w:val="0"/>
    <w:rPr>
      <w:rFonts w:hint="eastAsia" w:ascii="宋体" w:hAnsi="宋体" w:eastAsia="宋体" w:cs="宋体"/>
      <w:sz w:val="24"/>
      <w:szCs w:val="24"/>
    </w:rPr>
  </w:style>
  <w:style w:type="character" w:customStyle="1" w:styleId="46">
    <w:name w:val="15"/>
    <w:basedOn w:val="13"/>
    <w:qFormat/>
    <w:uiPriority w:val="0"/>
    <w:rPr>
      <w:rFonts w:hint="eastAsia" w:ascii="宋体" w:hAnsi="宋体" w:eastAsia="宋体" w:cs="宋体"/>
      <w:sz w:val="18"/>
      <w:szCs w:val="18"/>
    </w:rPr>
  </w:style>
  <w:style w:type="character" w:customStyle="1" w:styleId="47">
    <w:name w:val="16"/>
    <w:basedOn w:val="13"/>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2237</Words>
  <Characters>12754</Characters>
  <Lines>106</Lines>
  <Paragraphs>29</Paragraphs>
  <TotalTime>0</TotalTime>
  <ScaleCrop>false</ScaleCrop>
  <LinksUpToDate>false</LinksUpToDate>
  <CharactersWithSpaces>14962</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2020-11-18T18:01:00Z</dcterms:created>
  <dc:creator>RL</dc:creator>
  <cp:lastModifiedBy>区住房城乡建委（区人民防空办）</cp:lastModifiedBy>
  <dcterms:modified xsi:type="dcterms:W3CDTF">2022-11-30T02:24:49Z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