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0"/>
        <w:shd w:val="clear" w:color="auto" w:fill="FFFFFF"/>
        <w:autoSpaceDE w:val="0"/>
        <w:spacing w:line="576"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重庆市綦江区建设工程造价服务中心</w:t>
      </w:r>
    </w:p>
    <w:p>
      <w:pPr>
        <w:pStyle w:val="40"/>
        <w:shd w:val="clear" w:color="auto" w:fill="FFFFFF"/>
        <w:autoSpaceDE w:val="0"/>
        <w:spacing w:line="576" w:lineRule="exact"/>
        <w:jc w:val="center"/>
        <w:rPr>
          <w:rFonts w:hint="default" w:ascii="方正小标宋_GBK" w:hAnsi="方正小标宋_GBK" w:eastAsia="方正小标宋_GBK" w:cs="方正小标宋_GBK"/>
          <w:sz w:val="44"/>
          <w:szCs w:val="44"/>
          <w:shd w:val="clear" w:color="auto" w:fill="FFFFFF"/>
        </w:rPr>
      </w:pPr>
      <w:bookmarkStart w:id="0" w:name="_GoBack"/>
      <w:r>
        <w:rPr>
          <w:rFonts w:ascii="方正小标宋_GBK" w:hAnsi="方正小标宋_GBK" w:eastAsia="方正小标宋_GBK" w:cs="方正小标宋_GBK"/>
          <w:sz w:val="44"/>
          <w:szCs w:val="44"/>
          <w:shd w:val="clear" w:color="auto" w:fill="FFFFFF"/>
        </w:rPr>
        <w:t>20</w:t>
      </w:r>
      <w:r>
        <w:rPr>
          <w:rFonts w:hint="eastAsia" w:ascii="方正小标宋_GBK" w:hAnsi="方正小标宋_GBK" w:eastAsia="方正小标宋_GBK" w:cs="方正小标宋_GBK"/>
          <w:sz w:val="44"/>
          <w:szCs w:val="44"/>
          <w:shd w:val="clear" w:color="auto" w:fill="FFFFFF"/>
          <w:lang w:val="en-US" w:eastAsia="zh-CN"/>
        </w:rPr>
        <w:t>20</w:t>
      </w:r>
      <w:r>
        <w:rPr>
          <w:rFonts w:ascii="方正小标宋_GBK" w:hAnsi="方正小标宋_GBK" w:eastAsia="方正小标宋_GBK" w:cs="方正小标宋_GBK"/>
          <w:sz w:val="44"/>
          <w:szCs w:val="44"/>
          <w:shd w:val="clear" w:color="auto" w:fill="FFFFFF"/>
        </w:rPr>
        <w:t>年度部门决算情况说明</w:t>
      </w:r>
    </w:p>
    <w:bookmarkEnd w:id="0"/>
    <w:p>
      <w:pPr>
        <w:pStyle w:val="40"/>
        <w:shd w:val="clear" w:color="auto" w:fill="FFFFFF"/>
        <w:autoSpaceDE w:val="0"/>
        <w:spacing w:line="576" w:lineRule="exact"/>
        <w:jc w:val="both"/>
        <w:rPr>
          <w:rFonts w:hint="default" w:ascii="方正仿宋_GBK" w:hAnsi="方正仿宋_GBK" w:eastAsia="方正仿宋_GBK" w:cs="方正仿宋_GBK"/>
          <w:sz w:val="32"/>
          <w:szCs w:val="32"/>
          <w:shd w:val="clear" w:color="auto" w:fill="FFFFFF"/>
        </w:rPr>
      </w:pPr>
    </w:p>
    <w:p>
      <w:pPr>
        <w:pStyle w:val="40"/>
        <w:widowControl w:val="0"/>
        <w:shd w:val="clear" w:color="auto" w:fill="FFFFFF"/>
        <w:autoSpaceDE w:val="0"/>
        <w:spacing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一、部门基本情况</w:t>
      </w:r>
    </w:p>
    <w:p>
      <w:pPr>
        <w:pStyle w:val="40"/>
        <w:widowControl w:val="0"/>
        <w:shd w:val="clear" w:color="auto" w:fill="FFFFFF"/>
        <w:autoSpaceDE w:val="0"/>
        <w:spacing w:line="576" w:lineRule="exact"/>
        <w:ind w:firstLine="640" w:firstLineChars="200"/>
        <w:jc w:val="both"/>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（一）职能职责</w:t>
      </w:r>
    </w:p>
    <w:p>
      <w:pPr>
        <w:autoSpaceDN w:val="0"/>
        <w:spacing w:line="560" w:lineRule="exact"/>
        <w:ind w:firstLine="640"/>
        <w:rPr>
          <w:rFonts w:hint="eastAsia" w:eastAsia="方正仿宋_GBK"/>
          <w:sz w:val="32"/>
        </w:rPr>
      </w:pPr>
      <w:r>
        <w:rPr>
          <w:rFonts w:hint="eastAsia" w:eastAsia="方正仿宋_GBK"/>
          <w:sz w:val="32"/>
        </w:rPr>
        <w:t>1．贯彻执行建设工程（指房屋建筑和市政设施工程，下同）招标投标有关法律、法规和各项规章制度, 拟订建设工程招标投标政策，贯彻执行国家、市有关工程造价的方针政策和法律法规。</w:t>
      </w:r>
    </w:p>
    <w:p>
      <w:pPr>
        <w:autoSpaceDN w:val="0"/>
        <w:spacing w:line="560" w:lineRule="exact"/>
        <w:ind w:firstLine="640"/>
        <w:rPr>
          <w:rFonts w:hint="eastAsia" w:eastAsia="方正仿宋_GBK"/>
          <w:sz w:val="32"/>
        </w:rPr>
      </w:pPr>
      <w:r>
        <w:rPr>
          <w:rFonts w:hint="eastAsia" w:eastAsia="方正仿宋_GBK"/>
          <w:sz w:val="32"/>
        </w:rPr>
        <w:t xml:space="preserve">2．协助主管部门负责建设工程招标代理机构、造价咨询机构资质管理。 </w:t>
      </w:r>
    </w:p>
    <w:p>
      <w:pPr>
        <w:autoSpaceDN w:val="0"/>
        <w:spacing w:line="560" w:lineRule="exact"/>
        <w:ind w:firstLine="640"/>
        <w:rPr>
          <w:rFonts w:hint="eastAsia" w:eastAsia="方正仿宋_GBK"/>
          <w:sz w:val="32"/>
        </w:rPr>
      </w:pPr>
      <w:r>
        <w:rPr>
          <w:rFonts w:hint="eastAsia" w:eastAsia="方正仿宋_GBK"/>
          <w:sz w:val="32"/>
        </w:rPr>
        <w:t>3．协助查处建设工程招标投标活动中的违法、违规行为，配合建立建筑企业诚信综合评价体系，协调工程造价活动中有关工程造价的争议，调解、鉴定工程造价经济纠纷。</w:t>
      </w:r>
    </w:p>
    <w:p>
      <w:pPr>
        <w:autoSpaceDN w:val="0"/>
        <w:spacing w:line="560" w:lineRule="exact"/>
        <w:ind w:firstLine="640"/>
        <w:rPr>
          <w:rFonts w:hint="eastAsia" w:eastAsia="方正仿宋_GBK"/>
          <w:sz w:val="32"/>
        </w:rPr>
      </w:pPr>
      <w:r>
        <w:rPr>
          <w:rFonts w:hint="eastAsia" w:eastAsia="方正仿宋_GBK"/>
          <w:sz w:val="32"/>
        </w:rPr>
        <w:t>4．负责执业造价工程师的继续教育、注册和全区建设工程造价人员的培训、继续教育，承担建设工程造价咨询企业和造价人员监督管理的事务性工作。</w:t>
      </w:r>
    </w:p>
    <w:p>
      <w:pPr>
        <w:autoSpaceDN w:val="0"/>
        <w:spacing w:line="560" w:lineRule="exact"/>
        <w:ind w:firstLine="640"/>
        <w:rPr>
          <w:rFonts w:hint="default" w:ascii="方正楷体_GBK" w:hAnsi="方正楷体_GBK" w:eastAsia="方正楷体_GBK" w:cs="方正楷体_GBK"/>
          <w:sz w:val="32"/>
          <w:szCs w:val="32"/>
          <w:shd w:val="clear" w:color="auto" w:fill="FFFFFF"/>
        </w:rPr>
      </w:pPr>
      <w:r>
        <w:rPr>
          <w:rFonts w:hint="eastAsia" w:eastAsia="方正仿宋_GBK"/>
          <w:sz w:val="32"/>
        </w:rPr>
        <w:t>5．完成主管部门交办的其他工作。</w:t>
      </w:r>
    </w:p>
    <w:p>
      <w:pPr>
        <w:pStyle w:val="40"/>
        <w:widowControl w:val="0"/>
        <w:shd w:val="clear" w:color="auto" w:fill="FFFFFF"/>
        <w:autoSpaceDE w:val="0"/>
        <w:spacing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二、部门决算情况说明</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（一）收入支出决算总体情况说明</w:t>
      </w:r>
    </w:p>
    <w:p>
      <w:pPr>
        <w:pStyle w:val="40"/>
        <w:widowControl w:val="0"/>
        <w:shd w:val="clear" w:color="auto" w:fill="FFFFFF"/>
        <w:autoSpaceDE w:val="0"/>
        <w:spacing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1.总体情况</w:t>
      </w:r>
    </w:p>
    <w:p>
      <w:pPr>
        <w:pStyle w:val="40"/>
        <w:widowControl w:val="0"/>
        <w:shd w:val="clear" w:color="auto" w:fill="FFFFFF"/>
        <w:autoSpaceDE w:val="0"/>
        <w:spacing w:beforeAutospacing="0" w:afterAutospacing="0" w:line="57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年度收入总计</w:t>
      </w:r>
      <w:r>
        <w:rPr>
          <w:rFonts w:hint="eastAsia" w:ascii="方正仿宋_GBK" w:hAnsi="方正仿宋_GBK" w:eastAsia="方正仿宋_GBK" w:cs="方正仿宋_GBK"/>
          <w:sz w:val="32"/>
          <w:szCs w:val="32"/>
          <w:shd w:val="clear" w:color="auto" w:fill="FFFFFF"/>
          <w:lang w:val="en-US" w:eastAsia="zh-CN"/>
        </w:rPr>
        <w:t>96.22</w:t>
      </w:r>
      <w:r>
        <w:rPr>
          <w:rFonts w:ascii="方正仿宋_GBK" w:hAnsi="方正仿宋_GBK" w:eastAsia="方正仿宋_GBK" w:cs="方正仿宋_GBK"/>
          <w:sz w:val="32"/>
          <w:szCs w:val="32"/>
          <w:shd w:val="clear" w:color="auto" w:fill="FFFFFF"/>
        </w:rPr>
        <w:t>万元，支出总计</w:t>
      </w:r>
      <w:r>
        <w:rPr>
          <w:rFonts w:hint="eastAsia" w:ascii="方正仿宋_GBK" w:hAnsi="方正仿宋_GBK" w:eastAsia="方正仿宋_GBK" w:cs="方正仿宋_GBK"/>
          <w:sz w:val="32"/>
          <w:szCs w:val="32"/>
          <w:shd w:val="clear" w:color="auto" w:fill="FFFFFF"/>
          <w:lang w:val="en-US" w:eastAsia="zh-CN"/>
        </w:rPr>
        <w:t>96.22</w:t>
      </w:r>
      <w:r>
        <w:rPr>
          <w:rFonts w:ascii="方正仿宋_GBK" w:hAnsi="方正仿宋_GBK" w:eastAsia="方正仿宋_GBK" w:cs="方正仿宋_GBK"/>
          <w:sz w:val="32"/>
          <w:szCs w:val="32"/>
          <w:shd w:val="clear" w:color="auto" w:fill="FFFFFF"/>
        </w:rPr>
        <w:t>万元。收支较上年决算数</w:t>
      </w:r>
      <w:r>
        <w:rPr>
          <w:rFonts w:hint="eastAsia" w:ascii="方正仿宋_GBK" w:hAnsi="方正仿宋_GBK" w:eastAsia="方正仿宋_GBK" w:cs="方正仿宋_GBK"/>
          <w:sz w:val="32"/>
          <w:szCs w:val="32"/>
          <w:shd w:val="clear" w:color="auto" w:fill="FFFFFF"/>
          <w:lang w:val="en-US" w:eastAsia="zh-CN"/>
        </w:rPr>
        <w:t>增加44.69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上升86.73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上升</w:t>
      </w:r>
      <w:r>
        <w:rPr>
          <w:rFonts w:ascii="方正仿宋_GBK" w:hAnsi="方正仿宋_GBK" w:eastAsia="方正仿宋_GBK" w:cs="方正仿宋_GBK"/>
          <w:sz w:val="32"/>
          <w:szCs w:val="32"/>
          <w:shd w:val="clear" w:color="auto" w:fill="FFFFFF"/>
        </w:rPr>
        <w:t>的主要原因是：</w:t>
      </w:r>
      <w:r>
        <w:rPr>
          <w:rFonts w:hint="eastAsia" w:ascii="方正仿宋_GBK" w:hAnsi="方正仿宋_GBK" w:eastAsia="方正仿宋_GBK" w:cs="方正仿宋_GBK"/>
          <w:sz w:val="32"/>
          <w:szCs w:val="32"/>
          <w:shd w:val="clear" w:color="auto" w:fill="FFFFFF"/>
          <w:lang w:val="en-US" w:eastAsia="zh-CN"/>
        </w:rPr>
        <w:t>一是</w:t>
      </w:r>
      <w:r>
        <w:rPr>
          <w:rFonts w:ascii="方正仿宋_GBK" w:hAnsi="方正仿宋_GBK" w:eastAsia="方正仿宋_GBK" w:cs="方正仿宋_GBK"/>
          <w:sz w:val="32"/>
          <w:szCs w:val="32"/>
          <w:shd w:val="clear" w:color="auto" w:fill="FFFFFF"/>
        </w:rPr>
        <w:t>城乡社区支出预算收入</w:t>
      </w:r>
      <w:r>
        <w:rPr>
          <w:rFonts w:hint="eastAsia" w:ascii="方正仿宋_GBK" w:hAnsi="方正仿宋_GBK" w:eastAsia="方正仿宋_GBK" w:cs="方正仿宋_GBK"/>
          <w:sz w:val="32"/>
          <w:szCs w:val="32"/>
          <w:shd w:val="clear" w:color="auto" w:fill="FFFFFF"/>
        </w:rPr>
        <w:t>71.44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较上年增加33.2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二是</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rPr>
        <w:t>80.31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较上年增加41.51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2.收入情况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年度收入合计</w:t>
      </w:r>
      <w:r>
        <w:rPr>
          <w:rFonts w:hint="eastAsia" w:ascii="方正仿宋_GBK" w:hAnsi="方正仿宋_GBK" w:eastAsia="方正仿宋_GBK" w:cs="方正仿宋_GBK"/>
          <w:sz w:val="32"/>
          <w:szCs w:val="32"/>
          <w:shd w:val="clear" w:color="auto" w:fill="FFFFFF"/>
        </w:rPr>
        <w:t>81.28</w:t>
      </w:r>
      <w:r>
        <w:rPr>
          <w:rFonts w:ascii="方正仿宋_GBK" w:hAnsi="方正仿宋_GBK" w:eastAsia="方正仿宋_GBK" w:cs="方正仿宋_GBK"/>
          <w:sz w:val="32"/>
          <w:szCs w:val="32"/>
          <w:shd w:val="clear" w:color="auto" w:fill="FFFFFF"/>
        </w:rPr>
        <w:t>万元，较上年决算数增加</w:t>
      </w:r>
      <w:r>
        <w:rPr>
          <w:rFonts w:hint="eastAsia" w:ascii="方正仿宋_GBK" w:hAnsi="方正仿宋_GBK" w:eastAsia="方正仿宋_GBK" w:cs="方正仿宋_GBK"/>
          <w:sz w:val="32"/>
          <w:szCs w:val="32"/>
          <w:shd w:val="clear" w:color="auto" w:fill="FFFFFF"/>
          <w:lang w:val="en-US" w:eastAsia="zh-CN"/>
        </w:rPr>
        <w:t>33.66</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70.68</w:t>
      </w:r>
      <w:r>
        <w:rPr>
          <w:rFonts w:ascii="方正仿宋_GBK" w:hAnsi="方正仿宋_GBK" w:eastAsia="方正仿宋_GBK" w:cs="方正仿宋_GBK"/>
          <w:sz w:val="32"/>
          <w:szCs w:val="32"/>
          <w:shd w:val="clear" w:color="auto" w:fill="FFFFFF"/>
        </w:rPr>
        <w:t>%，增长的主要原因是：社会保障和就业支出预算收入</w:t>
      </w:r>
      <w:r>
        <w:rPr>
          <w:rFonts w:hint="eastAsia" w:ascii="方正仿宋_GBK" w:hAnsi="方正仿宋_GBK" w:eastAsia="方正仿宋_GBK" w:cs="方正仿宋_GBK"/>
          <w:sz w:val="32"/>
          <w:szCs w:val="32"/>
          <w:shd w:val="clear" w:color="auto" w:fill="FFFFFF"/>
        </w:rPr>
        <w:t>5.58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较上年减少0.07</w:t>
      </w:r>
      <w:r>
        <w:rPr>
          <w:rFonts w:ascii="方正仿宋_GBK" w:hAnsi="方正仿宋_GBK" w:eastAsia="方正仿宋_GBK" w:cs="方正仿宋_GBK"/>
          <w:sz w:val="32"/>
          <w:szCs w:val="32"/>
          <w:shd w:val="clear" w:color="auto" w:fill="FFFFFF"/>
        </w:rPr>
        <w:t>万元；卫生健康支出预算收入</w:t>
      </w:r>
      <w:r>
        <w:rPr>
          <w:rFonts w:hint="eastAsia" w:ascii="方正仿宋_GBK" w:hAnsi="方正仿宋_GBK" w:eastAsia="方正仿宋_GBK" w:cs="方正仿宋_GBK"/>
          <w:sz w:val="32"/>
          <w:szCs w:val="32"/>
          <w:shd w:val="clear" w:color="auto" w:fill="FFFFFF"/>
        </w:rPr>
        <w:t>1.98</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1.36</w:t>
      </w:r>
      <w:r>
        <w:rPr>
          <w:rFonts w:ascii="方正仿宋_GBK" w:hAnsi="方正仿宋_GBK" w:eastAsia="方正仿宋_GBK" w:cs="方正仿宋_GBK"/>
          <w:sz w:val="32"/>
          <w:szCs w:val="32"/>
          <w:shd w:val="clear" w:color="auto" w:fill="FFFFFF"/>
        </w:rPr>
        <w:t>万元；城乡社区支出预算收入</w:t>
      </w:r>
      <w:r>
        <w:rPr>
          <w:rFonts w:hint="eastAsia" w:ascii="方正仿宋_GBK" w:hAnsi="方正仿宋_GBK" w:eastAsia="方正仿宋_GBK" w:cs="方正仿宋_GBK"/>
          <w:sz w:val="32"/>
          <w:szCs w:val="32"/>
          <w:shd w:val="clear" w:color="auto" w:fill="FFFFFF"/>
        </w:rPr>
        <w:t>71.44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较上年增加33.2</w:t>
      </w:r>
      <w:r>
        <w:rPr>
          <w:rFonts w:ascii="方正仿宋_GBK" w:hAnsi="方正仿宋_GBK" w:eastAsia="方正仿宋_GBK" w:cs="方正仿宋_GBK"/>
          <w:sz w:val="32"/>
          <w:szCs w:val="32"/>
          <w:shd w:val="clear" w:color="auto" w:fill="FFFFFF"/>
        </w:rPr>
        <w:t>万元；住房保障支出预算收入</w:t>
      </w:r>
      <w:r>
        <w:rPr>
          <w:rFonts w:hint="eastAsia" w:ascii="方正仿宋_GBK" w:hAnsi="方正仿宋_GBK" w:eastAsia="方正仿宋_GBK" w:cs="方正仿宋_GBK"/>
          <w:sz w:val="32"/>
          <w:szCs w:val="32"/>
          <w:shd w:val="clear" w:color="auto" w:fill="FFFFFF"/>
        </w:rPr>
        <w:t>2.28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较上年减少0.83</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shd w:val="clear" w:color="auto" w:fill="FFFFFF"/>
        </w:rPr>
        <w:t>81.28</w:t>
      </w:r>
      <w:r>
        <w:rPr>
          <w:rFonts w:ascii="方正仿宋_GBK" w:hAnsi="方正仿宋_GBK" w:eastAsia="方正仿宋_GBK" w:cs="方正仿宋_GBK"/>
          <w:sz w:val="32"/>
          <w:szCs w:val="32"/>
          <w:shd w:val="clear" w:color="auto" w:fill="FFFFFF"/>
        </w:rPr>
        <w:t>万元，占当年收入的100.00%；年初结转和结余</w:t>
      </w:r>
      <w:r>
        <w:rPr>
          <w:rFonts w:hint="eastAsia" w:ascii="方正仿宋_GBK" w:hAnsi="方正仿宋_GBK" w:eastAsia="方正仿宋_GBK" w:cs="方正仿宋_GBK"/>
          <w:sz w:val="32"/>
          <w:szCs w:val="32"/>
          <w:shd w:val="clear" w:color="auto" w:fill="FFFFFF"/>
        </w:rPr>
        <w:t>14.95</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3.支出情况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年度支出合计</w:t>
      </w:r>
      <w:r>
        <w:rPr>
          <w:rFonts w:hint="eastAsia" w:ascii="方正仿宋_GBK" w:hAnsi="方正仿宋_GBK" w:eastAsia="方正仿宋_GBK" w:cs="方正仿宋_GBK"/>
          <w:sz w:val="32"/>
          <w:szCs w:val="32"/>
          <w:shd w:val="clear" w:color="auto" w:fill="FFFFFF"/>
        </w:rPr>
        <w:t>92.88</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增加45.42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上升95.70</w:t>
      </w:r>
      <w:r>
        <w:rPr>
          <w:rFonts w:ascii="方正仿宋_GBK" w:hAnsi="方正仿宋_GBK" w:eastAsia="方正仿宋_GBK" w:cs="方正仿宋_GBK"/>
          <w:sz w:val="32"/>
          <w:szCs w:val="32"/>
          <w:shd w:val="clear" w:color="auto" w:fill="FFFFFF"/>
        </w:rPr>
        <w:t>%，主要原因是：社会保障和就业支出</w:t>
      </w:r>
      <w:r>
        <w:rPr>
          <w:rFonts w:hint="eastAsia"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较上年增加2.76</w:t>
      </w:r>
      <w:r>
        <w:rPr>
          <w:rFonts w:ascii="方正仿宋_GBK" w:hAnsi="方正仿宋_GBK" w:eastAsia="方正仿宋_GBK" w:cs="方正仿宋_GBK"/>
          <w:sz w:val="32"/>
          <w:szCs w:val="32"/>
          <w:shd w:val="clear" w:color="auto" w:fill="FFFFFF"/>
        </w:rPr>
        <w:t>万元；卫生健康支出</w:t>
      </w:r>
      <w:r>
        <w:rPr>
          <w:rFonts w:hint="eastAsia" w:ascii="方正仿宋_GBK" w:hAnsi="方正仿宋_GBK" w:eastAsia="方正仿宋_GBK" w:cs="方正仿宋_GBK"/>
          <w:sz w:val="32"/>
          <w:szCs w:val="32"/>
          <w:shd w:val="clear" w:color="auto" w:fill="FFFFFF"/>
        </w:rPr>
        <w:t>2.12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较上年增加1.64</w:t>
      </w:r>
      <w:r>
        <w:rPr>
          <w:rFonts w:ascii="方正仿宋_GBK" w:hAnsi="方正仿宋_GBK" w:eastAsia="方正仿宋_GBK" w:cs="方正仿宋_GBK"/>
          <w:sz w:val="32"/>
          <w:szCs w:val="32"/>
          <w:shd w:val="clear" w:color="auto" w:fill="FFFFFF"/>
        </w:rPr>
        <w:t>万元；城乡社区支出</w:t>
      </w:r>
      <w:r>
        <w:rPr>
          <w:rFonts w:hint="eastAsia" w:ascii="方正仿宋_GBK" w:hAnsi="方正仿宋_GBK" w:eastAsia="方正仿宋_GBK" w:cs="方正仿宋_GBK"/>
          <w:sz w:val="32"/>
          <w:szCs w:val="32"/>
          <w:shd w:val="clear" w:color="auto" w:fill="FFFFFF"/>
        </w:rPr>
        <w:t>80.31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较上年增加41.51</w:t>
      </w:r>
      <w:r>
        <w:rPr>
          <w:rFonts w:ascii="方正仿宋_GBK" w:hAnsi="方正仿宋_GBK" w:eastAsia="方正仿宋_GBK" w:cs="方正仿宋_GBK"/>
          <w:sz w:val="32"/>
          <w:szCs w:val="32"/>
          <w:shd w:val="clear" w:color="auto" w:fill="FFFFFF"/>
        </w:rPr>
        <w:t>万元；住房保障支出</w:t>
      </w:r>
      <w:r>
        <w:rPr>
          <w:rFonts w:hint="eastAsia" w:ascii="方正仿宋_GBK" w:hAnsi="方正仿宋_GBK" w:eastAsia="方正仿宋_GBK" w:cs="方正仿宋_GBK"/>
          <w:sz w:val="32"/>
          <w:szCs w:val="32"/>
          <w:shd w:val="clear" w:color="auto" w:fill="FFFFFF"/>
        </w:rPr>
        <w:t>2.46</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0.47</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hint="eastAsia" w:ascii="方正仿宋_GBK" w:hAnsi="方正仿宋_GBK" w:eastAsia="方正仿宋_GBK" w:cs="方正仿宋_GBK"/>
          <w:sz w:val="32"/>
          <w:szCs w:val="32"/>
          <w:shd w:val="clear" w:color="auto" w:fill="FFFFFF"/>
        </w:rPr>
        <w:t>51.35</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55.29</w:t>
      </w:r>
      <w:r>
        <w:rPr>
          <w:rFonts w:ascii="方正仿宋_GBK" w:hAnsi="方正仿宋_GBK" w:eastAsia="方正仿宋_GBK" w:cs="方正仿宋_GBK"/>
          <w:sz w:val="32"/>
          <w:szCs w:val="32"/>
          <w:shd w:val="clear" w:color="auto" w:fill="FFFFFF"/>
        </w:rPr>
        <w:t>%；项目支出</w:t>
      </w:r>
      <w:r>
        <w:rPr>
          <w:rFonts w:hint="eastAsia" w:ascii="方正仿宋_GBK" w:hAnsi="方正仿宋_GBK" w:eastAsia="方正仿宋_GBK" w:cs="方正仿宋_GBK"/>
          <w:sz w:val="32"/>
          <w:szCs w:val="32"/>
          <w:shd w:val="clear" w:color="auto" w:fill="FFFFFF"/>
        </w:rPr>
        <w:t>41.53</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44.71</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4.结转结余情况</w:t>
      </w:r>
    </w:p>
    <w:p>
      <w:pPr>
        <w:pStyle w:val="40"/>
        <w:widowControl w:val="0"/>
        <w:shd w:val="clear" w:color="auto" w:fill="FFFFFF"/>
        <w:autoSpaceDE w:val="0"/>
        <w:spacing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年度年末结转和结余</w:t>
      </w:r>
      <w:r>
        <w:rPr>
          <w:rFonts w:hint="eastAsia" w:ascii="方正仿宋_GBK" w:hAnsi="方正仿宋_GBK" w:eastAsia="方正仿宋_GBK" w:cs="方正仿宋_GBK"/>
          <w:sz w:val="32"/>
          <w:szCs w:val="32"/>
          <w:shd w:val="clear" w:color="auto" w:fill="FFFFFF"/>
        </w:rPr>
        <w:t>3.34</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减少0.73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下降17.94</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减少</w:t>
      </w:r>
      <w:r>
        <w:rPr>
          <w:rFonts w:ascii="方正仿宋_GBK" w:hAnsi="方正仿宋_GBK" w:eastAsia="方正仿宋_GBK" w:cs="方正仿宋_GBK"/>
          <w:sz w:val="32"/>
          <w:szCs w:val="32"/>
          <w:shd w:val="clear" w:color="auto" w:fill="FFFFFF"/>
        </w:rPr>
        <w:t>的主要原因是</w:t>
      </w:r>
      <w:r>
        <w:rPr>
          <w:rFonts w:hint="eastAsia" w:ascii="方正仿宋_GBK" w:hAnsi="方正仿宋_GBK" w:eastAsia="方正仿宋_GBK" w:cs="方正仿宋_GBK"/>
          <w:sz w:val="32"/>
          <w:szCs w:val="32"/>
          <w:shd w:val="clear" w:color="auto" w:fill="FFFFFF"/>
          <w:lang w:val="en-US" w:eastAsia="zh-CN"/>
        </w:rPr>
        <w:t>:2020年已经支付出去，结转结余减少。</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（二）财政拨款收入支出决算总体情况说明</w:t>
      </w:r>
    </w:p>
    <w:p>
      <w:pPr>
        <w:pStyle w:val="40"/>
        <w:widowControl w:val="0"/>
        <w:shd w:val="clear" w:color="auto" w:fill="FFFFFF"/>
        <w:autoSpaceDE w:val="0"/>
        <w:spacing w:line="57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年度财政拨款收、支总计</w:t>
      </w:r>
      <w:r>
        <w:rPr>
          <w:rFonts w:hint="eastAsia" w:ascii="方正仿宋_GBK" w:hAnsi="方正仿宋_GBK" w:eastAsia="方正仿宋_GBK" w:cs="方正仿宋_GBK"/>
          <w:sz w:val="32"/>
          <w:szCs w:val="32"/>
          <w:shd w:val="clear" w:color="auto" w:fill="FFFFFF"/>
        </w:rPr>
        <w:t>96.22</w:t>
      </w:r>
      <w:r>
        <w:rPr>
          <w:rFonts w:ascii="方正仿宋_GBK" w:hAnsi="方正仿宋_GBK" w:eastAsia="方正仿宋_GBK" w:cs="方正仿宋_GBK"/>
          <w:sz w:val="32"/>
          <w:szCs w:val="32"/>
          <w:shd w:val="clear" w:color="auto" w:fill="FFFFFF"/>
        </w:rPr>
        <w:t>万元。与201</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年相比，财政拨款收、支总计各</w:t>
      </w:r>
      <w:r>
        <w:rPr>
          <w:rFonts w:hint="eastAsia" w:ascii="方正仿宋_GBK" w:hAnsi="方正仿宋_GBK" w:eastAsia="方正仿宋_GBK" w:cs="方正仿宋_GBK"/>
          <w:sz w:val="32"/>
          <w:szCs w:val="32"/>
          <w:shd w:val="clear" w:color="auto" w:fill="FFFFFF"/>
          <w:lang w:val="en-US" w:eastAsia="zh-CN"/>
        </w:rPr>
        <w:t>增加44.69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上升86.73</w:t>
      </w:r>
      <w:r>
        <w:rPr>
          <w:rFonts w:ascii="方正仿宋_GBK" w:hAnsi="方正仿宋_GBK" w:eastAsia="方正仿宋_GBK" w:cs="方正仿宋_GBK"/>
          <w:sz w:val="32"/>
          <w:szCs w:val="32"/>
          <w:shd w:val="clear" w:color="auto" w:fill="FFFFFF"/>
        </w:rPr>
        <w:t>%，主要原因是：</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（三）一般公共预算财政拨款支出决算情况说明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1.收入情况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年度一般公共预算财政拨款收入</w:t>
      </w:r>
      <w:r>
        <w:rPr>
          <w:rFonts w:hint="eastAsia" w:ascii="方正仿宋_GBK" w:hAnsi="方正仿宋_GBK" w:eastAsia="方正仿宋_GBK" w:cs="方正仿宋_GBK"/>
          <w:sz w:val="32"/>
          <w:szCs w:val="32"/>
          <w:shd w:val="clear" w:color="auto" w:fill="FFFFFF"/>
        </w:rPr>
        <w:t>81.28</w:t>
      </w:r>
      <w:r>
        <w:rPr>
          <w:rFonts w:ascii="方正仿宋_GBK" w:hAnsi="方正仿宋_GBK" w:eastAsia="方正仿宋_GBK" w:cs="方正仿宋_GBK"/>
          <w:sz w:val="32"/>
          <w:szCs w:val="32"/>
          <w:shd w:val="clear" w:color="auto" w:fill="FFFFFF"/>
        </w:rPr>
        <w:t>万元，较上年决算数增加</w:t>
      </w:r>
      <w:r>
        <w:rPr>
          <w:rFonts w:hint="eastAsia" w:ascii="方正仿宋_GBK" w:hAnsi="方正仿宋_GBK" w:eastAsia="方正仿宋_GBK" w:cs="方正仿宋_GBK"/>
          <w:sz w:val="32"/>
          <w:szCs w:val="32"/>
          <w:shd w:val="clear" w:color="auto" w:fill="FFFFFF"/>
          <w:lang w:val="en-US" w:eastAsia="zh-CN"/>
        </w:rPr>
        <w:t>33.66</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70.68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社会保障和就业支出</w:t>
      </w:r>
      <w:r>
        <w:rPr>
          <w:rFonts w:hint="eastAsia" w:ascii="方正仿宋_GBK" w:hAnsi="方正仿宋_GBK" w:eastAsia="方正仿宋_GBK" w:cs="方正仿宋_GBK"/>
          <w:sz w:val="32"/>
          <w:szCs w:val="32"/>
          <w:shd w:val="clear" w:color="auto" w:fill="FFFFFF"/>
          <w:lang w:val="en-US" w:eastAsia="zh-CN"/>
        </w:rPr>
        <w:t>预算收入</w:t>
      </w:r>
      <w:r>
        <w:rPr>
          <w:rFonts w:hint="eastAsia" w:ascii="方正仿宋_GBK" w:hAnsi="方正仿宋_GBK" w:eastAsia="方正仿宋_GBK" w:cs="方正仿宋_GBK"/>
          <w:sz w:val="32"/>
          <w:szCs w:val="32"/>
          <w:shd w:val="clear" w:color="auto" w:fill="FFFFFF"/>
        </w:rPr>
        <w:t>5.58</w:t>
      </w:r>
      <w:r>
        <w:rPr>
          <w:rFonts w:hint="eastAsia" w:ascii="方正仿宋_GBK" w:hAnsi="方正仿宋_GBK" w:eastAsia="方正仿宋_GBK" w:cs="方正仿宋_GBK"/>
          <w:sz w:val="32"/>
          <w:szCs w:val="32"/>
          <w:shd w:val="clear" w:color="auto" w:fill="FFFFFF"/>
          <w:lang w:val="en-US" w:eastAsia="zh-CN"/>
        </w:rPr>
        <w:t>万元，较上年减少0.07万元；卫生健康支出预算收入1.98万元，较上年增加1.36万元；城乡社区支出预算收入71.44万元，较上年增加33.2万元；住房保障支出预算收入2.28万元，较上年减少0.83万元。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shd w:val="clear" w:color="auto" w:fill="FFFFFF"/>
        </w:rPr>
        <w:t>14.95</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2.支出情况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年度一般公共预算财政拨款支出</w:t>
      </w:r>
      <w:r>
        <w:rPr>
          <w:rFonts w:hint="eastAsia" w:ascii="方正仿宋_GBK" w:hAnsi="方正仿宋_GBK" w:eastAsia="方正仿宋_GBK" w:cs="方正仿宋_GBK"/>
          <w:sz w:val="32"/>
          <w:szCs w:val="32"/>
          <w:shd w:val="clear" w:color="auto" w:fill="FFFFFF"/>
        </w:rPr>
        <w:t>92.88</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增加45.42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上升95.70</w:t>
      </w:r>
      <w:r>
        <w:rPr>
          <w:rFonts w:ascii="方正仿宋_GBK" w:hAnsi="方正仿宋_GBK" w:eastAsia="方正仿宋_GBK" w:cs="方正仿宋_GBK"/>
          <w:sz w:val="32"/>
          <w:szCs w:val="32"/>
          <w:shd w:val="clear" w:color="auto" w:fill="FFFFFF"/>
        </w:rPr>
        <w:t>%。从支出类别来看：基本支出比上年</w:t>
      </w:r>
      <w:r>
        <w:rPr>
          <w:rFonts w:hint="eastAsia" w:ascii="方正仿宋_GBK" w:hAnsi="方正仿宋_GBK" w:eastAsia="方正仿宋_GBK" w:cs="方正仿宋_GBK"/>
          <w:sz w:val="32"/>
          <w:szCs w:val="32"/>
          <w:shd w:val="clear" w:color="auto" w:fill="FFFFFF"/>
          <w:lang w:val="en-US" w:eastAsia="zh-CN"/>
        </w:rPr>
        <w:t>增加3.89</w:t>
      </w:r>
      <w:r>
        <w:rPr>
          <w:rFonts w:ascii="方正仿宋_GBK" w:hAnsi="方正仿宋_GBK" w:eastAsia="方正仿宋_GBK" w:cs="方正仿宋_GBK"/>
          <w:sz w:val="32"/>
          <w:szCs w:val="32"/>
          <w:shd w:val="clear" w:color="auto" w:fill="FFFFFF"/>
        </w:rPr>
        <w:t>万元，项目支出比上年</w:t>
      </w:r>
      <w:r>
        <w:rPr>
          <w:rFonts w:hint="eastAsia" w:ascii="方正仿宋_GBK" w:hAnsi="方正仿宋_GBK" w:eastAsia="方正仿宋_GBK" w:cs="方正仿宋_GBK"/>
          <w:sz w:val="32"/>
          <w:szCs w:val="32"/>
          <w:shd w:val="clear" w:color="auto" w:fill="FFFFFF"/>
          <w:lang w:val="en-US" w:eastAsia="zh-CN"/>
        </w:rPr>
        <w:t>增加41.53</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rPr>
        <w:t>社会保障和就业支出8</w:t>
      </w:r>
      <w:r>
        <w:rPr>
          <w:rFonts w:hint="eastAsia" w:ascii="方正仿宋_GBK" w:hAnsi="方正仿宋_GBK" w:eastAsia="方正仿宋_GBK" w:cs="方正仿宋_GBK"/>
          <w:sz w:val="32"/>
          <w:szCs w:val="32"/>
          <w:shd w:val="clear" w:color="auto" w:fill="FFFFFF"/>
          <w:lang w:val="en-US" w:eastAsia="zh-CN"/>
        </w:rPr>
        <w:t>万元，较上年增加2.76万元；卫生健康支出2.12万元，较上年增加1.64万元；城乡社区支出80.31万元，较上年增加41.51万元；住房保障支出2.46万元，较上年减少0.47万元。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3.结转结余情况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年度年末一般公共预算财政拨款结转和结余</w:t>
      </w:r>
      <w:r>
        <w:rPr>
          <w:rFonts w:hint="eastAsia" w:ascii="方正仿宋_GBK" w:hAnsi="方正仿宋_GBK" w:eastAsia="方正仿宋_GBK" w:cs="方正仿宋_GBK"/>
          <w:sz w:val="32"/>
          <w:szCs w:val="32"/>
          <w:shd w:val="clear" w:color="auto" w:fill="FFFFFF"/>
        </w:rPr>
        <w:t>3.34</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减少0.73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下降17.94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:2020年已经支付出去，结转结余减少。</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（四）一般公共预算财政拨款基本支出决算情况说明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lang w:val="en-US" w:eastAsia="zh-CN"/>
        </w:rPr>
        <w:t>020</w:t>
      </w:r>
      <w:r>
        <w:rPr>
          <w:rFonts w:ascii="方正仿宋_GBK" w:hAnsi="方正仿宋_GBK" w:eastAsia="方正仿宋_GBK" w:cs="方正仿宋_GBK"/>
          <w:sz w:val="32"/>
          <w:szCs w:val="32"/>
          <w:shd w:val="clear" w:color="auto" w:fill="FFFFFF"/>
        </w:rPr>
        <w:t>年度一般公共财政拨款基本支出</w:t>
      </w:r>
      <w:r>
        <w:rPr>
          <w:rFonts w:hint="eastAsia" w:ascii="方正仿宋_GBK" w:hAnsi="方正仿宋_GBK" w:eastAsia="方正仿宋_GBK" w:cs="方正仿宋_GBK"/>
          <w:sz w:val="32"/>
          <w:szCs w:val="32"/>
          <w:shd w:val="clear" w:color="auto" w:fill="FFFFFF"/>
          <w:lang w:val="en-US" w:eastAsia="zh-CN"/>
        </w:rPr>
        <w:t>51.35</w:t>
      </w:r>
      <w:r>
        <w:rPr>
          <w:rFonts w:ascii="方正仿宋_GBK" w:hAnsi="方正仿宋_GBK" w:eastAsia="方正仿宋_GBK" w:cs="方正仿宋_GBK"/>
          <w:sz w:val="32"/>
          <w:szCs w:val="32"/>
          <w:shd w:val="clear" w:color="auto" w:fill="FFFFFF"/>
        </w:rPr>
        <w:t>万元，其中：</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1.人员经费</w:t>
      </w:r>
      <w:r>
        <w:rPr>
          <w:rFonts w:hint="eastAsia" w:ascii="方正仿宋_GBK" w:hAnsi="方正仿宋_GBK" w:eastAsia="方正仿宋_GBK" w:cs="方正仿宋_GBK"/>
          <w:sz w:val="32"/>
          <w:szCs w:val="32"/>
          <w:shd w:val="clear" w:color="auto" w:fill="FFFFFF"/>
        </w:rPr>
        <w:t>46.34</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增加6.7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上升16.90</w:t>
      </w:r>
      <w:r>
        <w:rPr>
          <w:rFonts w:ascii="方正仿宋_GBK" w:hAnsi="方正仿宋_GBK" w:eastAsia="方正仿宋_GBK" w:cs="方正仿宋_GBK"/>
          <w:sz w:val="32"/>
          <w:szCs w:val="32"/>
          <w:shd w:val="clear" w:color="auto" w:fill="FFFFFF"/>
        </w:rPr>
        <w:t>%，主要原因是：</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（1）工资福利支出</w:t>
      </w:r>
      <w:r>
        <w:rPr>
          <w:rFonts w:hint="eastAsia" w:ascii="方正仿宋_GBK" w:hAnsi="方正仿宋_GBK" w:eastAsia="方正仿宋_GBK" w:cs="方正仿宋_GBK"/>
          <w:sz w:val="32"/>
          <w:szCs w:val="32"/>
          <w:shd w:val="clear" w:color="auto" w:fill="FFFFFF"/>
        </w:rPr>
        <w:t>43.44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较上年增加3.8</w:t>
      </w:r>
      <w:r>
        <w:rPr>
          <w:rFonts w:ascii="方正仿宋_GBK" w:hAnsi="方正仿宋_GBK" w:eastAsia="方正仿宋_GBK" w:cs="方正仿宋_GBK"/>
          <w:sz w:val="32"/>
          <w:szCs w:val="32"/>
          <w:shd w:val="clear" w:color="auto" w:fill="FFFFFF"/>
        </w:rPr>
        <w:t>万元，其中基本工资</w:t>
      </w:r>
      <w:r>
        <w:rPr>
          <w:rFonts w:hint="eastAsia" w:ascii="方正仿宋_GBK" w:hAnsi="方正仿宋_GBK" w:eastAsia="方正仿宋_GBK" w:cs="方正仿宋_GBK"/>
          <w:sz w:val="32"/>
          <w:szCs w:val="32"/>
          <w:shd w:val="clear" w:color="auto" w:fill="FFFFFF"/>
        </w:rPr>
        <w:t>4.76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较上年减少0.7</w:t>
      </w:r>
      <w:r>
        <w:rPr>
          <w:rFonts w:ascii="方正仿宋_GBK" w:hAnsi="方正仿宋_GBK" w:eastAsia="方正仿宋_GBK" w:cs="方正仿宋_GBK"/>
          <w:sz w:val="32"/>
          <w:szCs w:val="32"/>
          <w:shd w:val="clear" w:color="auto" w:fill="FFFFFF"/>
        </w:rPr>
        <w:t>万元；津贴补贴</w:t>
      </w:r>
      <w:r>
        <w:rPr>
          <w:rFonts w:hint="eastAsia" w:ascii="方正仿宋_GBK" w:hAnsi="方正仿宋_GBK" w:eastAsia="方正仿宋_GBK" w:cs="方正仿宋_GBK"/>
          <w:sz w:val="32"/>
          <w:szCs w:val="32"/>
          <w:shd w:val="clear" w:color="auto" w:fill="FFFFFF"/>
        </w:rPr>
        <w:t>0.48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较上年减少0.38</w:t>
      </w:r>
      <w:r>
        <w:rPr>
          <w:rFonts w:ascii="方正仿宋_GBK" w:hAnsi="方正仿宋_GBK" w:eastAsia="方正仿宋_GBK" w:cs="方正仿宋_GBK"/>
          <w:sz w:val="32"/>
          <w:szCs w:val="32"/>
          <w:shd w:val="clear" w:color="auto" w:fill="FFFFFF"/>
        </w:rPr>
        <w:t>万元；绩效工资</w:t>
      </w:r>
      <w:r>
        <w:rPr>
          <w:rFonts w:hint="eastAsia" w:ascii="方正仿宋_GBK" w:hAnsi="方正仿宋_GBK" w:eastAsia="方正仿宋_GBK" w:cs="方正仿宋_GBK"/>
          <w:sz w:val="32"/>
          <w:szCs w:val="32"/>
          <w:shd w:val="clear" w:color="auto" w:fill="FFFFFF"/>
        </w:rPr>
        <w:t>22.2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较上年减少0.52</w:t>
      </w:r>
      <w:r>
        <w:rPr>
          <w:rFonts w:ascii="方正仿宋_GBK" w:hAnsi="方正仿宋_GBK" w:eastAsia="方正仿宋_GBK" w:cs="方正仿宋_GBK"/>
          <w:sz w:val="32"/>
          <w:szCs w:val="32"/>
          <w:shd w:val="clear" w:color="auto" w:fill="FFFFFF"/>
        </w:rPr>
        <w:t>万元；机关事业单位基本养老保险费</w:t>
      </w:r>
      <w:r>
        <w:rPr>
          <w:rFonts w:hint="eastAsia" w:ascii="方正仿宋_GBK" w:hAnsi="方正仿宋_GBK" w:eastAsia="方正仿宋_GBK" w:cs="方正仿宋_GBK"/>
          <w:sz w:val="32"/>
          <w:szCs w:val="32"/>
          <w:shd w:val="clear" w:color="auto" w:fill="FFFFFF"/>
        </w:rPr>
        <w:t>3.01</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0.95</w:t>
      </w:r>
      <w:r>
        <w:rPr>
          <w:rFonts w:ascii="方正仿宋_GBK" w:hAnsi="方正仿宋_GBK" w:eastAsia="方正仿宋_GBK" w:cs="方正仿宋_GBK"/>
          <w:sz w:val="32"/>
          <w:szCs w:val="32"/>
          <w:shd w:val="clear" w:color="auto" w:fill="FFFFFF"/>
        </w:rPr>
        <w:t>万元；职业年金缴费</w:t>
      </w:r>
      <w:r>
        <w:rPr>
          <w:rFonts w:hint="eastAsia" w:ascii="方正仿宋_GBK" w:hAnsi="方正仿宋_GBK" w:eastAsia="方正仿宋_GBK" w:cs="方正仿宋_GBK"/>
          <w:sz w:val="32"/>
          <w:szCs w:val="32"/>
          <w:shd w:val="clear" w:color="auto" w:fill="FFFFFF"/>
        </w:rPr>
        <w:t>2.69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较上年增加1.41</w:t>
      </w:r>
      <w:r>
        <w:rPr>
          <w:rFonts w:ascii="方正仿宋_GBK" w:hAnsi="方正仿宋_GBK" w:eastAsia="方正仿宋_GBK" w:cs="方正仿宋_GBK"/>
          <w:sz w:val="32"/>
          <w:szCs w:val="32"/>
          <w:shd w:val="clear" w:color="auto" w:fill="FFFFFF"/>
        </w:rPr>
        <w:t>万元；职工基本医疗保险缴费</w:t>
      </w:r>
      <w:r>
        <w:rPr>
          <w:rFonts w:hint="eastAsia" w:ascii="方正仿宋_GBK" w:hAnsi="方正仿宋_GBK" w:eastAsia="方正仿宋_GBK" w:cs="方正仿宋_GBK"/>
          <w:sz w:val="32"/>
          <w:szCs w:val="32"/>
          <w:shd w:val="clear" w:color="auto" w:fill="FFFFFF"/>
        </w:rPr>
        <w:t>1.44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较上年增加1.44</w:t>
      </w:r>
      <w:r>
        <w:rPr>
          <w:rFonts w:ascii="方正仿宋_GBK" w:hAnsi="方正仿宋_GBK" w:eastAsia="方正仿宋_GBK" w:cs="方正仿宋_GBK"/>
          <w:sz w:val="32"/>
          <w:szCs w:val="32"/>
          <w:shd w:val="clear" w:color="auto" w:fill="FFFFFF"/>
        </w:rPr>
        <w:t>万元；其他社会保障缴费</w:t>
      </w:r>
      <w:r>
        <w:rPr>
          <w:rFonts w:hint="eastAsia" w:ascii="方正仿宋_GBK" w:hAnsi="方正仿宋_GBK" w:eastAsia="方正仿宋_GBK" w:cs="方正仿宋_GBK"/>
          <w:sz w:val="32"/>
          <w:szCs w:val="32"/>
          <w:shd w:val="clear" w:color="auto" w:fill="FFFFFF"/>
        </w:rPr>
        <w:t>0.58</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0.34</w:t>
      </w:r>
      <w:r>
        <w:rPr>
          <w:rFonts w:ascii="方正仿宋_GBK" w:hAnsi="方正仿宋_GBK" w:eastAsia="方正仿宋_GBK" w:cs="方正仿宋_GBK"/>
          <w:sz w:val="32"/>
          <w:szCs w:val="32"/>
          <w:shd w:val="clear" w:color="auto" w:fill="FFFFFF"/>
        </w:rPr>
        <w:t>万元；住房公积金</w:t>
      </w:r>
      <w:r>
        <w:rPr>
          <w:rFonts w:hint="eastAsia" w:ascii="方正仿宋_GBK" w:hAnsi="方正仿宋_GBK" w:eastAsia="方正仿宋_GBK" w:cs="方正仿宋_GBK"/>
          <w:sz w:val="32"/>
          <w:szCs w:val="32"/>
          <w:shd w:val="clear" w:color="auto" w:fill="FFFFFF"/>
        </w:rPr>
        <w:t>2.46</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0.47</w:t>
      </w:r>
      <w:r>
        <w:rPr>
          <w:rFonts w:ascii="方正仿宋_GBK" w:hAnsi="方正仿宋_GBK" w:eastAsia="方正仿宋_GBK" w:cs="方正仿宋_GBK"/>
          <w:sz w:val="32"/>
          <w:szCs w:val="32"/>
          <w:shd w:val="clear" w:color="auto" w:fill="FFFFFF"/>
        </w:rPr>
        <w:t>万元；医疗费</w:t>
      </w:r>
      <w:r>
        <w:rPr>
          <w:rFonts w:hint="eastAsia" w:ascii="方正仿宋_GBK" w:hAnsi="方正仿宋_GBK" w:eastAsia="方正仿宋_GBK" w:cs="方正仿宋_GBK"/>
          <w:sz w:val="32"/>
          <w:szCs w:val="32"/>
          <w:shd w:val="clear" w:color="auto" w:fill="FFFFFF"/>
        </w:rPr>
        <w:t>0.48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较上年增加0.48</w:t>
      </w:r>
      <w:r>
        <w:rPr>
          <w:rFonts w:ascii="方正仿宋_GBK" w:hAnsi="方正仿宋_GBK" w:eastAsia="方正仿宋_GBK" w:cs="方正仿宋_GBK"/>
          <w:sz w:val="32"/>
          <w:szCs w:val="32"/>
          <w:shd w:val="clear" w:color="auto" w:fill="FFFFFF"/>
        </w:rPr>
        <w:t>万元；其他工资福利支出</w:t>
      </w:r>
      <w:r>
        <w:rPr>
          <w:rFonts w:hint="eastAsia" w:ascii="方正仿宋_GBK" w:hAnsi="方正仿宋_GBK" w:eastAsia="方正仿宋_GBK" w:cs="方正仿宋_GBK"/>
          <w:sz w:val="32"/>
          <w:szCs w:val="32"/>
          <w:shd w:val="clear" w:color="auto" w:fill="FFFFFF"/>
        </w:rPr>
        <w:t>5.35</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3.85</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（2）对个人和家庭的补助</w:t>
      </w:r>
      <w:r>
        <w:rPr>
          <w:rFonts w:hint="eastAsia" w:ascii="方正仿宋_GBK" w:hAnsi="方正仿宋_GBK" w:eastAsia="方正仿宋_GBK" w:cs="方正仿宋_GBK"/>
          <w:sz w:val="32"/>
          <w:szCs w:val="32"/>
          <w:shd w:val="clear" w:color="auto" w:fill="FFFFFF"/>
        </w:rPr>
        <w:t>2.91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较上年增加2.91</w:t>
      </w:r>
      <w:r>
        <w:rPr>
          <w:rFonts w:ascii="方正仿宋_GBK" w:hAnsi="方正仿宋_GBK" w:eastAsia="方正仿宋_GBK" w:cs="方正仿宋_GBK"/>
          <w:sz w:val="32"/>
          <w:szCs w:val="32"/>
          <w:shd w:val="clear" w:color="auto" w:fill="FFFFFF"/>
        </w:rPr>
        <w:t>万元，其中生活补助</w:t>
      </w:r>
      <w:r>
        <w:rPr>
          <w:rFonts w:hint="eastAsia" w:ascii="方正仿宋_GBK" w:hAnsi="方正仿宋_GBK" w:eastAsia="方正仿宋_GBK" w:cs="方正仿宋_GBK"/>
          <w:sz w:val="32"/>
          <w:szCs w:val="32"/>
          <w:shd w:val="clear" w:color="auto" w:fill="FFFFFF"/>
        </w:rPr>
        <w:t>2.3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较上年增加2.3</w:t>
      </w:r>
      <w:r>
        <w:rPr>
          <w:rFonts w:ascii="方正仿宋_GBK" w:hAnsi="方正仿宋_GBK" w:eastAsia="方正仿宋_GBK" w:cs="方正仿宋_GBK"/>
          <w:sz w:val="32"/>
          <w:szCs w:val="32"/>
          <w:shd w:val="clear" w:color="auto" w:fill="FFFFFF"/>
        </w:rPr>
        <w:t>万元；医疗费补助</w:t>
      </w:r>
      <w:r>
        <w:rPr>
          <w:rFonts w:hint="eastAsia" w:ascii="方正仿宋_GBK" w:hAnsi="方正仿宋_GBK" w:eastAsia="方正仿宋_GBK" w:cs="方正仿宋_GBK"/>
          <w:sz w:val="32"/>
          <w:szCs w:val="32"/>
          <w:shd w:val="clear" w:color="auto" w:fill="FFFFFF"/>
        </w:rPr>
        <w:t>0.61</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0.61</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用途主要包括基本工资、津贴补贴、奖金、绩效工资、机关事业单位基本养老保险费、职业年金缴费、职工基本医疗保险缴费、公务员医疗补助缴费、其他社会保障缴费、住房公积金、其他工资福利支出、离休费、生活补助、医疗费补助、奖励金等。</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2.公用经费</w:t>
      </w:r>
      <w:r>
        <w:rPr>
          <w:rFonts w:hint="eastAsia" w:ascii="方正仿宋_GBK" w:hAnsi="方正仿宋_GBK" w:eastAsia="方正仿宋_GBK" w:cs="方正仿宋_GBK"/>
          <w:sz w:val="32"/>
          <w:szCs w:val="32"/>
          <w:shd w:val="clear" w:color="auto" w:fill="FFFFFF"/>
        </w:rPr>
        <w:t>5.01</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2.81</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35.93</w:t>
      </w:r>
      <w:r>
        <w:rPr>
          <w:rFonts w:ascii="方正仿宋_GBK" w:hAnsi="方正仿宋_GBK" w:eastAsia="方正仿宋_GBK" w:cs="方正仿宋_GBK"/>
          <w:sz w:val="32"/>
          <w:szCs w:val="32"/>
          <w:shd w:val="clear" w:color="auto" w:fill="FFFFFF"/>
        </w:rPr>
        <w:t>%，主要原因是：办公费</w:t>
      </w:r>
      <w:r>
        <w:rPr>
          <w:rFonts w:hint="eastAsia" w:ascii="方正仿宋_GBK" w:hAnsi="方正仿宋_GBK" w:eastAsia="方正仿宋_GBK" w:cs="方正仿宋_GBK"/>
          <w:sz w:val="32"/>
          <w:szCs w:val="32"/>
          <w:shd w:val="clear" w:color="auto" w:fill="FFFFFF"/>
        </w:rPr>
        <w:t>0.82</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0.29</w:t>
      </w:r>
      <w:r>
        <w:rPr>
          <w:rFonts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rPr>
        <w:t>3.73</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1.67</w:t>
      </w:r>
      <w:r>
        <w:rPr>
          <w:rFonts w:ascii="方正仿宋_GBK" w:hAnsi="方正仿宋_GBK" w:eastAsia="方正仿宋_GBK" w:cs="方正仿宋_GBK"/>
          <w:sz w:val="32"/>
          <w:szCs w:val="32"/>
          <w:shd w:val="clear" w:color="auto" w:fill="FFFFFF"/>
        </w:rPr>
        <w:t>万元；会议费</w:t>
      </w:r>
      <w:r>
        <w:rPr>
          <w:rFonts w:hint="eastAsia" w:ascii="方正仿宋_GBK" w:hAnsi="方正仿宋_GBK" w:eastAsia="方正仿宋_GBK" w:cs="方正仿宋_GBK"/>
          <w:sz w:val="32"/>
          <w:szCs w:val="32"/>
          <w:shd w:val="clear" w:color="auto" w:fill="FFFFFF"/>
        </w:rPr>
        <w:t>0.02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较上年减少0.19</w:t>
      </w:r>
      <w:r>
        <w:rPr>
          <w:rFonts w:ascii="方正仿宋_GBK" w:hAnsi="方正仿宋_GBK" w:eastAsia="方正仿宋_GBK" w:cs="方正仿宋_GBK"/>
          <w:sz w:val="32"/>
          <w:szCs w:val="32"/>
          <w:shd w:val="clear" w:color="auto" w:fill="FFFFFF"/>
        </w:rPr>
        <w:t>万元；培训费</w:t>
      </w:r>
      <w:r>
        <w:rPr>
          <w:rFonts w:hint="eastAsia" w:ascii="方正仿宋_GBK" w:hAnsi="方正仿宋_GBK" w:eastAsia="方正仿宋_GBK" w:cs="方正仿宋_GBK"/>
          <w:sz w:val="32"/>
          <w:szCs w:val="32"/>
          <w:shd w:val="clear" w:color="auto" w:fill="FFFFFF"/>
        </w:rPr>
        <w:t>0.05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较上年减少0.26</w:t>
      </w:r>
      <w:r>
        <w:rPr>
          <w:rFonts w:ascii="方正仿宋_GBK" w:hAnsi="方正仿宋_GBK" w:eastAsia="方正仿宋_GBK" w:cs="方正仿宋_GBK"/>
          <w:sz w:val="32"/>
          <w:szCs w:val="32"/>
          <w:shd w:val="clear" w:color="auto" w:fill="FFFFFF"/>
        </w:rPr>
        <w:t>万元；工会经费</w:t>
      </w:r>
      <w:r>
        <w:rPr>
          <w:rFonts w:hint="eastAsia" w:ascii="方正仿宋_GBK" w:hAnsi="方正仿宋_GBK" w:eastAsia="方正仿宋_GBK" w:cs="方正仿宋_GBK"/>
          <w:sz w:val="32"/>
          <w:szCs w:val="32"/>
          <w:shd w:val="clear" w:color="auto" w:fill="FFFFFF"/>
        </w:rPr>
        <w:t>0.38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较上年减少0.04</w:t>
      </w:r>
      <w:r>
        <w:rPr>
          <w:rFonts w:ascii="方正仿宋_GBK" w:hAnsi="方正仿宋_GBK" w:eastAsia="方正仿宋_GBK" w:cs="方正仿宋_GBK"/>
          <w:sz w:val="32"/>
          <w:szCs w:val="32"/>
          <w:shd w:val="clear" w:color="auto" w:fill="FFFFFF"/>
        </w:rPr>
        <w:t>万元；福利费</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较上年减少0.37</w:t>
      </w:r>
      <w:r>
        <w:rPr>
          <w:rFonts w:ascii="方正仿宋_GBK" w:hAnsi="方正仿宋_GBK" w:eastAsia="方正仿宋_GBK" w:cs="方正仿宋_GBK"/>
          <w:sz w:val="32"/>
          <w:szCs w:val="32"/>
          <w:shd w:val="clear" w:color="auto" w:fill="FFFFFF"/>
        </w:rPr>
        <w:t>万元；其他商品和服务支出</w:t>
      </w:r>
      <w:r>
        <w:rPr>
          <w:rFonts w:hint="eastAsia" w:ascii="方正仿宋_GBK" w:hAnsi="方正仿宋_GBK" w:eastAsia="方正仿宋_GBK" w:cs="方正仿宋_GBK"/>
          <w:sz w:val="32"/>
          <w:szCs w:val="32"/>
          <w:shd w:val="clear" w:color="auto" w:fill="FFFFFF"/>
        </w:rPr>
        <w:t>0.01</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0.01</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公用经费用途主要包括办公费、水费、电费、邮电费、物业管理费、差旅费、维修（护）费、会议费、培训费、工会经费、福利费、公务用车运行维护费、其他交通费用、其他商品和服务支出。</w:t>
      </w:r>
    </w:p>
    <w:p>
      <w:pPr>
        <w:pStyle w:val="40"/>
        <w:widowControl w:val="0"/>
        <w:shd w:val="clear" w:color="auto" w:fill="FFFFFF"/>
        <w:autoSpaceDE w:val="0"/>
        <w:spacing w:beforeAutospacing="0" w:afterAutospacing="0"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三、“三公”经费情况说明</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（一）“三公”经费支出总体情况说明</w:t>
      </w:r>
    </w:p>
    <w:p>
      <w:pPr>
        <w:pStyle w:val="40"/>
        <w:widowControl w:val="0"/>
        <w:shd w:val="clear" w:color="auto" w:fill="FFFFFF"/>
        <w:autoSpaceDE w:val="0"/>
        <w:spacing w:line="57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年度“三公”经费支出共计</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万元，较年初预算数</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未发生因公出国（境）费，未购置公务车辆，</w:t>
      </w:r>
      <w:r>
        <w:rPr>
          <w:rFonts w:hint="eastAsia" w:ascii="方正仿宋_GBK" w:hAnsi="方正仿宋_GBK" w:eastAsia="方正仿宋_GBK" w:cs="方正仿宋_GBK"/>
          <w:sz w:val="32"/>
          <w:szCs w:val="32"/>
          <w:shd w:val="clear" w:color="auto" w:fill="FFFFFF"/>
          <w:lang w:val="en-US" w:eastAsia="zh-CN"/>
        </w:rPr>
        <w:t>未发生公务用车运行维护费，</w:t>
      </w:r>
      <w:r>
        <w:rPr>
          <w:rFonts w:ascii="方正仿宋_GBK" w:hAnsi="方正仿宋_GBK" w:eastAsia="方正仿宋_GBK" w:cs="方正仿宋_GBK"/>
          <w:sz w:val="32"/>
          <w:szCs w:val="32"/>
          <w:shd w:val="clear" w:color="auto" w:fill="FFFFFF"/>
        </w:rPr>
        <w:t>未发生</w:t>
      </w:r>
      <w:r>
        <w:rPr>
          <w:rFonts w:hint="eastAsia"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（二）“三公”经费分项支出情况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年度本部门因公出国（境）费用</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万元，主要是我</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进一步规范因公出国（境）活动，今年未安排单位人员出国出访，未发生因公出国（境）费支出。</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sz w:val="32"/>
          <w:szCs w:val="32"/>
          <w:shd w:val="clear" w:color="auto" w:fill="FFFFFF"/>
          <w:lang w:val="en-US" w:eastAsia="zh-CN"/>
        </w:rPr>
        <w:t>我单位</w:t>
      </w:r>
      <w:r>
        <w:rPr>
          <w:rFonts w:ascii="方正仿宋_GBK" w:hAnsi="方正仿宋_GBK" w:eastAsia="方正仿宋_GBK" w:cs="方正仿宋_GBK"/>
          <w:sz w:val="32"/>
          <w:szCs w:val="32"/>
          <w:shd w:val="clear" w:color="auto" w:fill="FFFFFF"/>
        </w:rPr>
        <w:t>严格执行公务车改革规定，20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年未新购公务车辆。</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是我单位没有公务车。</w:t>
      </w:r>
    </w:p>
    <w:p>
      <w:pPr>
        <w:pStyle w:val="40"/>
        <w:widowControl w:val="0"/>
        <w:shd w:val="clear" w:color="auto" w:fill="FFFFFF"/>
        <w:autoSpaceDE w:val="0"/>
        <w:spacing w:line="57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万元，主要原因是我委认真贯彻落实中央八项规定精神和厉行节约要求，按照只减不增的要求从严控制三公经费，强化公务接待支出管理</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（三）“三公”经费实物量情况</w:t>
      </w:r>
    </w:p>
    <w:p>
      <w:pPr>
        <w:pStyle w:val="40"/>
        <w:widowControl w:val="0"/>
        <w:shd w:val="clear" w:color="auto" w:fill="FFFFFF"/>
        <w:autoSpaceDE w:val="0"/>
        <w:spacing w:beforeAutospacing="0" w:afterAutospacing="0" w:line="57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年度本部门因公出国（境）共计0个团组，0人；公务用车购置0辆，公务车保有量为</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辆；国内公务接待</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beforeAutospacing="0" w:afterAutospacing="0"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四、其他需要说明的事项</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（一）机关运行经费情况说明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年度本部门机关运行经费支出</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万元。机关运行经费较上年</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此外，本年度一般公共预算财政拨款会议费支出</w:t>
      </w:r>
      <w:r>
        <w:rPr>
          <w:rFonts w:hint="eastAsia" w:ascii="方正仿宋_GBK" w:hAnsi="方正仿宋_GBK" w:eastAsia="方正仿宋_GBK" w:cs="方正仿宋_GBK"/>
          <w:sz w:val="32"/>
          <w:szCs w:val="32"/>
          <w:shd w:val="clear" w:color="auto" w:fill="FFFFFF"/>
        </w:rPr>
        <w:t>0.02</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减少0.19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下降90.48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召开会议减少</w:t>
      </w:r>
      <w:r>
        <w:rPr>
          <w:rFonts w:ascii="方正仿宋_GBK" w:hAnsi="方正仿宋_GBK" w:eastAsia="方正仿宋_GBK" w:cs="方正仿宋_GBK"/>
          <w:sz w:val="32"/>
          <w:szCs w:val="32"/>
          <w:shd w:val="clear" w:color="auto" w:fill="FFFFFF"/>
        </w:rPr>
        <w:t>。本年度一般公共预算财政拨款培训费支出</w:t>
      </w:r>
      <w:r>
        <w:rPr>
          <w:rFonts w:hint="eastAsia" w:ascii="方正仿宋_GBK" w:hAnsi="方正仿宋_GBK" w:eastAsia="方正仿宋_GBK" w:cs="方正仿宋_GBK"/>
          <w:sz w:val="32"/>
          <w:szCs w:val="32"/>
          <w:shd w:val="clear" w:color="auto" w:fill="FFFFFF"/>
        </w:rPr>
        <w:t>0.05</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0.26</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83.87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培训次数减少</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（二）国有资产占用情况说明</w:t>
      </w:r>
    </w:p>
    <w:p>
      <w:pPr>
        <w:pStyle w:val="40"/>
        <w:widowControl w:val="0"/>
        <w:shd w:val="clear" w:color="auto" w:fill="FFFFFF"/>
        <w:autoSpaceDE w:val="0"/>
        <w:spacing w:beforeAutospacing="0" w:afterAutospacing="0" w:line="57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年12月31日，本部门共有车辆</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（三）政府采购支出情况说明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年度本部门政府采购支出总额</w:t>
      </w:r>
      <w:r>
        <w:rPr>
          <w:rFonts w:hint="eastAsia" w:ascii="方正仿宋_GBK" w:hAnsi="方正仿宋_GBK" w:eastAsia="方正仿宋_GBK" w:cs="方正仿宋_GBK"/>
          <w:sz w:val="32"/>
          <w:szCs w:val="32"/>
          <w:shd w:val="clear" w:color="auto" w:fill="FFFFFF"/>
        </w:rPr>
        <w:t>4.5</w:t>
      </w:r>
      <w:r>
        <w:rPr>
          <w:rFonts w:ascii="方正仿宋_GBK" w:hAnsi="方正仿宋_GBK" w:eastAsia="方正仿宋_GBK" w:cs="方正仿宋_GBK"/>
          <w:sz w:val="32"/>
          <w:szCs w:val="32"/>
          <w:shd w:val="clear" w:color="auto" w:fill="FFFFFF"/>
        </w:rPr>
        <w:t>万元，其中：政府采购货物支出</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万元、政府采购工程支出</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万元、政府采购服务支出</w:t>
      </w:r>
      <w:r>
        <w:rPr>
          <w:rFonts w:hint="eastAsia" w:ascii="方正仿宋_GBK" w:hAnsi="方正仿宋_GBK" w:eastAsia="方正仿宋_GBK" w:cs="方正仿宋_GBK"/>
          <w:sz w:val="32"/>
          <w:szCs w:val="32"/>
          <w:shd w:val="clear" w:color="auto" w:fill="FFFFFF"/>
        </w:rPr>
        <w:t>4.5</w:t>
      </w:r>
      <w:r>
        <w:rPr>
          <w:rFonts w:ascii="方正仿宋_GBK" w:hAnsi="方正仿宋_GBK" w:eastAsia="方正仿宋_GBK" w:cs="方正仿宋_GBK"/>
          <w:sz w:val="32"/>
          <w:szCs w:val="32"/>
          <w:shd w:val="clear" w:color="auto" w:fill="FFFFFF"/>
        </w:rPr>
        <w:t>万元。授予中小企业合同金额</w:t>
      </w:r>
      <w:r>
        <w:rPr>
          <w:rFonts w:hint="eastAsia" w:ascii="方正仿宋_GBK" w:hAnsi="方正仿宋_GBK" w:eastAsia="方正仿宋_GBK" w:cs="方正仿宋_GBK"/>
          <w:sz w:val="32"/>
          <w:szCs w:val="32"/>
          <w:shd w:val="clear" w:color="auto" w:fill="FFFFFF"/>
        </w:rPr>
        <w:t>4.5</w:t>
      </w:r>
      <w:r>
        <w:rPr>
          <w:rFonts w:ascii="方正仿宋_GBK" w:hAnsi="方正仿宋_GBK" w:eastAsia="方正仿宋_GBK" w:cs="方正仿宋_GBK"/>
          <w:sz w:val="32"/>
          <w:szCs w:val="32"/>
          <w:shd w:val="clear" w:color="auto" w:fill="FFFFFF"/>
        </w:rPr>
        <w:t>万元，占政府采购支出总额的100.00%，其中：授予小微企业合同金额</w:t>
      </w:r>
      <w:r>
        <w:rPr>
          <w:rFonts w:hint="eastAsia" w:ascii="方正仿宋_GBK" w:hAnsi="方正仿宋_GBK" w:eastAsia="方正仿宋_GBK" w:cs="方正仿宋_GBK"/>
          <w:sz w:val="32"/>
          <w:szCs w:val="32"/>
          <w:shd w:val="clear" w:color="auto" w:fill="FFFFFF"/>
        </w:rPr>
        <w:t>4.5</w:t>
      </w:r>
      <w:r>
        <w:rPr>
          <w:rFonts w:ascii="方正仿宋_GBK" w:hAnsi="方正仿宋_GBK" w:eastAsia="方正仿宋_GBK" w:cs="方正仿宋_GBK"/>
          <w:sz w:val="32"/>
          <w:szCs w:val="32"/>
          <w:shd w:val="clear" w:color="auto" w:fill="FFFFFF"/>
        </w:rPr>
        <w:t>万元，占政府采购支出总额的100.00%。主要用于</w:t>
      </w:r>
      <w:r>
        <w:rPr>
          <w:rFonts w:hint="eastAsia" w:ascii="方正仿宋_GBK" w:hAnsi="方正仿宋_GBK" w:eastAsia="方正仿宋_GBK" w:cs="方正仿宋_GBK"/>
          <w:sz w:val="32"/>
          <w:szCs w:val="32"/>
          <w:shd w:val="clear" w:color="auto" w:fill="FFFFFF"/>
        </w:rPr>
        <w:t>造价咨询专家服务费</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五、预算绩效管理情况说明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color w:val="FF0000"/>
          <w:sz w:val="32"/>
          <w:szCs w:val="32"/>
          <w:shd w:val="clear" w:color="auto" w:fill="FFFFFF"/>
        </w:rPr>
      </w:pPr>
      <w:r>
        <w:rPr>
          <w:rFonts w:ascii="方正楷体_GBK" w:hAnsi="方正楷体_GBK" w:eastAsia="方正楷体_GBK" w:cs="方正楷体_GBK"/>
          <w:sz w:val="32"/>
          <w:szCs w:val="32"/>
          <w:shd w:val="clear" w:color="auto" w:fill="FFFFFF"/>
        </w:rPr>
        <w:t>（一）预算绩效管理工作开展情况</w:t>
      </w:r>
    </w:p>
    <w:p>
      <w:pPr>
        <w:widowControl w:val="0"/>
        <w:tabs>
          <w:tab w:val="left" w:pos="7020"/>
        </w:tabs>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根据区财政预算绩效管理要求，我</w:t>
      </w:r>
      <w:r>
        <w:rPr>
          <w:rFonts w:hint="eastAsia" w:ascii="方正仿宋_GBK" w:hAnsi="方正仿宋_GBK" w:eastAsia="方正仿宋_GBK" w:cs="方正仿宋_GBK"/>
          <w:sz w:val="32"/>
          <w:szCs w:val="32"/>
          <w:lang w:val="en-US" w:eastAsia="zh-CN"/>
        </w:rPr>
        <w:t>部门</w:t>
      </w:r>
      <w:r>
        <w:rPr>
          <w:rFonts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US" w:eastAsia="zh-CN"/>
        </w:rPr>
        <w:t>2个</w:t>
      </w:r>
      <w:r>
        <w:rPr>
          <w:rFonts w:ascii="方正仿宋_GBK" w:hAnsi="方正仿宋_GBK" w:eastAsia="方正仿宋_GBK" w:cs="方正仿宋_GBK"/>
          <w:sz w:val="32"/>
          <w:szCs w:val="32"/>
        </w:rPr>
        <w:t>资金项目，开展了以填报目标自评表的形式对预算资金进行了目标绩效自评。</w:t>
      </w:r>
      <w:r>
        <w:rPr>
          <w:rFonts w:ascii="方正仿宋_GBK" w:hAnsi="方正仿宋_GBK" w:eastAsia="方正仿宋_GBK" w:cs="方正仿宋_GBK"/>
          <w:kern w:val="2"/>
          <w:sz w:val="32"/>
          <w:szCs w:val="32"/>
        </w:rPr>
        <w:t>从评价情况来看，自我评价结果总体较好，都达到了年初设定的绩效目标，均为优良等级。</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（二）绩效自评结果</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1.绩效目标自评表</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2020</w:t>
      </w:r>
      <w:r>
        <w:rPr>
          <w:rFonts w:ascii="方正仿宋_GBK" w:hAnsi="方正仿宋_GBK" w:eastAsia="方正仿宋_GBK" w:cs="方正仿宋_GBK"/>
          <w:sz w:val="32"/>
          <w:szCs w:val="32"/>
        </w:rPr>
        <w:t>年，我</w:t>
      </w:r>
      <w:r>
        <w:rPr>
          <w:rFonts w:hint="eastAsia" w:ascii="方正仿宋_GBK" w:hAnsi="方正仿宋_GBK" w:eastAsia="方正仿宋_GBK" w:cs="方正仿宋_GBK"/>
          <w:sz w:val="32"/>
          <w:szCs w:val="32"/>
          <w:lang w:val="en-US" w:eastAsia="zh-CN"/>
        </w:rPr>
        <w:t>部门</w:t>
      </w:r>
      <w:r>
        <w:rPr>
          <w:rFonts w:ascii="方正仿宋_GBK" w:hAnsi="方正仿宋_GBK" w:eastAsia="方正仿宋_GBK" w:cs="方正仿宋_GBK"/>
          <w:sz w:val="32"/>
          <w:szCs w:val="32"/>
        </w:rPr>
        <w:t>共开展了</w:t>
      </w:r>
      <w:r>
        <w:rPr>
          <w:rFonts w:hint="eastAsia" w:ascii="方正仿宋_GBK" w:hAnsi="方正仿宋_GBK" w:eastAsia="方正仿宋_GBK" w:cs="方正仿宋_GBK"/>
          <w:sz w:val="32"/>
          <w:szCs w:val="32"/>
          <w:lang w:val="en-US" w:eastAsia="zh-CN"/>
        </w:rPr>
        <w:t>2</w:t>
      </w:r>
      <w:r>
        <w:rPr>
          <w:rFonts w:ascii="方正仿宋_GBK" w:hAnsi="方正仿宋_GBK" w:eastAsia="方正仿宋_GBK" w:cs="方正仿宋_GBK"/>
          <w:sz w:val="32"/>
          <w:szCs w:val="32"/>
        </w:rPr>
        <w:t>个项目的绩效自评，现将其中“</w:t>
      </w:r>
      <w:r>
        <w:rPr>
          <w:rFonts w:hint="eastAsia" w:ascii="方正仿宋_GBK" w:hAnsi="方正仿宋_GBK" w:eastAsia="方正仿宋_GBK" w:cs="方正仿宋_GBK"/>
          <w:sz w:val="32"/>
          <w:szCs w:val="32"/>
        </w:rPr>
        <w:t>造价咨询专家服务费</w:t>
      </w:r>
      <w:r>
        <w:rPr>
          <w:rFonts w:ascii="方正仿宋_GBK" w:hAnsi="方正仿宋_GBK" w:eastAsia="方正仿宋_GBK" w:cs="方正仿宋_GBK"/>
          <w:sz w:val="32"/>
          <w:szCs w:val="32"/>
        </w:rPr>
        <w:t>”项目绩效自评情况公开如下。</w:t>
      </w:r>
    </w:p>
    <w:tbl>
      <w:tblPr>
        <w:tblStyle w:val="15"/>
        <w:tblW w:w="9371" w:type="dxa"/>
        <w:tblInd w:w="93" w:type="dxa"/>
        <w:tblLayout w:type="fixed"/>
        <w:tblCellMar>
          <w:top w:w="0" w:type="dxa"/>
          <w:left w:w="108" w:type="dxa"/>
          <w:bottom w:w="0" w:type="dxa"/>
          <w:right w:w="108" w:type="dxa"/>
        </w:tblCellMar>
      </w:tblPr>
      <w:tblGrid>
        <w:gridCol w:w="975"/>
        <w:gridCol w:w="1635"/>
        <w:gridCol w:w="1080"/>
        <w:gridCol w:w="210"/>
        <w:gridCol w:w="975"/>
        <w:gridCol w:w="974"/>
        <w:gridCol w:w="975"/>
        <w:gridCol w:w="974"/>
        <w:gridCol w:w="973"/>
        <w:gridCol w:w="90"/>
        <w:gridCol w:w="510"/>
      </w:tblGrid>
      <w:tr>
        <w:tblPrEx>
          <w:tblLayout w:type="fixed"/>
          <w:tblCellMar>
            <w:top w:w="0" w:type="dxa"/>
            <w:left w:w="108" w:type="dxa"/>
            <w:bottom w:w="0" w:type="dxa"/>
            <w:right w:w="108" w:type="dxa"/>
          </w:tblCellMar>
        </w:tblPrEx>
        <w:trPr>
          <w:gridAfter w:val="1"/>
          <w:wAfter w:w="510" w:type="dxa"/>
          <w:trHeight w:val="705" w:hRule="atLeast"/>
        </w:trPr>
        <w:tc>
          <w:tcPr>
            <w:tcW w:w="8861" w:type="dxa"/>
            <w:gridSpan w:val="10"/>
            <w:tcBorders>
              <w:top w:val="nil"/>
              <w:left w:val="nil"/>
              <w:bottom w:val="nil"/>
              <w:right w:val="nil"/>
            </w:tcBorders>
            <w:shd w:val="clear" w:color="auto" w:fill="auto"/>
            <w:tcMar>
              <w:top w:w="15" w:type="dxa"/>
              <w:bottom w:w="15" w:type="dxa"/>
            </w:tcMar>
            <w:vAlign w:val="center"/>
          </w:tcPr>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预算绩效目标单位自评评价表       单位：万元</w:t>
            </w:r>
          </w:p>
        </w:tc>
      </w:tr>
      <w:tr>
        <w:tblPrEx>
          <w:tblLayout w:type="fixed"/>
          <w:tblCellMar>
            <w:top w:w="0" w:type="dxa"/>
            <w:left w:w="108" w:type="dxa"/>
            <w:bottom w:w="0" w:type="dxa"/>
            <w:right w:w="108" w:type="dxa"/>
          </w:tblCellMar>
        </w:tblPrEx>
        <w:trPr>
          <w:trHeight w:val="297"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项目名称</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rPr>
              <w:t>造价咨询专家服务费</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自评总分</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（分</w:t>
            </w:r>
            <w:r>
              <w:rPr>
                <w:rFonts w:hint="default" w:ascii="Times New Roman" w:hAnsi="Times New Roman" w:eastAsia="方正仿宋_GBK"/>
                <w:color w:val="000000"/>
                <w:sz w:val="20"/>
                <w:szCs w:val="20"/>
              </w:rPr>
              <w:t>)</w:t>
            </w:r>
          </w:p>
        </w:tc>
        <w:tc>
          <w:tcPr>
            <w:tcW w:w="3522"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r>
      <w:tr>
        <w:tblPrEx>
          <w:tblLayout w:type="fixed"/>
          <w:tblCellMar>
            <w:top w:w="0" w:type="dxa"/>
            <w:left w:w="108" w:type="dxa"/>
            <w:bottom w:w="0" w:type="dxa"/>
            <w:right w:w="108" w:type="dxa"/>
          </w:tblCellMar>
        </w:tblPrEx>
        <w:trPr>
          <w:trHeight w:val="297"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业务主管部门</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eastAsia="zh-CN"/>
              </w:rPr>
            </w:pPr>
            <w:r>
              <w:rPr>
                <w:rFonts w:ascii="Times New Roman" w:hAnsi="Times New Roman" w:eastAsia="方正仿宋_GBK"/>
                <w:color w:val="000000"/>
                <w:sz w:val="20"/>
                <w:szCs w:val="20"/>
              </w:rPr>
              <w:t>区</w:t>
            </w:r>
            <w:r>
              <w:rPr>
                <w:rFonts w:hint="eastAsia" w:ascii="Times New Roman" w:hAnsi="Times New Roman" w:eastAsia="方正仿宋_GBK"/>
                <w:color w:val="000000"/>
                <w:sz w:val="20"/>
                <w:szCs w:val="20"/>
                <w:lang w:val="en-US" w:eastAsia="zh-CN"/>
              </w:rPr>
              <w:t>造价中心</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联系人</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及电话</w:t>
            </w:r>
          </w:p>
        </w:tc>
        <w:tc>
          <w:tcPr>
            <w:tcW w:w="3522"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ascii="Times New Roman" w:hAnsi="Times New Roman" w:eastAsia="方正仿宋_GBK"/>
                <w:color w:val="000000"/>
                <w:sz w:val="20"/>
                <w:szCs w:val="20"/>
              </w:rPr>
              <w:t>48678</w:t>
            </w:r>
            <w:r>
              <w:rPr>
                <w:rFonts w:hint="eastAsia" w:ascii="Times New Roman" w:hAnsi="Times New Roman" w:eastAsia="方正仿宋_GBK"/>
                <w:color w:val="000000"/>
                <w:sz w:val="20"/>
                <w:szCs w:val="20"/>
                <w:lang w:val="en-US" w:eastAsia="zh-CN"/>
              </w:rPr>
              <w:t>506</w:t>
            </w:r>
          </w:p>
        </w:tc>
      </w:tr>
      <w:tr>
        <w:tblPrEx>
          <w:tblLayout w:type="fixed"/>
          <w:tblCellMar>
            <w:top w:w="0" w:type="dxa"/>
            <w:left w:w="108" w:type="dxa"/>
            <w:bottom w:w="0" w:type="dxa"/>
            <w:right w:w="108" w:type="dxa"/>
          </w:tblCellMar>
        </w:tblPrEx>
        <w:trPr>
          <w:trHeight w:val="297" w:hRule="atLeast"/>
        </w:trPr>
        <w:tc>
          <w:tcPr>
            <w:tcW w:w="9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项目资金（万元）</w:t>
            </w:r>
          </w:p>
        </w:tc>
        <w:tc>
          <w:tcPr>
            <w:tcW w:w="163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0"/>
                <w:szCs w:val="20"/>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全年预算数（</w:t>
            </w:r>
            <w:r>
              <w:rPr>
                <w:rFonts w:hint="default" w:ascii="Times New Roman" w:hAnsi="Times New Roman" w:eastAsia="方正仿宋_GBK"/>
                <w:color w:val="000000"/>
                <w:sz w:val="20"/>
                <w:szCs w:val="20"/>
              </w:rPr>
              <w:t>A</w:t>
            </w:r>
            <w:r>
              <w:rPr>
                <w:rFonts w:ascii="方正仿宋_GBK"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全年执行数（</w:t>
            </w:r>
            <w:r>
              <w:rPr>
                <w:rFonts w:hint="default" w:ascii="Times New Roman" w:hAnsi="Times New Roman" w:eastAsia="方正仿宋_GBK"/>
                <w:color w:val="000000"/>
                <w:sz w:val="20"/>
                <w:szCs w:val="20"/>
              </w:rPr>
              <w:t>B</w:t>
            </w:r>
            <w:r>
              <w:rPr>
                <w:rFonts w:ascii="方正仿宋_GBK" w:hAnsi="Times New Roman" w:eastAsia="方正仿宋_GBK"/>
                <w:color w:val="000000"/>
                <w:sz w:val="20"/>
                <w:szCs w:val="20"/>
              </w:rPr>
              <w:t>）</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执行率</w:t>
            </w:r>
            <w:r>
              <w:rPr>
                <w:rFonts w:hint="default" w:ascii="Times New Roman" w:hAnsi="Times New Roman" w:eastAsia="方正仿宋_GBK"/>
                <w:color w:val="000000"/>
                <w:sz w:val="20"/>
                <w:szCs w:val="20"/>
              </w:rPr>
              <w:t>%</w:t>
            </w:r>
            <w:r>
              <w:rPr>
                <w:rFonts w:ascii="方正仿宋_GBK" w:hAnsi="Times New Roman" w:eastAsia="方正仿宋_GBK"/>
                <w:color w:val="000000"/>
                <w:sz w:val="20"/>
                <w:szCs w:val="20"/>
              </w:rPr>
              <w:t>（</w:t>
            </w:r>
            <w:r>
              <w:rPr>
                <w:rFonts w:ascii="Times New Roman" w:hAnsi="Times New Roman" w:eastAsia="方正仿宋_GBK"/>
                <w:color w:val="000000"/>
                <w:sz w:val="20"/>
                <w:szCs w:val="20"/>
              </w:rPr>
              <w:t>B/A</w:t>
            </w:r>
            <w:r>
              <w:rPr>
                <w:rFonts w:ascii="方正仿宋_GBK" w:hAnsi="Times New Roman" w:eastAsia="方正仿宋_GBK"/>
                <w:color w:val="000000"/>
                <w:sz w:val="20"/>
                <w:szCs w:val="20"/>
              </w:rPr>
              <w:t>）</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执行率得分（分）</w:t>
            </w: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年度资金总额：</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15</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15</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w:t>
            </w: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其中：中央及市级补助</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区级资金</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15</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15</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其他资金</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175" w:hRule="atLeast"/>
        </w:trPr>
        <w:tc>
          <w:tcPr>
            <w:tcW w:w="9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年度总体目标</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年初设定目标</w:t>
            </w:r>
          </w:p>
        </w:tc>
        <w:tc>
          <w:tcPr>
            <w:tcW w:w="449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全年目标实际完成情况</w:t>
            </w:r>
          </w:p>
        </w:tc>
      </w:tr>
      <w:tr>
        <w:tblPrEx>
          <w:tblLayout w:type="fixed"/>
          <w:tblCellMar>
            <w:top w:w="0" w:type="dxa"/>
            <w:left w:w="108" w:type="dxa"/>
            <w:bottom w:w="0" w:type="dxa"/>
            <w:right w:w="108" w:type="dxa"/>
          </w:tblCellMar>
        </w:tblPrEx>
        <w:trPr>
          <w:trHeight w:val="639"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rPr>
              <w:t>每月发布我区建设工程造价管理站收集整理、综合测算的建筑工程单方造价最低指标，供相关单位和机构在投资决策及成本控制时参考。</w:t>
            </w:r>
          </w:p>
        </w:tc>
        <w:tc>
          <w:tcPr>
            <w:tcW w:w="449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eastAsia="方正仿宋_GBK"/>
                <w:color w:val="000000"/>
                <w:sz w:val="20"/>
                <w:szCs w:val="20"/>
              </w:rPr>
            </w:pPr>
            <w:r>
              <w:rPr>
                <w:rFonts w:hint="eastAsia" w:ascii="Times New Roman" w:hAnsi="Times New Roman" w:eastAsia="方正仿宋_GBK"/>
                <w:b w:val="0"/>
                <w:bCs w:val="0"/>
                <w:color w:val="000000"/>
                <w:sz w:val="20"/>
                <w:szCs w:val="20"/>
              </w:rPr>
              <w:t>每月发布我区建设工程造价管理站收集整理、综合测算的建筑工程单方造价最低指标，供相关单位和机构在投资决策及成本控制时参考。</w:t>
            </w:r>
          </w:p>
        </w:tc>
      </w:tr>
      <w:tr>
        <w:tblPrEx>
          <w:tblLayout w:type="fixed"/>
          <w:tblCellMar>
            <w:top w:w="0" w:type="dxa"/>
            <w:left w:w="108" w:type="dxa"/>
            <w:bottom w:w="0" w:type="dxa"/>
            <w:right w:w="108" w:type="dxa"/>
          </w:tblCellMar>
        </w:tblPrEx>
        <w:trPr>
          <w:trHeight w:val="444" w:hRule="atLeast"/>
        </w:trPr>
        <w:tc>
          <w:tcPr>
            <w:tcW w:w="975"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绩效指标</w:t>
            </w: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指标名称</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（三级指标）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计量单位</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指标权重</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指标值</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全年完成值</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得分系数（</w:t>
            </w:r>
            <w:r>
              <w:rPr>
                <w:rFonts w:hint="default" w:ascii="Times New Roman" w:hAnsi="Times New Roman" w:eastAsia="方正仿宋_GBK"/>
                <w:color w:val="000000"/>
                <w:sz w:val="20"/>
                <w:szCs w:val="20"/>
              </w:rPr>
              <w:t>%</w:t>
            </w:r>
            <w:r>
              <w:rPr>
                <w:rFonts w:ascii="方正仿宋_GBK"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指标得分</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（分</w:t>
            </w:r>
            <w:r>
              <w:rPr>
                <w:rFonts w:hint="default" w:ascii="Times New Roman" w:hAnsi="Times New Roman" w:eastAsia="方正仿宋_GBK"/>
                <w:color w:val="000000"/>
                <w:sz w:val="20"/>
                <w:szCs w:val="20"/>
              </w:rPr>
              <w:t>)</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获取建筑材料价格</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种</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15%</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25</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25</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15</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获取建筑人工及劳务工种价格</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种</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15%</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60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60</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15</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获取建筑单方造价</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种</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15%</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20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20</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15</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信息准确度</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15</w:t>
            </w:r>
            <w:r>
              <w:rPr>
                <w:rFonts w:hint="default" w:ascii="Times New Roman" w:hAnsi="Times New Roman" w:eastAsia="方正仿宋_GBK"/>
                <w:color w:val="000000"/>
                <w:sz w:val="20"/>
                <w:szCs w:val="20"/>
              </w:rPr>
              <w:t>%</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≥98%</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100%</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15</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对外发布造价信息</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次</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10%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12</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12</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服务对象满意度</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5%</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≥95%</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98%</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5</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支付安全性合法合规率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5%</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5</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按照序时进度支付率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5%</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5</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上报造价信息</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次</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5</w:t>
            </w:r>
            <w:r>
              <w:rPr>
                <w:rFonts w:hint="default" w:ascii="Times New Roman" w:hAnsi="Times New Roman" w:eastAsia="方正仿宋_GBK"/>
                <w:color w:val="000000"/>
                <w:sz w:val="20"/>
                <w:szCs w:val="20"/>
              </w:rPr>
              <w:t>%</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12</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12</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5</w:t>
            </w:r>
          </w:p>
        </w:tc>
      </w:tr>
      <w:tr>
        <w:tblPrEx>
          <w:tblLayout w:type="fixed"/>
          <w:tblCellMar>
            <w:top w:w="0" w:type="dxa"/>
            <w:left w:w="108" w:type="dxa"/>
            <w:bottom w:w="0" w:type="dxa"/>
            <w:right w:w="108" w:type="dxa"/>
          </w:tblCellMar>
        </w:tblPrEx>
        <w:trPr>
          <w:trHeight w:val="7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未完成绩效目标或偏离较多的原因、改进措施及其他说明</w:t>
            </w:r>
          </w:p>
        </w:tc>
        <w:tc>
          <w:tcPr>
            <w:tcW w:w="8396"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175" w:hRule="atLeast"/>
        </w:trPr>
        <w:tc>
          <w:tcPr>
            <w:tcW w:w="97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163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21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4"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4"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3"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600" w:type="dxa"/>
            <w:gridSpan w:val="2"/>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r>
      <w:tr>
        <w:tblPrEx>
          <w:tblLayout w:type="fixed"/>
          <w:tblCellMar>
            <w:top w:w="0" w:type="dxa"/>
            <w:left w:w="108" w:type="dxa"/>
            <w:bottom w:w="0" w:type="dxa"/>
            <w:right w:w="108" w:type="dxa"/>
          </w:tblCellMar>
        </w:tblPrEx>
        <w:trPr>
          <w:trHeight w:val="175" w:hRule="atLeast"/>
        </w:trPr>
        <w:tc>
          <w:tcPr>
            <w:tcW w:w="3690" w:type="dxa"/>
            <w:gridSpan w:val="3"/>
            <w:tcBorders>
              <w:top w:val="nil"/>
              <w:left w:val="nil"/>
              <w:bottom w:val="nil"/>
              <w:right w:val="nil"/>
            </w:tcBorders>
            <w:shd w:val="clear" w:color="auto" w:fill="auto"/>
            <w:tcMar>
              <w:top w:w="15" w:type="dxa"/>
              <w:left w:w="15" w:type="dxa"/>
              <w:right w:w="15" w:type="dxa"/>
            </w:tcMar>
            <w:vAlign w:val="center"/>
          </w:tcPr>
          <w:p>
            <w:pP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 xml:space="preserve"> 预算单位主要领导：</w:t>
            </w:r>
            <w:r>
              <w:rPr>
                <w:rFonts w:hint="eastAsia" w:ascii="Times New Roman" w:hAnsi="Times New Roman" w:eastAsia="方正仿宋_GBK"/>
                <w:color w:val="000000"/>
                <w:sz w:val="20"/>
                <w:szCs w:val="20"/>
                <w:lang w:val="en-US" w:eastAsia="zh-CN"/>
              </w:rPr>
              <w:t>谷洪荣</w:t>
            </w:r>
            <w:r>
              <w:rPr>
                <w:rFonts w:ascii="Times New Roman" w:hAnsi="Times New Roman" w:eastAsia="方正仿宋_GBK"/>
                <w:color w:val="000000"/>
                <w:sz w:val="20"/>
                <w:szCs w:val="20"/>
              </w:rPr>
              <w:t xml:space="preserve">          </w:t>
            </w:r>
          </w:p>
        </w:tc>
        <w:tc>
          <w:tcPr>
            <w:tcW w:w="21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0"/>
                <w:szCs w:val="20"/>
              </w:rPr>
            </w:pPr>
          </w:p>
        </w:tc>
        <w:tc>
          <w:tcPr>
            <w:tcW w:w="2924"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Times New Roman" w:hAnsi="Times New Roman" w:eastAsia="方正仿宋_GBK"/>
                <w:color w:val="000000"/>
                <w:sz w:val="20"/>
                <w:szCs w:val="20"/>
                <w:lang w:eastAsia="zh-CN"/>
              </w:rPr>
            </w:pPr>
            <w:r>
              <w:rPr>
                <w:rFonts w:ascii="Times New Roman" w:hAnsi="Times New Roman" w:eastAsia="方正仿宋_GBK"/>
                <w:color w:val="000000"/>
                <w:sz w:val="20"/>
                <w:szCs w:val="20"/>
              </w:rPr>
              <w:t>绩效评价负责人：</w:t>
            </w:r>
            <w:r>
              <w:rPr>
                <w:rFonts w:hint="eastAsia" w:ascii="Times New Roman" w:hAnsi="Times New Roman" w:eastAsia="方正仿宋_GBK"/>
                <w:color w:val="000000"/>
                <w:sz w:val="20"/>
                <w:szCs w:val="20"/>
                <w:lang w:val="en-US" w:eastAsia="zh-CN"/>
              </w:rPr>
              <w:t>赵国勇</w:t>
            </w:r>
          </w:p>
        </w:tc>
        <w:tc>
          <w:tcPr>
            <w:tcW w:w="974"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0"/>
                <w:szCs w:val="20"/>
              </w:rPr>
            </w:pPr>
          </w:p>
        </w:tc>
        <w:tc>
          <w:tcPr>
            <w:tcW w:w="1573" w:type="dxa"/>
            <w:gridSpan w:val="3"/>
            <w:tcBorders>
              <w:top w:val="nil"/>
              <w:left w:val="nil"/>
              <w:bottom w:val="nil"/>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ascii="Times New Roman" w:hAnsi="Times New Roman" w:eastAsia="方正仿宋_GBK"/>
                <w:color w:val="000000"/>
                <w:sz w:val="20"/>
                <w:szCs w:val="20"/>
              </w:rPr>
              <w:t>经办人：</w:t>
            </w:r>
            <w:r>
              <w:rPr>
                <w:rFonts w:hint="eastAsia" w:ascii="Times New Roman" w:hAnsi="Times New Roman" w:eastAsia="方正仿宋_GBK"/>
                <w:color w:val="000000"/>
                <w:sz w:val="20"/>
                <w:szCs w:val="20"/>
                <w:lang w:val="en-US" w:eastAsia="zh-CN"/>
              </w:rPr>
              <w:t>梅莉</w:t>
            </w:r>
          </w:p>
        </w:tc>
      </w:tr>
    </w:tbl>
    <w:p>
      <w:pPr>
        <w:widowControl w:val="0"/>
        <w:autoSpaceDE w:val="0"/>
        <w:spacing w:line="576" w:lineRule="exact"/>
        <w:ind w:firstLine="640" w:firstLineChars="200"/>
        <w:jc w:val="both"/>
        <w:rPr>
          <w:rFonts w:hint="default" w:ascii="方正黑体_GBK" w:hAnsi="方正黑体_GBK" w:eastAsia="方正黑体_GBK" w:cs="方正黑体_GBK"/>
          <w:sz w:val="32"/>
          <w:szCs w:val="32"/>
          <w:shd w:val="clear" w:color="auto" w:fill="FFFF00"/>
        </w:rPr>
      </w:pPr>
      <w:r>
        <w:rPr>
          <w:rFonts w:ascii="方正黑体_GBK" w:hAnsi="方正黑体_GBK" w:eastAsia="方正黑体_GBK" w:cs="方正黑体_GBK"/>
          <w:sz w:val="32"/>
          <w:szCs w:val="32"/>
        </w:rPr>
        <w:t>六、专业名词解释</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（一）财政拨款收入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指本年度从本级财政部门取得的财政拨款，包括一般公共预算财政拨款和政府性基金预算财政拨款。</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（二）事业收入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（三）经营收入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指事业单位在专业业务活动及其辅助活动之外开展非独立核算经营活动取得的现金流入。</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（四）其他收入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（五）用事业基金弥补收支差额</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（六）年初结转和结余</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指单位上年结转本年使用的基本支出结转、项目支出结转和结余、经营结余。</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（七）结余分配</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指单位按照国家有关规定，缴纳所得税、提取专用基金、转入事业基金等当年结余的分配情况。</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（八）年末结转和结余</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指单位结转下年的基本支出结转、项目支出结转和结余、经营结余。</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（九）基本支出</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（十）项目支出</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指在基本支出之外为完成特定行政任务和事业发展目标所发生的支出。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（十一）经营支出</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指事业单位在专业业务活动及其辅助活动之外开展非独立核算经营活动发生的支出。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（十二）“三公”经费</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（十三）机关运行经费</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（十四）工资福利支出（支出经济分类科目类级）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（十五）商品和服务支出（支出经济分类科目类级）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反映单位购买商品和服务的支出（不包括用于购置固定资产的支出、战略性和应急储备支出）。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（十六）对个人和家庭的补助（支出经济分类科目类级）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反映用于对个人和家庭的补助支出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（十七）其他资本性支出（支出经济分类科目类级）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widowControl w:val="0"/>
        <w:autoSpaceDE w:val="0"/>
        <w:spacing w:line="576" w:lineRule="exact"/>
        <w:ind w:firstLine="640" w:firstLineChars="200"/>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七、决算公开联系方式及信息反馈渠道</w:t>
      </w:r>
    </w:p>
    <w:p>
      <w:pPr>
        <w:pStyle w:val="40"/>
        <w:widowControl w:val="0"/>
        <w:shd w:val="clear" w:color="auto" w:fill="FFFFFF"/>
        <w:autoSpaceDE w:val="0"/>
        <w:spacing w:line="576" w:lineRule="exact"/>
        <w:ind w:firstLine="640" w:firstLineChars="200"/>
        <w:jc w:val="both"/>
        <w:rPr>
          <w:rFonts w:hint="default"/>
          <w:sz w:val="28"/>
          <w:szCs w:val="28"/>
          <w:shd w:val="clear" w:color="auto" w:fill="FFFFFF"/>
        </w:rPr>
      </w:pPr>
      <w:r>
        <w:rPr>
          <w:rFonts w:ascii="方正仿宋_GBK" w:hAnsi="方正仿宋_GBK" w:eastAsia="方正仿宋_GBK" w:cs="方正仿宋_GBK"/>
          <w:sz w:val="32"/>
          <w:szCs w:val="32"/>
          <w:shd w:val="clear" w:color="auto" w:fill="FFFFFF"/>
        </w:rPr>
        <w:t>本单位决算公开信息反馈和联系方式：023-48678</w:t>
      </w:r>
      <w:r>
        <w:rPr>
          <w:rFonts w:hint="eastAsia" w:ascii="方正仿宋_GBK" w:hAnsi="方正仿宋_GBK" w:eastAsia="方正仿宋_GBK" w:cs="方正仿宋_GBK"/>
          <w:sz w:val="32"/>
          <w:szCs w:val="32"/>
          <w:shd w:val="clear" w:color="auto" w:fill="FFFFFF"/>
          <w:lang w:val="en-US" w:eastAsia="zh-CN"/>
        </w:rPr>
        <w:t>506</w:t>
      </w:r>
      <w:r>
        <w:rPr>
          <w:rFonts w:ascii="方正仿宋_GBK" w:hAnsi="方正仿宋_GBK" w:eastAsia="方正仿宋_GBK" w:cs="方正仿宋_GBK"/>
          <w:sz w:val="32"/>
          <w:szCs w:val="32"/>
          <w:shd w:val="clear" w:color="auto" w:fill="FFFFFF"/>
        </w:rPr>
        <w:t>。</w:t>
      </w:r>
    </w:p>
    <w:sectPr>
      <w:headerReference r:id="rId3" w:type="default"/>
      <w:footerReference r:id="rId4" w:type="default"/>
      <w:pgSz w:w="11915" w:h="16840"/>
      <w:pgMar w:top="1418" w:right="1588" w:bottom="113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92"/>
    <w:rsid w:val="00016710"/>
    <w:rsid w:val="000B1CDE"/>
    <w:rsid w:val="006865B4"/>
    <w:rsid w:val="00B85B93"/>
    <w:rsid w:val="00E63292"/>
    <w:rsid w:val="00F35478"/>
    <w:rsid w:val="013B660F"/>
    <w:rsid w:val="08922933"/>
    <w:rsid w:val="096F5294"/>
    <w:rsid w:val="09BE0D38"/>
    <w:rsid w:val="0A1F2FA0"/>
    <w:rsid w:val="0C652220"/>
    <w:rsid w:val="0CE17B2B"/>
    <w:rsid w:val="138E66BC"/>
    <w:rsid w:val="13EE24FA"/>
    <w:rsid w:val="1410434F"/>
    <w:rsid w:val="14791956"/>
    <w:rsid w:val="16234D4B"/>
    <w:rsid w:val="16574B10"/>
    <w:rsid w:val="18B95156"/>
    <w:rsid w:val="1A0D28FE"/>
    <w:rsid w:val="1A9539B6"/>
    <w:rsid w:val="1B7D4BCA"/>
    <w:rsid w:val="1B912FE0"/>
    <w:rsid w:val="2073683A"/>
    <w:rsid w:val="258334D7"/>
    <w:rsid w:val="27AE7FEF"/>
    <w:rsid w:val="296353BD"/>
    <w:rsid w:val="2DE10912"/>
    <w:rsid w:val="2DF44FB7"/>
    <w:rsid w:val="2F652236"/>
    <w:rsid w:val="30154C98"/>
    <w:rsid w:val="32D63FB8"/>
    <w:rsid w:val="334E7796"/>
    <w:rsid w:val="34165267"/>
    <w:rsid w:val="34C95960"/>
    <w:rsid w:val="35EC3FDD"/>
    <w:rsid w:val="39617463"/>
    <w:rsid w:val="3A3169B0"/>
    <w:rsid w:val="3BEB59D9"/>
    <w:rsid w:val="3C833BA5"/>
    <w:rsid w:val="3EC24531"/>
    <w:rsid w:val="41AA1D3F"/>
    <w:rsid w:val="422E21FF"/>
    <w:rsid w:val="427E7D1D"/>
    <w:rsid w:val="4483761B"/>
    <w:rsid w:val="467D66BB"/>
    <w:rsid w:val="4C5D18EC"/>
    <w:rsid w:val="51DF51BF"/>
    <w:rsid w:val="54524079"/>
    <w:rsid w:val="559D3CAB"/>
    <w:rsid w:val="57AE487B"/>
    <w:rsid w:val="58363EE3"/>
    <w:rsid w:val="5A583201"/>
    <w:rsid w:val="5D3355F9"/>
    <w:rsid w:val="5DB77270"/>
    <w:rsid w:val="5E555867"/>
    <w:rsid w:val="5ED94C69"/>
    <w:rsid w:val="61B35ED6"/>
    <w:rsid w:val="623C570A"/>
    <w:rsid w:val="64B24A7C"/>
    <w:rsid w:val="677A32E5"/>
    <w:rsid w:val="67EE2F53"/>
    <w:rsid w:val="680E0279"/>
    <w:rsid w:val="71471F91"/>
    <w:rsid w:val="72A81A97"/>
    <w:rsid w:val="74831B82"/>
    <w:rsid w:val="7536713C"/>
    <w:rsid w:val="75A2448E"/>
    <w:rsid w:val="7AC31AA5"/>
    <w:rsid w:val="7CE9537E"/>
    <w:rsid w:val="7DEA11B2"/>
    <w:rsid w:val="7E3B30E5"/>
    <w:rsid w:val="7E6531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eastAsia" w:ascii="宋体" w:hAnsi="宋体" w:eastAsia="宋体" w:cs="Times New Roman"/>
      <w:sz w:val="24"/>
      <w:szCs w:val="24"/>
      <w:lang w:val="en-US" w:eastAsia="zh-CN" w:bidi="ar-SA"/>
    </w:rPr>
  </w:style>
  <w:style w:type="paragraph" w:styleId="2">
    <w:name w:val="heading 1"/>
    <w:basedOn w:val="1"/>
    <w:next w:val="1"/>
    <w:link w:val="31"/>
    <w:qFormat/>
    <w:uiPriority w:val="0"/>
    <w:pPr>
      <w:spacing w:beforeAutospacing="1" w:afterAutospacing="1"/>
      <w:outlineLvl w:val="0"/>
    </w:pPr>
    <w:rPr>
      <w:b/>
      <w:kern w:val="44"/>
      <w:sz w:val="48"/>
      <w:szCs w:val="48"/>
    </w:rPr>
  </w:style>
  <w:style w:type="paragraph" w:styleId="3">
    <w:name w:val="heading 2"/>
    <w:basedOn w:val="1"/>
    <w:next w:val="1"/>
    <w:link w:val="21"/>
    <w:qFormat/>
    <w:uiPriority w:val="0"/>
    <w:pPr>
      <w:spacing w:beforeAutospacing="1" w:afterAutospacing="1"/>
      <w:outlineLvl w:val="1"/>
    </w:pPr>
    <w:rPr>
      <w:b/>
      <w:sz w:val="36"/>
      <w:szCs w:val="36"/>
    </w:rPr>
  </w:style>
  <w:style w:type="paragraph" w:styleId="4">
    <w:name w:val="heading 3"/>
    <w:basedOn w:val="1"/>
    <w:next w:val="1"/>
    <w:link w:val="24"/>
    <w:qFormat/>
    <w:uiPriority w:val="0"/>
    <w:pPr>
      <w:spacing w:beforeAutospacing="1" w:afterAutospacing="1"/>
      <w:outlineLvl w:val="2"/>
    </w:pPr>
    <w:rPr>
      <w:b/>
      <w:sz w:val="27"/>
      <w:szCs w:val="27"/>
    </w:rPr>
  </w:style>
  <w:style w:type="paragraph" w:styleId="5">
    <w:name w:val="heading 4"/>
    <w:basedOn w:val="1"/>
    <w:next w:val="1"/>
    <w:link w:val="16"/>
    <w:qFormat/>
    <w:uiPriority w:val="0"/>
    <w:pPr>
      <w:spacing w:beforeAutospacing="1" w:afterAutospacing="1"/>
      <w:outlineLvl w:val="3"/>
    </w:pPr>
    <w:rPr>
      <w:b/>
    </w:rPr>
  </w:style>
  <w:style w:type="paragraph" w:styleId="6">
    <w:name w:val="heading 5"/>
    <w:basedOn w:val="1"/>
    <w:next w:val="1"/>
    <w:link w:val="32"/>
    <w:qFormat/>
    <w:uiPriority w:val="0"/>
    <w:pPr>
      <w:spacing w:beforeAutospacing="1" w:afterAutospacing="1"/>
      <w:outlineLvl w:val="4"/>
    </w:pPr>
    <w:rPr>
      <w:b/>
      <w:sz w:val="20"/>
      <w:szCs w:val="20"/>
    </w:rPr>
  </w:style>
  <w:style w:type="paragraph" w:styleId="7">
    <w:name w:val="heading 6"/>
    <w:basedOn w:val="1"/>
    <w:next w:val="1"/>
    <w:link w:val="27"/>
    <w:qFormat/>
    <w:uiPriority w:val="0"/>
    <w:pPr>
      <w:spacing w:beforeAutospacing="1" w:afterAutospacing="1"/>
      <w:outlineLvl w:val="5"/>
    </w:pPr>
    <w:rPr>
      <w:b/>
      <w:sz w:val="15"/>
      <w:szCs w:val="15"/>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8">
    <w:name w:val="Date"/>
    <w:basedOn w:val="1"/>
    <w:next w:val="1"/>
    <w:link w:val="37"/>
    <w:qFormat/>
    <w:uiPriority w:val="0"/>
    <w:pPr>
      <w:widowControl w:val="0"/>
      <w:ind w:leftChars="2500"/>
      <w:jc w:val="both"/>
    </w:pPr>
    <w:rPr>
      <w:rFonts w:hint="default" w:ascii="Calibri" w:hAnsi="Calibri"/>
      <w:kern w:val="2"/>
      <w:sz w:val="21"/>
      <w:szCs w:val="21"/>
    </w:rPr>
  </w:style>
  <w:style w:type="paragraph" w:styleId="9">
    <w:name w:val="footer"/>
    <w:basedOn w:val="1"/>
    <w:link w:val="29"/>
    <w:qFormat/>
    <w:uiPriority w:val="0"/>
    <w:pPr>
      <w:snapToGrid w:val="0"/>
    </w:pPr>
    <w:rPr>
      <w:sz w:val="18"/>
      <w:szCs w:val="18"/>
    </w:rPr>
  </w:style>
  <w:style w:type="paragraph" w:styleId="10">
    <w:name w:val="header"/>
    <w:basedOn w:val="1"/>
    <w:link w:val="34"/>
    <w:qFormat/>
    <w:uiPriority w:val="0"/>
    <w:pPr>
      <w:pBdr>
        <w:bottom w:val="single" w:color="auto" w:sz="6" w:space="1"/>
      </w:pBdr>
      <w:snapToGrid w:val="0"/>
      <w:jc w:val="center"/>
    </w:pPr>
    <w:rPr>
      <w:sz w:val="18"/>
      <w:szCs w:val="18"/>
    </w:rPr>
  </w:style>
  <w:style w:type="paragraph" w:styleId="11">
    <w:name w:val="HTML Preformatted"/>
    <w:basedOn w:val="1"/>
    <w:link w:val="3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2">
    <w:name w:val="Normal (Web)"/>
    <w:basedOn w:val="1"/>
    <w:qFormat/>
    <w:uiPriority w:val="0"/>
    <w:pPr>
      <w:spacing w:beforeAutospacing="1" w:afterAutospacing="1"/>
    </w:pPr>
  </w:style>
  <w:style w:type="character" w:styleId="14">
    <w:name w:val="Strong"/>
    <w:basedOn w:val="13"/>
    <w:qFormat/>
    <w:uiPriority w:val="0"/>
    <w:rPr>
      <w:b/>
    </w:rPr>
  </w:style>
  <w:style w:type="character" w:customStyle="1" w:styleId="16">
    <w:name w:val="标题 4 Char"/>
    <w:basedOn w:val="13"/>
    <w:link w:val="5"/>
    <w:qFormat/>
    <w:locked/>
    <w:uiPriority w:val="0"/>
    <w:rPr>
      <w:rFonts w:hint="default" w:ascii="Cambria" w:hAnsi="Cambria" w:eastAsia="宋体" w:cs="Times New Roman"/>
      <w:b/>
      <w:sz w:val="28"/>
      <w:szCs w:val="28"/>
    </w:rPr>
  </w:style>
  <w:style w:type="paragraph" w:customStyle="1" w:styleId="17">
    <w:name w:val="msochpdefault"/>
    <w:basedOn w:val="1"/>
    <w:qFormat/>
    <w:uiPriority w:val="0"/>
    <w:rPr>
      <w:rFonts w:hint="default" w:ascii="Times New Roman" w:hAnsi="Times New Roman"/>
    </w:rPr>
  </w:style>
  <w:style w:type="paragraph" w:customStyle="1" w:styleId="18">
    <w:name w:val="普通(网站) Char Char"/>
    <w:basedOn w:val="1"/>
    <w:qFormat/>
    <w:uiPriority w:val="0"/>
    <w:pPr>
      <w:spacing w:beforeAutospacing="1" w:afterAutospacing="1"/>
    </w:pPr>
  </w:style>
  <w:style w:type="character" w:customStyle="1" w:styleId="19">
    <w:name w:val="25"/>
    <w:basedOn w:val="13"/>
    <w:qFormat/>
    <w:uiPriority w:val="0"/>
    <w:rPr>
      <w:rFonts w:hint="default" w:ascii="Times New Roman" w:hAnsi="Times New Roman" w:cs="Times New Roman"/>
    </w:rPr>
  </w:style>
  <w:style w:type="paragraph" w:customStyle="1" w:styleId="20">
    <w:name w:val="HTML 预设格式 Char1"/>
    <w:basedOn w:val="1"/>
    <w:qFormat/>
    <w:uiPriority w:val="0"/>
    <w:rPr>
      <w:rFonts w:hint="default" w:ascii="Courier New" w:hAnsi="Courier New"/>
      <w:sz w:val="20"/>
      <w:szCs w:val="20"/>
    </w:rPr>
  </w:style>
  <w:style w:type="character" w:customStyle="1" w:styleId="21">
    <w:name w:val="标题 2 Char"/>
    <w:basedOn w:val="13"/>
    <w:link w:val="3"/>
    <w:qFormat/>
    <w:locked/>
    <w:uiPriority w:val="0"/>
    <w:rPr>
      <w:rFonts w:hint="default" w:ascii="Cambria" w:hAnsi="Cambria" w:eastAsia="宋体" w:cs="Times New Roman"/>
      <w:b/>
      <w:sz w:val="32"/>
      <w:szCs w:val="32"/>
    </w:rPr>
  </w:style>
  <w:style w:type="character" w:customStyle="1" w:styleId="22">
    <w:name w:val="24"/>
    <w:basedOn w:val="13"/>
    <w:qFormat/>
    <w:uiPriority w:val="0"/>
    <w:rPr>
      <w:rFonts w:hint="default" w:ascii="Times New Roman" w:hAnsi="Times New Roman" w:cs="Times New Roman"/>
    </w:rPr>
  </w:style>
  <w:style w:type="paragraph" w:customStyle="1" w:styleId="23">
    <w:name w:val="p Char"/>
    <w:basedOn w:val="1"/>
    <w:qFormat/>
    <w:uiPriority w:val="0"/>
    <w:pPr>
      <w:spacing w:beforeAutospacing="1" w:afterAutospacing="1"/>
    </w:pPr>
  </w:style>
  <w:style w:type="character" w:customStyle="1" w:styleId="24">
    <w:name w:val="标题 3 Char"/>
    <w:basedOn w:val="13"/>
    <w:link w:val="4"/>
    <w:qFormat/>
    <w:locked/>
    <w:uiPriority w:val="0"/>
    <w:rPr>
      <w:rFonts w:hint="eastAsia" w:ascii="宋体" w:hAnsi="宋体" w:eastAsia="宋体" w:cs="宋体"/>
      <w:b/>
      <w:sz w:val="32"/>
      <w:szCs w:val="32"/>
    </w:rPr>
  </w:style>
  <w:style w:type="character" w:customStyle="1" w:styleId="25">
    <w:name w:val="20"/>
    <w:basedOn w:val="13"/>
    <w:qFormat/>
    <w:uiPriority w:val="0"/>
    <w:rPr>
      <w:rFonts w:hint="default" w:ascii="Times New Roman" w:hAnsi="Times New Roman" w:cs="Times New Roman"/>
    </w:rPr>
  </w:style>
  <w:style w:type="character" w:customStyle="1" w:styleId="26">
    <w:name w:val="10"/>
    <w:basedOn w:val="13"/>
    <w:qFormat/>
    <w:uiPriority w:val="0"/>
    <w:rPr>
      <w:rFonts w:hint="default" w:ascii="Times New Roman" w:hAnsi="Times New Roman" w:cs="Times New Roman"/>
    </w:rPr>
  </w:style>
  <w:style w:type="character" w:customStyle="1" w:styleId="27">
    <w:name w:val="标题 6 Char"/>
    <w:basedOn w:val="13"/>
    <w:link w:val="7"/>
    <w:qFormat/>
    <w:locked/>
    <w:uiPriority w:val="0"/>
    <w:rPr>
      <w:rFonts w:hint="default" w:ascii="Cambria" w:hAnsi="Cambria" w:eastAsia="宋体" w:cs="Times New Roman"/>
      <w:b/>
      <w:sz w:val="24"/>
      <w:szCs w:val="24"/>
    </w:rPr>
  </w:style>
  <w:style w:type="character" w:customStyle="1" w:styleId="28">
    <w:name w:val="22"/>
    <w:basedOn w:val="13"/>
    <w:qFormat/>
    <w:uiPriority w:val="0"/>
    <w:rPr>
      <w:rFonts w:hint="eastAsia" w:ascii="宋体" w:hAnsi="宋体" w:eastAsia="宋体" w:cs="宋体"/>
      <w:sz w:val="18"/>
      <w:szCs w:val="18"/>
    </w:rPr>
  </w:style>
  <w:style w:type="character" w:customStyle="1" w:styleId="29">
    <w:name w:val="页脚 Char"/>
    <w:basedOn w:val="13"/>
    <w:link w:val="9"/>
    <w:qFormat/>
    <w:locked/>
    <w:uiPriority w:val="0"/>
    <w:rPr>
      <w:rFonts w:hint="eastAsia" w:ascii="宋体" w:hAnsi="宋体" w:eastAsia="宋体" w:cs="宋体"/>
      <w:sz w:val="18"/>
      <w:szCs w:val="18"/>
    </w:rPr>
  </w:style>
  <w:style w:type="paragraph" w:customStyle="1" w:styleId="30">
    <w:name w:val="HTML 预设格式 Char Char"/>
    <w:basedOn w:val="1"/>
    <w:qFormat/>
    <w:uiPriority w:val="0"/>
  </w:style>
  <w:style w:type="character" w:customStyle="1" w:styleId="31">
    <w:name w:val="标题 1 Char"/>
    <w:basedOn w:val="13"/>
    <w:link w:val="2"/>
    <w:qFormat/>
    <w:locked/>
    <w:uiPriority w:val="0"/>
    <w:rPr>
      <w:rFonts w:hint="eastAsia" w:ascii="宋体" w:hAnsi="宋体" w:eastAsia="宋体" w:cs="宋体"/>
      <w:b/>
      <w:kern w:val="44"/>
      <w:sz w:val="44"/>
      <w:szCs w:val="44"/>
    </w:rPr>
  </w:style>
  <w:style w:type="character" w:customStyle="1" w:styleId="32">
    <w:name w:val="标题 5 Char"/>
    <w:basedOn w:val="13"/>
    <w:link w:val="6"/>
    <w:qFormat/>
    <w:locked/>
    <w:uiPriority w:val="0"/>
    <w:rPr>
      <w:rFonts w:hint="eastAsia" w:ascii="宋体" w:hAnsi="宋体" w:eastAsia="宋体" w:cs="宋体"/>
      <w:b/>
      <w:sz w:val="28"/>
      <w:szCs w:val="28"/>
    </w:rPr>
  </w:style>
  <w:style w:type="character" w:customStyle="1" w:styleId="33">
    <w:name w:val="HTML 预设格式 Char"/>
    <w:basedOn w:val="13"/>
    <w:link w:val="11"/>
    <w:qFormat/>
    <w:locked/>
    <w:uiPriority w:val="0"/>
    <w:rPr>
      <w:rFonts w:hint="default" w:ascii="Courier New" w:hAnsi="Courier New" w:eastAsia="宋体" w:cs="Courier New"/>
    </w:rPr>
  </w:style>
  <w:style w:type="character" w:customStyle="1" w:styleId="34">
    <w:name w:val="页眉 Char"/>
    <w:basedOn w:val="13"/>
    <w:link w:val="10"/>
    <w:qFormat/>
    <w:locked/>
    <w:uiPriority w:val="0"/>
    <w:rPr>
      <w:rFonts w:hint="eastAsia" w:ascii="宋体" w:hAnsi="宋体" w:eastAsia="宋体" w:cs="宋体"/>
      <w:sz w:val="18"/>
      <w:szCs w:val="18"/>
    </w:rPr>
  </w:style>
  <w:style w:type="paragraph" w:customStyle="1" w:styleId="35">
    <w:name w:val="pre Char"/>
    <w:basedOn w:val="1"/>
    <w:qFormat/>
    <w:uiPriority w:val="0"/>
  </w:style>
  <w:style w:type="character" w:customStyle="1" w:styleId="36">
    <w:name w:val="17"/>
    <w:basedOn w:val="13"/>
    <w:qFormat/>
    <w:uiPriority w:val="0"/>
    <w:rPr>
      <w:rFonts w:hint="default" w:ascii="Times New Roman" w:hAnsi="Times New Roman" w:cs="Times New Roman"/>
    </w:rPr>
  </w:style>
  <w:style w:type="character" w:customStyle="1" w:styleId="37">
    <w:name w:val="日期 Char"/>
    <w:basedOn w:val="13"/>
    <w:link w:val="8"/>
    <w:qFormat/>
    <w:locked/>
    <w:uiPriority w:val="0"/>
    <w:rPr>
      <w:rFonts w:hint="eastAsia" w:ascii="宋体" w:hAnsi="宋体" w:eastAsia="宋体" w:cs="宋体"/>
      <w:sz w:val="24"/>
      <w:szCs w:val="24"/>
    </w:rPr>
  </w:style>
  <w:style w:type="character" w:customStyle="1" w:styleId="38">
    <w:name w:val="23"/>
    <w:basedOn w:val="13"/>
    <w:qFormat/>
    <w:uiPriority w:val="0"/>
    <w:rPr>
      <w:rFonts w:hint="default" w:ascii="Times New Roman" w:hAnsi="Times New Roman" w:cs="Times New Roman"/>
    </w:rPr>
  </w:style>
  <w:style w:type="paragraph" w:customStyle="1" w:styleId="39">
    <w:name w:val="HTML 预设格式 Char Char Char"/>
    <w:basedOn w:val="1"/>
    <w:qFormat/>
    <w:uiPriority w:val="0"/>
  </w:style>
  <w:style w:type="paragraph" w:customStyle="1" w:styleId="40">
    <w:name w:val="普通(网站) Char"/>
    <w:basedOn w:val="1"/>
    <w:qFormat/>
    <w:uiPriority w:val="0"/>
    <w:pPr>
      <w:spacing w:beforeAutospacing="1" w:afterAutospacing="1"/>
    </w:pPr>
  </w:style>
  <w:style w:type="paragraph" w:customStyle="1" w:styleId="41">
    <w:name w:val="p Char Char"/>
    <w:basedOn w:val="1"/>
    <w:qFormat/>
    <w:uiPriority w:val="0"/>
    <w:pPr>
      <w:spacing w:beforeAutospacing="1" w:afterAutospacing="1"/>
    </w:pPr>
  </w:style>
  <w:style w:type="paragraph" w:customStyle="1" w:styleId="42">
    <w:name w:val="p16"/>
    <w:basedOn w:val="1"/>
    <w:qFormat/>
    <w:uiPriority w:val="0"/>
    <w:pPr>
      <w:jc w:val="both"/>
    </w:pPr>
    <w:rPr>
      <w:rFonts w:hint="default" w:ascii="Calibri" w:hAnsi="Calibri" w:eastAsia="方正仿宋_GBK"/>
      <w:sz w:val="32"/>
      <w:szCs w:val="32"/>
    </w:rPr>
  </w:style>
  <w:style w:type="character" w:customStyle="1" w:styleId="43">
    <w:name w:val="18"/>
    <w:basedOn w:val="13"/>
    <w:qFormat/>
    <w:uiPriority w:val="0"/>
    <w:rPr>
      <w:rFonts w:hint="default" w:ascii="Calibri" w:hAnsi="Calibri" w:eastAsia="宋体" w:cs="Calibri"/>
      <w:kern w:val="2"/>
      <w:sz w:val="21"/>
      <w:szCs w:val="21"/>
    </w:rPr>
  </w:style>
  <w:style w:type="character" w:customStyle="1" w:styleId="44">
    <w:name w:val="21"/>
    <w:basedOn w:val="13"/>
    <w:qFormat/>
    <w:uiPriority w:val="0"/>
    <w:rPr>
      <w:rFonts w:hint="default" w:ascii="Times New Roman" w:hAnsi="Times New Roman" w:cs="Times New Roman"/>
    </w:rPr>
  </w:style>
  <w:style w:type="character" w:customStyle="1" w:styleId="45">
    <w:name w:val="19"/>
    <w:basedOn w:val="13"/>
    <w:qFormat/>
    <w:uiPriority w:val="0"/>
    <w:rPr>
      <w:rFonts w:hint="eastAsia" w:ascii="宋体" w:hAnsi="宋体" w:eastAsia="宋体" w:cs="宋体"/>
      <w:sz w:val="24"/>
      <w:szCs w:val="24"/>
    </w:rPr>
  </w:style>
  <w:style w:type="character" w:customStyle="1" w:styleId="46">
    <w:name w:val="15"/>
    <w:basedOn w:val="13"/>
    <w:qFormat/>
    <w:uiPriority w:val="0"/>
    <w:rPr>
      <w:rFonts w:hint="eastAsia" w:ascii="宋体" w:hAnsi="宋体" w:eastAsia="宋体" w:cs="宋体"/>
      <w:sz w:val="18"/>
      <w:szCs w:val="18"/>
    </w:rPr>
  </w:style>
  <w:style w:type="character" w:customStyle="1" w:styleId="47">
    <w:name w:val="16"/>
    <w:basedOn w:val="1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2237</Words>
  <Characters>12754</Characters>
  <Lines>106</Lines>
  <Paragraphs>29</Paragraphs>
  <ScaleCrop>false</ScaleCrop>
  <LinksUpToDate>false</LinksUpToDate>
  <CharactersWithSpaces>14962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2020-11-18T18:01:00Z</dcterms:created>
  <dc:creator>RL</dc:creator>
  <cp:lastModifiedBy>区住房城乡建委（区人民防空办）</cp:lastModifiedBy>
  <dcterms:modified xsi:type="dcterms:W3CDTF">2022-11-30T02:23:08Z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