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重庆市綦江区排水与污水处理管理中心</w:t>
      </w:r>
    </w:p>
    <w:p>
      <w:pPr>
        <w:pStyle w:val="4"/>
        <w:shd w:val="clear" w:color="auto" w:fill="FFFFFF"/>
        <w:spacing w:before="0" w:beforeAutospacing="0" w:after="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2020年度部门决算情况说明</w:t>
      </w:r>
    </w:p>
    <w:p>
      <w:pPr>
        <w:pStyle w:val="4"/>
        <w:shd w:val="clear" w:color="auto" w:fill="FFFFFF"/>
        <w:spacing w:before="0" w:beforeAutospacing="0" w:after="0" w:afterAutospacing="0" w:line="600" w:lineRule="exact"/>
        <w:ind w:firstLine="480" w:firstLineChars="200"/>
        <w:rPr>
          <w:rFonts w:ascii="方正仿宋_GBK" w:hAnsi="方正仿宋_GBK" w:eastAsia="方正仿宋_GBK" w:cs="方正仿宋_GBK"/>
          <w:sz w:val="32"/>
          <w:szCs w:val="32"/>
        </w:rPr>
      </w:pPr>
      <w:r>
        <w:t> </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一、部门基本情况</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w:t>
      </w:r>
      <w:r>
        <w:rPr>
          <w:rStyle w:val="7"/>
          <w:rFonts w:hint="eastAsia" w:ascii="方正楷体_GBK" w:hAnsi="方正楷体_GBK" w:eastAsia="方正楷体_GBK" w:cs="方正楷体_GBK"/>
          <w:b w:val="0"/>
          <w:bCs w:val="0"/>
          <w:sz w:val="32"/>
          <w:szCs w:val="32"/>
        </w:rPr>
        <w:t>（一）职能职责</w:t>
      </w:r>
    </w:p>
    <w:p>
      <w:pPr>
        <w:spacing w:line="600"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 </w:t>
      </w:r>
      <w:r>
        <w:rPr>
          <w:rFonts w:hint="eastAsia" w:ascii="方正仿宋_GBK" w:hAnsi="方正仿宋_GBK" w:eastAsia="方正仿宋_GBK" w:cs="方正仿宋_GBK"/>
          <w:kern w:val="0"/>
          <w:sz w:val="32"/>
          <w:szCs w:val="32"/>
        </w:rPr>
        <w:t>根据綦委编〔2019〕105号文件，《关于印发</w:t>
      </w:r>
      <w:r>
        <w:rPr>
          <w:rFonts w:hint="eastAsia" w:ascii="方正仿宋_GBK" w:hAnsi="方正仿宋_GBK" w:eastAsia="方正仿宋_GBK" w:cs="方正仿宋_GBK"/>
          <w:kern w:val="0"/>
          <w:sz w:val="32"/>
          <w:szCs w:val="32"/>
          <w:lang w:val="en-US" w:eastAsia="zh-CN"/>
        </w:rPr>
        <w:t>&lt;</w:t>
      </w:r>
      <w:r>
        <w:rPr>
          <w:rFonts w:hint="eastAsia" w:ascii="方正仿宋_GBK" w:hAnsi="方正仿宋_GBK" w:eastAsia="方正仿宋_GBK" w:cs="方正仿宋_GBK"/>
          <w:kern w:val="0"/>
          <w:sz w:val="32"/>
          <w:szCs w:val="32"/>
        </w:rPr>
        <w:t>重庆市綦江区住房和城乡建设委员会所属事业单位机构编制方案</w:t>
      </w:r>
      <w:r>
        <w:rPr>
          <w:rFonts w:hint="eastAsia" w:ascii="方正仿宋_GBK" w:hAnsi="方正仿宋_GBK" w:eastAsia="方正仿宋_GBK" w:cs="方正仿宋_GBK"/>
          <w:kern w:val="0"/>
          <w:sz w:val="32"/>
          <w:szCs w:val="32"/>
          <w:lang w:val="en-US" w:eastAsia="zh-CN"/>
        </w:rPr>
        <w:t>&gt;</w:t>
      </w:r>
      <w:r>
        <w:rPr>
          <w:rFonts w:hint="eastAsia" w:ascii="方正仿宋_GBK" w:hAnsi="方正仿宋_GBK" w:eastAsia="方正仿宋_GBK" w:cs="方正仿宋_GBK"/>
          <w:kern w:val="0"/>
          <w:sz w:val="32"/>
          <w:szCs w:val="32"/>
        </w:rPr>
        <w:t>的通知》，重庆市綦江区排水与污水处理管理中心主要职能职责有：</w:t>
      </w:r>
    </w:p>
    <w:p>
      <w:pPr>
        <w:autoSpaceDN w:val="0"/>
        <w:spacing w:line="560" w:lineRule="exact"/>
        <w:ind w:firstLine="640"/>
        <w:rPr>
          <w:rFonts w:hint="eastAsia"/>
          <w:sz w:val="32"/>
        </w:rPr>
      </w:pPr>
      <w:r>
        <w:rPr>
          <w:rFonts w:eastAsia="方正仿宋_GBK"/>
          <w:sz w:val="32"/>
        </w:rPr>
        <w:t>1</w:t>
      </w:r>
      <w:r>
        <w:rPr>
          <w:rFonts w:hint="eastAsia" w:eastAsia="方正仿宋_GBK"/>
          <w:sz w:val="32"/>
        </w:rPr>
        <w:t>．</w:t>
      </w:r>
      <w:r>
        <w:rPr>
          <w:rFonts w:eastAsia="方正仿宋_GBK"/>
          <w:sz w:val="32"/>
        </w:rPr>
        <w:t>贯彻执行城镇排水与污水处理政策、标准</w:t>
      </w:r>
      <w:r>
        <w:rPr>
          <w:rFonts w:hint="eastAsia" w:eastAsia="方正仿宋_GBK"/>
          <w:sz w:val="32"/>
        </w:rPr>
        <w:t>。</w:t>
      </w:r>
    </w:p>
    <w:p>
      <w:pPr>
        <w:autoSpaceDN w:val="0"/>
        <w:spacing w:line="560" w:lineRule="exact"/>
        <w:ind w:firstLine="640"/>
        <w:rPr>
          <w:rFonts w:hint="eastAsia"/>
          <w:sz w:val="32"/>
        </w:rPr>
      </w:pPr>
      <w:r>
        <w:rPr>
          <w:rFonts w:eastAsia="方正仿宋_GBK"/>
          <w:sz w:val="32"/>
        </w:rPr>
        <w:t>2</w:t>
      </w:r>
      <w:r>
        <w:rPr>
          <w:rFonts w:hint="eastAsia" w:eastAsia="方正仿宋_GBK"/>
          <w:sz w:val="32"/>
        </w:rPr>
        <w:t>．</w:t>
      </w:r>
      <w:r>
        <w:rPr>
          <w:rFonts w:eastAsia="方正仿宋_GBK"/>
          <w:sz w:val="32"/>
        </w:rPr>
        <w:t>组织实施城区排水</w:t>
      </w:r>
      <w:r>
        <w:rPr>
          <w:rFonts w:hint="eastAsia" w:eastAsia="方正仿宋_GBK"/>
          <w:sz w:val="32"/>
        </w:rPr>
        <w:t>（</w:t>
      </w:r>
      <w:r>
        <w:rPr>
          <w:rFonts w:eastAsia="方正仿宋_GBK"/>
          <w:sz w:val="32"/>
        </w:rPr>
        <w:t>雨水、污水</w:t>
      </w:r>
      <w:r>
        <w:rPr>
          <w:rFonts w:hint="eastAsia" w:eastAsia="方正仿宋_GBK"/>
          <w:sz w:val="32"/>
        </w:rPr>
        <w:t>）</w:t>
      </w:r>
      <w:r>
        <w:rPr>
          <w:rFonts w:eastAsia="方正仿宋_GBK"/>
          <w:sz w:val="32"/>
        </w:rPr>
        <w:t>管网建设、城市黑臭水体整治的具体事务性工作</w:t>
      </w:r>
      <w:r>
        <w:rPr>
          <w:rFonts w:hint="eastAsia" w:eastAsia="方正仿宋_GBK"/>
          <w:sz w:val="32"/>
        </w:rPr>
        <w:t>。</w:t>
      </w:r>
    </w:p>
    <w:p>
      <w:pPr>
        <w:autoSpaceDN w:val="0"/>
        <w:spacing w:line="560" w:lineRule="exact"/>
        <w:ind w:firstLine="640"/>
        <w:rPr>
          <w:rFonts w:hint="eastAsia"/>
          <w:sz w:val="32"/>
        </w:rPr>
      </w:pPr>
      <w:r>
        <w:rPr>
          <w:rFonts w:eastAsia="方正仿宋_GBK"/>
          <w:sz w:val="32"/>
        </w:rPr>
        <w:t>3</w:t>
      </w:r>
      <w:r>
        <w:rPr>
          <w:rFonts w:hint="eastAsia" w:eastAsia="方正仿宋_GBK"/>
          <w:sz w:val="32"/>
        </w:rPr>
        <w:t>．</w:t>
      </w:r>
      <w:r>
        <w:rPr>
          <w:rFonts w:eastAsia="方正仿宋_GBK"/>
          <w:sz w:val="32"/>
        </w:rPr>
        <w:t>参与</w:t>
      </w:r>
      <w:r>
        <w:rPr>
          <w:rFonts w:hint="eastAsia" w:eastAsia="方正仿宋_GBK"/>
          <w:sz w:val="32"/>
        </w:rPr>
        <w:t>制定年度管线计划和</w:t>
      </w:r>
      <w:r>
        <w:rPr>
          <w:rFonts w:eastAsia="方正仿宋_GBK"/>
          <w:sz w:val="32"/>
        </w:rPr>
        <w:t>管线工程方案设计、初步设计、施工图设计的技术审查</w:t>
      </w:r>
      <w:r>
        <w:rPr>
          <w:rFonts w:hint="eastAsia" w:eastAsia="方正仿宋_GBK"/>
          <w:sz w:val="32"/>
        </w:rPr>
        <w:t>。</w:t>
      </w:r>
    </w:p>
    <w:p>
      <w:pPr>
        <w:autoSpaceDN w:val="0"/>
        <w:spacing w:line="560" w:lineRule="exact"/>
        <w:ind w:firstLine="640"/>
        <w:rPr>
          <w:rFonts w:hint="eastAsia"/>
          <w:sz w:val="32"/>
        </w:rPr>
      </w:pPr>
      <w:r>
        <w:rPr>
          <w:rFonts w:eastAsia="方正仿宋_GBK"/>
          <w:sz w:val="32"/>
        </w:rPr>
        <w:t>4</w:t>
      </w:r>
      <w:r>
        <w:rPr>
          <w:rFonts w:hint="eastAsia" w:eastAsia="方正仿宋_GBK"/>
          <w:sz w:val="32"/>
        </w:rPr>
        <w:t>．</w:t>
      </w:r>
      <w:r>
        <w:rPr>
          <w:rFonts w:eastAsia="方正仿宋_GBK"/>
          <w:sz w:val="32"/>
        </w:rPr>
        <w:t>负责开展相关的地下市政和交通设施</w:t>
      </w:r>
      <w:r>
        <w:rPr>
          <w:rFonts w:hint="eastAsia" w:eastAsia="方正仿宋_GBK"/>
          <w:sz w:val="32"/>
        </w:rPr>
        <w:t>，以及</w:t>
      </w:r>
      <w:r>
        <w:rPr>
          <w:rFonts w:eastAsia="方正仿宋_GBK"/>
          <w:sz w:val="32"/>
        </w:rPr>
        <w:t>综合管廊、停车场等功能设施工程档案信息化研究</w:t>
      </w:r>
      <w:r>
        <w:rPr>
          <w:rFonts w:hint="eastAsia" w:eastAsia="方正仿宋_GBK"/>
          <w:sz w:val="32"/>
        </w:rPr>
        <w:t>，并为其综合开发建设</w:t>
      </w:r>
      <w:r>
        <w:rPr>
          <w:rFonts w:eastAsia="方正仿宋_GBK"/>
          <w:sz w:val="32"/>
        </w:rPr>
        <w:t>提供技术性服务</w:t>
      </w:r>
      <w:r>
        <w:rPr>
          <w:rFonts w:hint="eastAsia" w:eastAsia="方正仿宋_GBK"/>
          <w:sz w:val="32"/>
        </w:rPr>
        <w:t>。</w:t>
      </w:r>
    </w:p>
    <w:p>
      <w:pPr>
        <w:autoSpaceDN w:val="0"/>
        <w:spacing w:line="560" w:lineRule="exact"/>
        <w:ind w:firstLine="640"/>
        <w:rPr>
          <w:rFonts w:hint="eastAsia"/>
          <w:sz w:val="32"/>
        </w:rPr>
      </w:pPr>
      <w:r>
        <w:rPr>
          <w:rFonts w:eastAsia="方正仿宋_GBK"/>
          <w:sz w:val="32"/>
        </w:rPr>
        <w:t>5</w:t>
      </w:r>
      <w:r>
        <w:rPr>
          <w:rFonts w:hint="eastAsia" w:eastAsia="方正仿宋_GBK"/>
          <w:sz w:val="32"/>
        </w:rPr>
        <w:t>．</w:t>
      </w:r>
      <w:r>
        <w:rPr>
          <w:rFonts w:eastAsia="方正仿宋_GBK"/>
          <w:sz w:val="32"/>
        </w:rPr>
        <w:t>组织开展城市排水防涝相关的事务性、技术性工作</w:t>
      </w:r>
      <w:r>
        <w:rPr>
          <w:rFonts w:hint="eastAsia" w:eastAsia="方正仿宋_GBK"/>
          <w:sz w:val="32"/>
        </w:rPr>
        <w:t>。</w:t>
      </w:r>
    </w:p>
    <w:p>
      <w:pPr>
        <w:autoSpaceDN w:val="0"/>
        <w:spacing w:line="560" w:lineRule="exact"/>
        <w:ind w:firstLine="640"/>
        <w:rPr>
          <w:rFonts w:hint="eastAsia"/>
          <w:sz w:val="32"/>
        </w:rPr>
      </w:pPr>
      <w:r>
        <w:rPr>
          <w:rFonts w:eastAsia="方正仿宋_GBK"/>
          <w:sz w:val="32"/>
        </w:rPr>
        <w:t>6</w:t>
      </w:r>
      <w:r>
        <w:rPr>
          <w:rFonts w:hint="eastAsia" w:eastAsia="方正仿宋_GBK"/>
          <w:sz w:val="32"/>
        </w:rPr>
        <w:t>．</w:t>
      </w:r>
      <w:r>
        <w:rPr>
          <w:rFonts w:eastAsia="方正仿宋_GBK"/>
          <w:sz w:val="32"/>
        </w:rPr>
        <w:t>组织实施城区管线工程档案信息化利用工作</w:t>
      </w:r>
      <w:r>
        <w:rPr>
          <w:rFonts w:hint="eastAsia" w:eastAsia="方正仿宋_GBK"/>
          <w:sz w:val="32"/>
        </w:rPr>
        <w:t>。</w:t>
      </w:r>
    </w:p>
    <w:p>
      <w:pPr>
        <w:autoSpaceDN w:val="0"/>
        <w:spacing w:line="560" w:lineRule="exact"/>
        <w:ind w:firstLine="640"/>
        <w:rPr>
          <w:rFonts w:ascii="方正仿宋_GBK" w:hAnsi="方正仿宋_GBK" w:eastAsia="方正仿宋_GBK" w:cs="方正仿宋_GBK"/>
          <w:kern w:val="0"/>
          <w:sz w:val="32"/>
          <w:szCs w:val="32"/>
        </w:rPr>
      </w:pPr>
      <w:r>
        <w:rPr>
          <w:rFonts w:eastAsia="方正仿宋_GBK"/>
          <w:sz w:val="32"/>
        </w:rPr>
        <w:t>7</w:t>
      </w:r>
      <w:r>
        <w:rPr>
          <w:rFonts w:hint="eastAsia" w:eastAsia="方正仿宋_GBK"/>
          <w:sz w:val="32"/>
        </w:rPr>
        <w:t>．</w:t>
      </w:r>
      <w:r>
        <w:rPr>
          <w:rFonts w:eastAsia="方正仿宋_GBK"/>
          <w:sz w:val="32"/>
        </w:rPr>
        <w:t>完成</w:t>
      </w:r>
      <w:r>
        <w:rPr>
          <w:rFonts w:hint="eastAsia" w:eastAsia="方正仿宋_GBK"/>
          <w:sz w:val="32"/>
        </w:rPr>
        <w:t>主管部门</w:t>
      </w:r>
      <w:r>
        <w:rPr>
          <w:rFonts w:eastAsia="方正仿宋_GBK"/>
          <w:sz w:val="32"/>
        </w:rPr>
        <w:t>交办的其他工作。</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xml:space="preserve"> （二）</w:t>
      </w:r>
      <w:r>
        <w:rPr>
          <w:rFonts w:hint="eastAsia" w:eastAsia="方正楷体_GBK"/>
          <w:sz w:val="32"/>
          <w:szCs w:val="32"/>
        </w:rPr>
        <w:t>人员编制和领导职数</w:t>
      </w:r>
    </w:p>
    <w:p>
      <w:pPr>
        <w:spacing w:line="576"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w:t>
      </w:r>
      <w:r>
        <w:rPr>
          <w:rFonts w:eastAsia="方正仿宋_GBK"/>
          <w:sz w:val="32"/>
        </w:rPr>
        <w:t>重庆市綦江区</w:t>
      </w:r>
      <w:r>
        <w:rPr>
          <w:rFonts w:hint="eastAsia" w:eastAsia="方正仿宋_GBK"/>
          <w:sz w:val="32"/>
          <w:szCs w:val="22"/>
        </w:rPr>
        <w:t>排水与污水处理管理中心</w:t>
      </w:r>
      <w:r>
        <w:rPr>
          <w:rFonts w:eastAsia="方正仿宋_GBK"/>
          <w:sz w:val="32"/>
        </w:rPr>
        <w:t>财政全额拨款事业编制5名</w:t>
      </w:r>
      <w:r>
        <w:rPr>
          <w:rFonts w:hint="eastAsia" w:eastAsia="方正仿宋_GBK"/>
          <w:sz w:val="32"/>
          <w:lang w:eastAsia="zh-CN"/>
        </w:rPr>
        <w:t>，</w:t>
      </w:r>
      <w:r>
        <w:rPr>
          <w:rFonts w:hint="eastAsia" w:eastAsia="方正仿宋_GBK"/>
          <w:sz w:val="32"/>
        </w:rPr>
        <w:t>设主任1名。</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（三）单位构成</w:t>
      </w:r>
    </w:p>
    <w:p>
      <w:pPr>
        <w:spacing w:line="600"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 </w:t>
      </w:r>
      <w:r>
        <w:rPr>
          <w:rFonts w:hint="eastAsia" w:ascii="方正仿宋_GBK" w:hAnsi="方正仿宋_GBK" w:eastAsia="方正仿宋_GBK" w:cs="方正仿宋_GBK"/>
          <w:kern w:val="0"/>
          <w:sz w:val="32"/>
          <w:szCs w:val="32"/>
        </w:rPr>
        <w:t>本部门无下级预算单位。</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二、部门决算情况说明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（一）收入支出决算总体情况说明</w:t>
      </w:r>
      <w:r>
        <w:rPr>
          <w:rFonts w:hint="eastAsia" w:ascii="方正仿宋_GBK" w:hAnsi="方正仿宋_GBK" w:eastAsia="方正仿宋_GBK" w:cs="方正仿宋_GBK"/>
          <w:sz w:val="32"/>
          <w:szCs w:val="32"/>
        </w:rPr>
        <w:t xml:space="preserve"> </w:t>
      </w:r>
    </w:p>
    <w:p>
      <w:pPr>
        <w:pStyle w:val="4"/>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lang w:val="en-US" w:eastAsia="zh-CN"/>
        </w:rPr>
      </w:pPr>
      <w:r>
        <w:rPr>
          <w:rStyle w:val="7"/>
          <w:rFonts w:hint="eastAsia" w:ascii="方正仿宋_GBK" w:hAnsi="方正仿宋_GBK" w:eastAsia="方正仿宋_GBK" w:cs="方正仿宋_GBK"/>
          <w:b w:val="0"/>
          <w:bCs w:val="0"/>
          <w:sz w:val="32"/>
          <w:szCs w:val="32"/>
          <w:lang w:val="en-US" w:eastAsia="zh-CN"/>
        </w:rPr>
        <w:t>1</w:t>
      </w:r>
      <w:r>
        <w:rPr>
          <w:rStyle w:val="7"/>
          <w:rFonts w:hint="eastAsia" w:ascii="方正仿宋_GBK" w:hAnsi="方正仿宋_GBK" w:eastAsia="方正仿宋_GBK" w:cs="方正仿宋_GBK"/>
          <w:b w:val="0"/>
          <w:bCs w:val="0"/>
          <w:sz w:val="32"/>
          <w:szCs w:val="32"/>
        </w:rPr>
        <w:t>.收入情况。</w:t>
      </w:r>
      <w:r>
        <w:rPr>
          <w:rFonts w:hint="eastAsia" w:ascii="方正仿宋_GBK" w:hAnsi="方正仿宋_GBK" w:eastAsia="方正仿宋_GBK" w:cs="方正仿宋_GBK"/>
          <w:sz w:val="32"/>
          <w:szCs w:val="32"/>
        </w:rPr>
        <w:t>2020年度收入合计20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34万元。</w:t>
      </w:r>
      <w:r>
        <w:rPr>
          <w:rFonts w:hint="eastAsia" w:ascii="方正仿宋_GBK" w:hAnsi="方正仿宋_GBK" w:eastAsia="方正仿宋_GBK" w:cs="方正仿宋_GBK"/>
          <w:sz w:val="32"/>
          <w:szCs w:val="32"/>
          <w:lang w:eastAsia="zh-CN"/>
        </w:rPr>
        <w:t>因本单位于</w:t>
      </w:r>
      <w:r>
        <w:rPr>
          <w:rFonts w:hint="eastAsia" w:ascii="方正仿宋_GBK" w:hAnsi="方正仿宋_GBK" w:eastAsia="方正仿宋_GBK" w:cs="方正仿宋_GBK"/>
          <w:sz w:val="32"/>
          <w:szCs w:val="32"/>
          <w:lang w:val="en-US" w:eastAsia="zh-CN"/>
        </w:rPr>
        <w:t>2019年12月设立，无2019年决算数据，因此无与上年对比情况。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lang w:val="en-US" w:eastAsia="zh-CN"/>
        </w:rPr>
        <w:t>2</w:t>
      </w:r>
      <w:r>
        <w:rPr>
          <w:rStyle w:val="7"/>
          <w:rFonts w:hint="eastAsia" w:ascii="方正仿宋_GBK" w:hAnsi="方正仿宋_GBK" w:eastAsia="方正仿宋_GBK" w:cs="方正仿宋_GBK"/>
          <w:b w:val="0"/>
          <w:bCs w:val="0"/>
          <w:sz w:val="32"/>
          <w:szCs w:val="32"/>
        </w:rPr>
        <w:t>.支出情况。</w:t>
      </w:r>
      <w:r>
        <w:rPr>
          <w:rFonts w:hint="eastAsia" w:ascii="方正仿宋_GBK" w:hAnsi="方正仿宋_GBK" w:eastAsia="方正仿宋_GBK" w:cs="方正仿宋_GBK"/>
          <w:sz w:val="32"/>
          <w:szCs w:val="32"/>
        </w:rPr>
        <w:t>2020年度支出合计19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万元。其中：基本支出19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本单位无</w:t>
      </w:r>
      <w:r>
        <w:rPr>
          <w:rFonts w:hint="eastAsia" w:ascii="方正仿宋_GBK" w:hAnsi="方正仿宋_GBK" w:eastAsia="方正仿宋_GBK" w:cs="方正仿宋_GBK"/>
          <w:sz w:val="32"/>
          <w:szCs w:val="32"/>
        </w:rPr>
        <w:t>项目支出。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lang w:val="en-US" w:eastAsia="zh-CN"/>
        </w:rPr>
        <w:t>3</w:t>
      </w:r>
      <w:r>
        <w:rPr>
          <w:rStyle w:val="7"/>
          <w:rFonts w:hint="eastAsia" w:ascii="方正仿宋_GBK" w:hAnsi="方正仿宋_GBK" w:eastAsia="方正仿宋_GBK" w:cs="方正仿宋_GBK"/>
          <w:b w:val="0"/>
          <w:bCs w:val="0"/>
          <w:sz w:val="32"/>
          <w:szCs w:val="32"/>
        </w:rPr>
        <w:t>.结转结余情况。</w:t>
      </w:r>
      <w:r>
        <w:rPr>
          <w:rFonts w:hint="eastAsia"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lang w:eastAsia="zh-CN"/>
        </w:rPr>
        <w:t>年末结转结余1</w:t>
      </w:r>
      <w:r>
        <w:rPr>
          <w:rFonts w:hint="eastAsia" w:ascii="方正仿宋_GBK" w:hAnsi="方正仿宋_GBK" w:eastAsia="方正仿宋_GBK" w:cs="方正仿宋_GBK"/>
          <w:sz w:val="32"/>
          <w:szCs w:val="32"/>
          <w:lang w:val="en-US" w:eastAsia="zh-CN"/>
        </w:rPr>
        <w:t>.2万元</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（二）财政拨款收入支出决算总体情况说明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2020年度财政拨款收、支总计20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34万元。</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（三）一般公共预算财政拨款支出决算情况说明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1.收入情况。</w:t>
      </w:r>
      <w:r>
        <w:rPr>
          <w:rFonts w:hint="eastAsia" w:ascii="方正仿宋_GBK" w:hAnsi="方正仿宋_GBK" w:eastAsia="方正仿宋_GBK" w:cs="方正仿宋_GBK"/>
          <w:sz w:val="32"/>
          <w:szCs w:val="32"/>
        </w:rPr>
        <w:t>2020年度一般公共预算财政拨款收入20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34万元，</w:t>
      </w:r>
      <w:r>
        <w:rPr>
          <w:rFonts w:hint="eastAsia" w:ascii="方正仿宋_GBK" w:hAnsi="方正仿宋_GBK" w:eastAsia="方正仿宋_GBK" w:cs="方正仿宋_GBK"/>
          <w:sz w:val="32"/>
          <w:szCs w:val="32"/>
          <w:lang w:eastAsia="zh-CN"/>
        </w:rPr>
        <w:t>主要用于人员经费</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2.支出情况。</w:t>
      </w:r>
      <w:r>
        <w:rPr>
          <w:rFonts w:hint="eastAsia" w:ascii="方正仿宋_GBK" w:hAnsi="方正仿宋_GBK" w:eastAsia="方正仿宋_GBK" w:cs="方正仿宋_GBK"/>
          <w:sz w:val="32"/>
          <w:szCs w:val="32"/>
        </w:rPr>
        <w:t>2020年度一般公共预算财政拨款支出19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主要用于人员经费</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3.结转结余情况。</w:t>
      </w:r>
      <w:r>
        <w:rPr>
          <w:rFonts w:hint="eastAsia"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lang w:eastAsia="zh-CN"/>
        </w:rPr>
        <w:t>年末结转结余1</w:t>
      </w:r>
      <w:r>
        <w:rPr>
          <w:rFonts w:hint="eastAsia" w:ascii="方正仿宋_GBK" w:hAnsi="方正仿宋_GBK" w:eastAsia="方正仿宋_GBK" w:cs="方正仿宋_GBK"/>
          <w:sz w:val="32"/>
          <w:szCs w:val="32"/>
          <w:lang w:val="en-US" w:eastAsia="zh-CN"/>
        </w:rPr>
        <w:t>.2万元</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（四）一般公共预算财政拨款基本支出决算情况说明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2020年度一般公共财政拨款基本支出</w:t>
      </w:r>
      <w:bookmarkStart w:id="0" w:name="_GoBack"/>
      <w:bookmarkEnd w:id="0"/>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万元。其中：人员经费17</w:t>
      </w:r>
      <w:r>
        <w:rPr>
          <w:rFonts w:hint="eastAsia" w:ascii="方正仿宋_GBK" w:hAnsi="方正仿宋_GBK" w:eastAsia="方正仿宋_GBK" w:cs="方正仿宋_GBK"/>
          <w:sz w:val="32"/>
          <w:szCs w:val="32"/>
          <w:lang w:val="en-US" w:eastAsia="zh-CN"/>
        </w:rPr>
        <w:t>.90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人员经费用途主要包括：基本工资、津贴补贴、绩效工资、社会保障缴费、公积金等。公用经费1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25万元，公用经费用途主要包括：办公费、水费、电费、邮费、公车运行费、差旅费等。</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（五）政府性基金预算收支决算情况说明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2020年度无政府性基金预算财政拨款收支。</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（六）国有资本经营预算财政拨款支决算情况说明。</w:t>
      </w:r>
      <w:r>
        <w:rPr>
          <w:rFonts w:hint="eastAsia" w:ascii="方正楷体_GBK" w:hAnsi="方正楷体_GBK" w:eastAsia="方正楷体_GBK" w:cs="方正楷体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2020年度无国有资本经营预算财政拨款支出。</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三、“三公”经费情况说明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w:t>
      </w:r>
      <w:r>
        <w:rPr>
          <w:rFonts w:hint="eastAsia" w:ascii="方正仿宋_GBK" w:hAnsi="方正仿宋_GBK" w:eastAsia="方正仿宋_GBK" w:cs="方正仿宋_GBK"/>
          <w:sz w:val="32"/>
          <w:szCs w:val="32"/>
          <w:lang w:eastAsia="zh-CN"/>
        </w:rPr>
        <w:t>无“三公”经费支出</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黑体_GBK" w:hAnsi="方正黑体_GBK" w:eastAsia="方正黑体_GBK" w:cs="方正黑体_GBK"/>
          <w:b w:val="0"/>
          <w:bCs w:val="0"/>
          <w:sz w:val="32"/>
          <w:szCs w:val="32"/>
        </w:rPr>
        <w:t>四、其他需要说明的事项</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w:t>
      </w:r>
      <w:r>
        <w:rPr>
          <w:rStyle w:val="7"/>
          <w:rFonts w:hint="eastAsia" w:ascii="方正楷体_GBK" w:hAnsi="方正楷体_GBK" w:eastAsia="方正楷体_GBK" w:cs="方正楷体_GBK"/>
          <w:b w:val="0"/>
          <w:bCs w:val="0"/>
          <w:sz w:val="32"/>
          <w:szCs w:val="32"/>
          <w:lang w:eastAsia="zh-CN"/>
        </w:rPr>
        <w:t>一</w:t>
      </w:r>
      <w:r>
        <w:rPr>
          <w:rStyle w:val="7"/>
          <w:rFonts w:hint="eastAsia" w:ascii="方正楷体_GBK" w:hAnsi="方正楷体_GBK" w:eastAsia="方正楷体_GBK" w:cs="方正楷体_GBK"/>
          <w:b w:val="0"/>
          <w:bCs w:val="0"/>
          <w:sz w:val="32"/>
          <w:szCs w:val="32"/>
        </w:rPr>
        <w:t>）国有资产占用情况说明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截至2020年12月31日，本部门共有车辆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辆，单价50万元（含）以上通用设备0台（套），单价100万元（含）以上专用设备0台（套）。</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w:t>
      </w:r>
      <w:r>
        <w:rPr>
          <w:rStyle w:val="7"/>
          <w:rFonts w:hint="eastAsia" w:ascii="方正楷体_GBK" w:hAnsi="方正楷体_GBK" w:eastAsia="方正楷体_GBK" w:cs="方正楷体_GBK"/>
          <w:b w:val="0"/>
          <w:bCs w:val="0"/>
          <w:sz w:val="32"/>
          <w:szCs w:val="32"/>
          <w:lang w:eastAsia="zh-CN"/>
        </w:rPr>
        <w:t>二</w:t>
      </w:r>
      <w:r>
        <w:rPr>
          <w:rStyle w:val="7"/>
          <w:rFonts w:hint="eastAsia" w:ascii="方正楷体_GBK" w:hAnsi="方正楷体_GBK" w:eastAsia="方正楷体_GBK" w:cs="方正楷体_GBK"/>
          <w:b w:val="0"/>
          <w:bCs w:val="0"/>
          <w:sz w:val="32"/>
          <w:szCs w:val="32"/>
        </w:rPr>
        <w:t>）政府采购支出情况说明</w:t>
      </w:r>
    </w:p>
    <w:p>
      <w:pPr>
        <w:pStyle w:val="4"/>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2020年度</w:t>
      </w:r>
      <w:r>
        <w:rPr>
          <w:rFonts w:hint="eastAsia" w:ascii="方正仿宋_GBK" w:hAnsi="方正仿宋_GBK" w:eastAsia="方正仿宋_GBK" w:cs="方正仿宋_GBK"/>
          <w:sz w:val="32"/>
          <w:szCs w:val="32"/>
          <w:lang w:eastAsia="zh-CN"/>
        </w:rPr>
        <w:t>本单位无政府采购支出。</w:t>
      </w:r>
    </w:p>
    <w:p>
      <w:pPr>
        <w:pStyle w:val="4"/>
        <w:shd w:val="clear" w:color="auto" w:fill="FFFFFF"/>
        <w:spacing w:before="0" w:beforeAutospacing="0" w:after="0" w:afterAutospacing="0" w:line="600" w:lineRule="exact"/>
        <w:ind w:firstLine="640" w:firstLineChars="200"/>
        <w:rPr>
          <w:rStyle w:val="7"/>
          <w:rFonts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五、预算绩效管理情况说明</w:t>
      </w:r>
    </w:p>
    <w:p>
      <w:pPr>
        <w:pStyle w:val="4"/>
        <w:shd w:val="clear" w:color="auto" w:fill="FFFFFF"/>
        <w:spacing w:before="0" w:beforeAutospacing="0" w:after="0" w:afterAutospacing="0" w:line="600" w:lineRule="exact"/>
        <w:ind w:firstLine="640" w:firstLineChars="200"/>
        <w:rPr>
          <w:rStyle w:val="7"/>
          <w:rFonts w:hint="eastAsia" w:ascii="方正楷体_GBK" w:hAnsi="方正楷体_GBK" w:eastAsia="方正楷体_GBK" w:cs="方正楷体_GBK"/>
          <w:b w:val="0"/>
          <w:bCs w:val="0"/>
          <w:sz w:val="32"/>
          <w:szCs w:val="32"/>
          <w:lang w:eastAsia="zh-CN"/>
        </w:rPr>
      </w:pPr>
      <w:r>
        <w:rPr>
          <w:rStyle w:val="7"/>
          <w:rFonts w:hint="eastAsia" w:ascii="方正楷体_GBK" w:hAnsi="方正楷体_GBK" w:eastAsia="方正楷体_GBK" w:cs="方正楷体_GBK"/>
          <w:b w:val="0"/>
          <w:bCs w:val="0"/>
          <w:sz w:val="32"/>
          <w:szCs w:val="32"/>
          <w:lang w:eastAsia="zh-CN"/>
        </w:rPr>
        <w:t>本单位本年无预算项目。</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六、专业名词解释</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（二）事业收入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（三）经营收入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（四）其他收入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（五）使用非财政拨款结余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（六）年初结转和结余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（七）结余分配</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（八）年末结转和结余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指单位结转下年的基本支出结转、项目支出结转和结余、经营结余。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（九）基本支出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（十）项目支出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指在基本支出之外为完成特定行政任务和事业发展目标所发生的支出。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（十一）经营支出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（十二）“三公”经费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（十三）机关运行经费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（十四）工资福利支出（支出经济分类科目类级）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（十五）商品和服务支出（支出经济分类科目类级）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（十六）对个人和家庭的补助（支出经济分类科目类级）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反映用于对个人和家庭的补助支出。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（十七）其他资本性支出（支出经济分类科目类级）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七、决算公开联系方式及信息反馈渠道</w:t>
      </w:r>
    </w:p>
    <w:p>
      <w:pPr>
        <w:pStyle w:val="4"/>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本单位决算公开信息反馈和联系方式：023-</w:t>
      </w:r>
      <w:r>
        <w:rPr>
          <w:rFonts w:hint="eastAsia" w:ascii="方正仿宋_GBK" w:hAnsi="方正仿宋_GBK" w:eastAsia="方正仿宋_GBK" w:cs="方正仿宋_GBK"/>
          <w:sz w:val="32"/>
          <w:szCs w:val="32"/>
          <w:lang w:val="en-US" w:eastAsia="zh-CN"/>
        </w:rPr>
        <w:t>48678817</w:t>
      </w:r>
    </w:p>
    <w:p>
      <w:pPr>
        <w:spacing w:line="600" w:lineRule="exact"/>
        <w:ind w:firstLine="640" w:firstLineChars="200"/>
        <w:rPr>
          <w:rFonts w:ascii="方正仿宋_GBK" w:hAnsi="方正仿宋_GBK" w:eastAsia="方正仿宋_GBK" w:cs="方正仿宋_GBK"/>
          <w:sz w:val="32"/>
          <w:szCs w:val="32"/>
        </w:rPr>
      </w:pPr>
    </w:p>
    <w:sectPr>
      <w:footerReference r:id="rId3" w:type="default"/>
      <w:pgSz w:w="11907" w:h="16840"/>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7B"/>
    <w:rsid w:val="0007217C"/>
    <w:rsid w:val="0010015B"/>
    <w:rsid w:val="001446A2"/>
    <w:rsid w:val="00157454"/>
    <w:rsid w:val="001A18A6"/>
    <w:rsid w:val="002A4C28"/>
    <w:rsid w:val="002B022A"/>
    <w:rsid w:val="002D2C96"/>
    <w:rsid w:val="00303603"/>
    <w:rsid w:val="0037522A"/>
    <w:rsid w:val="003D49B9"/>
    <w:rsid w:val="0042272C"/>
    <w:rsid w:val="0049487E"/>
    <w:rsid w:val="005F365B"/>
    <w:rsid w:val="00745143"/>
    <w:rsid w:val="0076166A"/>
    <w:rsid w:val="007D1C53"/>
    <w:rsid w:val="007E19AE"/>
    <w:rsid w:val="007F6E7B"/>
    <w:rsid w:val="00846D8F"/>
    <w:rsid w:val="00896186"/>
    <w:rsid w:val="008C5058"/>
    <w:rsid w:val="009D690C"/>
    <w:rsid w:val="00A01CDC"/>
    <w:rsid w:val="00A26C6F"/>
    <w:rsid w:val="00AA1E7B"/>
    <w:rsid w:val="00AC759F"/>
    <w:rsid w:val="00B24895"/>
    <w:rsid w:val="00BE1F61"/>
    <w:rsid w:val="00C070B5"/>
    <w:rsid w:val="00C34749"/>
    <w:rsid w:val="00C86CFF"/>
    <w:rsid w:val="00D02F88"/>
    <w:rsid w:val="00D20887"/>
    <w:rsid w:val="00EA1AF4"/>
    <w:rsid w:val="00ED7FFB"/>
    <w:rsid w:val="00F505D4"/>
    <w:rsid w:val="0C61094F"/>
    <w:rsid w:val="0CBF1694"/>
    <w:rsid w:val="224C1A3B"/>
    <w:rsid w:val="25A12236"/>
    <w:rsid w:val="25D04209"/>
    <w:rsid w:val="26E17672"/>
    <w:rsid w:val="3159646B"/>
    <w:rsid w:val="3D3E2948"/>
    <w:rsid w:val="3DED480F"/>
    <w:rsid w:val="41A74D5E"/>
    <w:rsid w:val="4ED06512"/>
    <w:rsid w:val="54F475B1"/>
    <w:rsid w:val="551821DB"/>
    <w:rsid w:val="5CAB10CA"/>
    <w:rsid w:val="6FE340AA"/>
    <w:rsid w:val="731716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12</Pages>
  <Words>840</Words>
  <Characters>4792</Characters>
  <Lines>39</Lines>
  <Paragraphs>11</Paragraphs>
  <TotalTime>11</TotalTime>
  <ScaleCrop>false</ScaleCrop>
  <LinksUpToDate>false</LinksUpToDate>
  <CharactersWithSpaces>5621</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2021-10-15T02:49:00Z</dcterms:created>
  <dc:creator>hp</dc:creator>
  <cp:lastModifiedBy>RL</cp:lastModifiedBy>
  <dcterms:modified xsi:type="dcterms:W3CDTF">2022-02-24T07:52:35Z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05FF45E9F2BE42FE81557C4B4139C0EF</vt:lpwstr>
  </property>
</Properties>
</file>