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重庆市綦江区永新镇旅游服务中心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eastAsiaTheme="minorEastAsia"/>
          <w:color w:val="auto"/>
          <w:lang w:val="en-US" w:eastAsia="zh-CN"/>
        </w:rPr>
      </w:pPr>
      <w:r>
        <w:rPr>
          <w:rFonts w:hint="eastAsia" w:ascii="方正仿宋_GBK" w:hAnsi="方正仿宋_GBK" w:eastAsia="方正仿宋_GBK" w:cs="方正仿宋_GBK"/>
          <w:color w:val="auto"/>
          <w:sz w:val="32"/>
          <w:szCs w:val="32"/>
          <w:shd w:val="clear" w:fill="FFFFFF"/>
          <w:lang w:val="en-US" w:eastAsia="zh-CN"/>
        </w:rPr>
        <w:t>承担全镇旅游业发展规划和年度计划制定和组织实施，指导乡村旅游示范点、旅游度假区建设；负责全镇旅游资源的普查、规划，指导、协调旅游资源开发利用和保护工作；负责本辖区旅游合作联络对接工作；负责旅游统计、信息咨询和旅游重大节庆活动策划、组织等工作；协助旅游产业扶贫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eastAsia="方正仿宋_GBK"/>
          <w:color w:val="auto"/>
          <w:lang w:eastAsia="zh-CN"/>
        </w:rPr>
      </w:pPr>
      <w:r>
        <w:rPr>
          <w:rFonts w:hint="eastAsia" w:ascii="方正仿宋_GBK" w:hAnsi="方正仿宋_GBK" w:eastAsia="方正仿宋_GBK" w:cs="方正仿宋_GBK"/>
          <w:color w:val="auto"/>
          <w:sz w:val="32"/>
          <w:szCs w:val="32"/>
        </w:rPr>
        <w:t>根据《中共重庆市綦江区委机构编制委员会关于印发&lt;重庆市綦江区永新镇综合办事机构和事业单位机构编制方案&gt;的通知》（綦委编〔2019〕38号）精神</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i w:val="0"/>
          <w:iCs w:val="0"/>
          <w:caps w:val="0"/>
          <w:color w:val="auto"/>
          <w:spacing w:val="0"/>
          <w:sz w:val="32"/>
          <w:szCs w:val="32"/>
          <w:shd w:val="clear" w:fill="FFFFFF"/>
        </w:rPr>
        <w:t>重庆市綦江区永新镇旅游服务中心是重庆市綦江区永新镇人民政府下属二级预算单位</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ascii="方正仿宋_GBK" w:hAnsi="方正仿宋_GBK" w:eastAsia="方正仿宋_GBK" w:cs="方正仿宋_GBK"/>
          <w:i w:val="0"/>
          <w:iCs w:val="0"/>
          <w:caps w:val="0"/>
          <w:color w:val="auto"/>
          <w:spacing w:val="0"/>
          <w:sz w:val="32"/>
          <w:szCs w:val="32"/>
          <w:shd w:val="clear" w:fill="FFFFFF"/>
        </w:rPr>
        <w:t>为财政全额拨款事业单位。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2023年度收入总计69.20万元，支出总计</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万元。收支较上年决算数增加0.97万元，增长1.42%，主要原因是</w:t>
      </w:r>
      <w:r>
        <w:rPr>
          <w:rFonts w:ascii="方正仿宋_GBK" w:hAnsi="方正仿宋_GBK" w:eastAsia="方正仿宋_GBK" w:cs="方正仿宋_GBK"/>
          <w:color w:val="FF0000"/>
          <w:sz w:val="32"/>
          <w:szCs w:val="32"/>
          <w:shd w:val="clear" w:color="auto" w:fill="FFFFFF"/>
        </w:rPr>
        <w:t>.</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val="en-US" w:eastAsia="zh-CN"/>
        </w:rPr>
        <w:t>导致收支增加。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2023年度收入合计69.20万元，较上年决算数增加0.97万元，增长1.42%，主要原因是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val="en-US" w:eastAsia="zh-CN"/>
        </w:rPr>
        <w:t>导致收入增加。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万元，较上年决算数增加0.97万元，增长1.42%，主要原因是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val="en-US" w:eastAsia="zh-CN"/>
        </w:rPr>
        <w:t>导致支出增加。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2023年度财政拨款收、支总计69.20万元。与2022年相比，财政拨款收、支总计各增加0.97万元，增长1.42%。主要原因是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numPr>
          <w:ilvl w:val="0"/>
          <w:numId w:val="0"/>
        </w:numPr>
        <w:snapToGrid/>
        <w:spacing w:line="52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万元，较上年决算数增加0.97万元，增长1.42%。主要原因是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eastAsia="zh-CN"/>
        </w:rPr>
        <w:t>。</w:t>
      </w:r>
      <w:r>
        <w:rPr>
          <w:rFonts w:ascii="方正仿宋_GBK" w:hAnsi="方正仿宋_GBK" w:eastAsia="方正仿宋_GBK" w:cs="方正仿宋_GBK"/>
          <w:sz w:val="32"/>
          <w:szCs w:val="32"/>
          <w:shd w:val="clear" w:color="auto" w:fill="FFFFFF"/>
        </w:rPr>
        <w:t>较年初预算数减少10.16万元，下降12.80%。主要原因是</w:t>
      </w:r>
      <w:r>
        <w:rPr>
          <w:rFonts w:hint="eastAsia" w:ascii="仿宋_GB2312" w:hAnsi="仿宋" w:eastAsia="仿宋_GB2312"/>
          <w:sz w:val="32"/>
          <w:szCs w:val="32"/>
          <w:lang w:val="en-US" w:eastAsia="zh-CN"/>
        </w:rPr>
        <w:t>财政调剂回收了部分资金。调剂回收金额最大的为</w:t>
      </w:r>
      <w:r>
        <w:rPr>
          <w:rFonts w:hint="eastAsia" w:ascii="方正仿宋_GBK" w:hAnsi="方正仿宋_GBK" w:eastAsia="方正仿宋_GBK" w:cs="方正仿宋_GBK"/>
          <w:sz w:val="32"/>
          <w:szCs w:val="32"/>
          <w:lang w:val="en-US" w:eastAsia="zh-CN"/>
        </w:rPr>
        <w:t>207文化旅游体育与传媒支出年初预算数为25.96万元，綦江财发〔2023〕1号文件调剂收回了16.70万元，该功能科目年末收入决算数为9.25万元。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numPr>
          <w:ilvl w:val="0"/>
          <w:numId w:val="0"/>
        </w:numPr>
        <w:snapToGrid/>
        <w:spacing w:line="520" w:lineRule="exact"/>
        <w:ind w:firstLine="643" w:firstLineChars="200"/>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万元，较上年决算数增加0.97万元，增长1.42%。主要原因是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eastAsia="zh-CN"/>
        </w:rPr>
        <w:t>。</w:t>
      </w:r>
      <w:r>
        <w:rPr>
          <w:rFonts w:ascii="方正仿宋_GBK" w:hAnsi="方正仿宋_GBK" w:eastAsia="方正仿宋_GBK" w:cs="方正仿宋_GBK"/>
          <w:sz w:val="32"/>
          <w:szCs w:val="32"/>
          <w:shd w:val="clear" w:color="auto" w:fill="FFFFFF"/>
        </w:rPr>
        <w:t>较年初预算数减少10.16万元，下降12.80%。主要原因是</w:t>
      </w:r>
      <w:r>
        <w:rPr>
          <w:rFonts w:hint="eastAsia" w:ascii="仿宋_GB2312" w:hAnsi="仿宋" w:eastAsia="仿宋_GB2312"/>
          <w:sz w:val="32"/>
          <w:szCs w:val="32"/>
          <w:lang w:val="en-US" w:eastAsia="zh-CN"/>
        </w:rPr>
        <w:t>财政调剂回收了部分资金。调剂回收金额最大的为</w:t>
      </w:r>
      <w:r>
        <w:rPr>
          <w:rFonts w:hint="eastAsia" w:ascii="方正仿宋_GBK" w:hAnsi="方正仿宋_GBK" w:eastAsia="方正仿宋_GBK" w:cs="方正仿宋_GBK"/>
          <w:sz w:val="32"/>
          <w:szCs w:val="32"/>
          <w:lang w:val="en-US" w:eastAsia="zh-CN"/>
        </w:rPr>
        <w:t>207文化旅游体育与传媒支出年初预算数为25.96万元，綦江财发〔2023〕1号文件调剂收回了16.70万元，该功能科目年末收入决算数为9.25万元。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numPr>
          <w:ilvl w:val="0"/>
          <w:numId w:val="0"/>
        </w:numPr>
        <w:snapToGrid/>
        <w:spacing w:line="520" w:lineRule="exact"/>
        <w:ind w:firstLine="640" w:firstLineChars="200"/>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57.50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83.09</w:t>
      </w:r>
      <w:r>
        <w:rPr>
          <w:rFonts w:ascii="方正仿宋_GBK" w:hAnsi="方正仿宋_GBK" w:eastAsia="方正仿宋_GBK" w:cs="方正仿宋_GBK"/>
          <w:sz w:val="32"/>
          <w:szCs w:val="32"/>
          <w:shd w:val="clear" w:color="auto" w:fill="FFFFFF"/>
        </w:rPr>
        <w:t>%，较年初预算数减少8.88万元，下降13.38%，</w:t>
      </w:r>
      <w:r>
        <w:rPr>
          <w:rFonts w:hint="eastAsia" w:ascii="方正仿宋_GBK" w:hAnsi="方正仿宋_GBK" w:eastAsia="方正仿宋_GBK" w:cs="方正仿宋_GBK"/>
          <w:sz w:val="32"/>
          <w:szCs w:val="32"/>
          <w:shd w:val="clear" w:color="auto" w:fill="FFFFFF"/>
          <w:lang w:val="en-US" w:eastAsia="zh-CN"/>
        </w:rPr>
        <w:t>年中有人员退休，人员经费减少。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8.93</w:t>
      </w:r>
      <w:r>
        <w:rPr>
          <w:rFonts w:ascii="方正仿宋_GBK" w:hAnsi="方正仿宋_GBK" w:eastAsia="方正仿宋_GBK" w:cs="方正仿宋_GBK"/>
          <w:sz w:val="32"/>
          <w:szCs w:val="32"/>
          <w:shd w:val="clear" w:color="auto" w:fill="FFFFFF"/>
        </w:rPr>
        <w:t>%，较年初预算数减少0.33万元，下降5.07%，主要原因是</w:t>
      </w:r>
      <w:r>
        <w:rPr>
          <w:rFonts w:hint="eastAsia" w:ascii="方正仿宋_GBK" w:hAnsi="方正仿宋_GBK" w:eastAsia="方正仿宋_GBK" w:cs="方正仿宋_GBK"/>
          <w:sz w:val="32"/>
          <w:szCs w:val="32"/>
          <w:shd w:val="clear" w:color="auto" w:fill="FFFFFF"/>
          <w:lang w:val="en-US" w:eastAsia="zh-CN"/>
        </w:rPr>
        <w:t>年中有人员退休，社保缴费减少。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3.67</w:t>
      </w:r>
      <w:r>
        <w:rPr>
          <w:rFonts w:ascii="方正仿宋_GBK" w:hAnsi="方正仿宋_GBK" w:eastAsia="方正仿宋_GBK" w:cs="方正仿宋_GBK"/>
          <w:sz w:val="32"/>
          <w:szCs w:val="32"/>
          <w:shd w:val="clear" w:color="auto" w:fill="FFFFFF"/>
        </w:rPr>
        <w:t>%，较年初预算数减少0.68万元，下降21.12%，主要原因是</w:t>
      </w:r>
      <w:r>
        <w:rPr>
          <w:rFonts w:hint="eastAsia" w:ascii="方正仿宋_GBK" w:hAnsi="方正仿宋_GBK" w:eastAsia="方正仿宋_GBK" w:cs="方正仿宋_GBK"/>
          <w:sz w:val="32"/>
          <w:szCs w:val="32"/>
          <w:shd w:val="clear" w:color="auto" w:fill="FFFFFF"/>
          <w:lang w:val="en-US" w:eastAsia="zh-CN"/>
        </w:rPr>
        <w:t>年中有人员退休，医保缴费减少。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%，较年初预算数减少0.27万元，下降8.31%，主要原因是</w:t>
      </w:r>
      <w:r>
        <w:rPr>
          <w:rFonts w:hint="eastAsia" w:ascii="方正仿宋_GBK" w:hAnsi="方正仿宋_GBK" w:eastAsia="方正仿宋_GBK" w:cs="方正仿宋_GBK"/>
          <w:sz w:val="32"/>
          <w:szCs w:val="32"/>
          <w:shd w:val="clear" w:color="auto" w:fill="FFFFFF"/>
          <w:lang w:val="en-US" w:eastAsia="zh-CN"/>
        </w:rPr>
        <w:t>年中有人员退休，住房公积金缴费减少。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69.20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56.89</w:t>
      </w:r>
      <w:r>
        <w:rPr>
          <w:rFonts w:ascii="方正仿宋_GBK" w:hAnsi="方正仿宋_GBK" w:eastAsia="方正仿宋_GBK" w:cs="方正仿宋_GBK"/>
          <w:sz w:val="32"/>
          <w:szCs w:val="32"/>
          <w:shd w:val="clear" w:color="auto" w:fill="FFFFFF"/>
        </w:rPr>
        <w:t>万元，较上年决算数增加0.85万元，增长1.52%，主要原因是</w:t>
      </w:r>
      <w:r>
        <w:rPr>
          <w:rFonts w:hint="eastAsia" w:ascii="仿宋_GB2312" w:hAnsi="仿宋" w:eastAsia="仿宋_GB2312" w:cs="Times New Roman"/>
          <w:sz w:val="32"/>
          <w:szCs w:val="32"/>
        </w:rPr>
        <w:t>2023年工资改革，工资略有上浮，人员经费增加</w:t>
      </w:r>
      <w:r>
        <w:rPr>
          <w:rFonts w:hint="eastAsia" w:ascii="仿宋_GB2312" w:hAnsi="仿宋" w:eastAsia="仿宋_GB2312" w:cs="Times New Roman"/>
          <w:sz w:val="32"/>
          <w:szCs w:val="32"/>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rPr>
        <w:t>职工工资福利、缴纳社保等。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12.31</w:t>
      </w:r>
      <w:r>
        <w:rPr>
          <w:rFonts w:ascii="方正仿宋_GBK" w:hAnsi="方正仿宋_GBK" w:eastAsia="方正仿宋_GBK" w:cs="方正仿宋_GBK"/>
          <w:sz w:val="32"/>
          <w:szCs w:val="32"/>
          <w:shd w:val="clear" w:color="auto" w:fill="FFFFFF"/>
        </w:rPr>
        <w:t>万元，较上年决算数增加0.13万元，增长1.07%，主要原因是</w:t>
      </w:r>
      <w:r>
        <w:rPr>
          <w:rFonts w:hint="eastAsia" w:ascii="方正仿宋_GBK" w:hAnsi="方正仿宋_GBK" w:eastAsia="方正仿宋_GBK" w:cs="方正仿宋_GBK"/>
          <w:sz w:val="32"/>
          <w:szCs w:val="32"/>
          <w:shd w:val="clear" w:color="auto" w:fill="FFFFFF"/>
          <w:lang w:val="en-US" w:eastAsia="zh-CN"/>
        </w:rPr>
        <w:t>与政府合署办公</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年本单位实际发生</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12.31</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val="en-US" w:eastAsia="zh-CN"/>
        </w:rPr>
        <w:t>办公经费等。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政府性基金预算财政拨款</w:t>
      </w:r>
      <w:r>
        <w:rPr>
          <w:rFonts w:hint="eastAsia" w:ascii="方正仿宋_GBK" w:hAnsi="方正仿宋_GBK" w:eastAsia="方正仿宋_GBK" w:cs="方正仿宋_GBK"/>
          <w:sz w:val="32"/>
          <w:szCs w:val="32"/>
          <w:shd w:val="clear" w:color="auto" w:fill="FFFFFF"/>
          <w:lang w:val="en-US" w:eastAsia="zh-CN"/>
        </w:rPr>
        <w:t>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国有资本经营预算财政拨</w:t>
      </w:r>
      <w:r>
        <w:rPr>
          <w:rFonts w:hint="eastAsia" w:ascii="方正仿宋_GBK" w:hAnsi="方正仿宋_GBK" w:eastAsia="方正仿宋_GBK" w:cs="方正仿宋_GBK"/>
          <w:sz w:val="32"/>
          <w:szCs w:val="32"/>
          <w:shd w:val="clear" w:color="auto" w:fill="FFFFFF"/>
          <w:lang w:val="en-US" w:eastAsia="zh-CN"/>
        </w:rPr>
        <w:t>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较上年支出数减少0.72万元，下降100.00%，主要原因是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年度未发生因公出国（境）费用支出。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年度未发生公务接待费支出。</w:t>
      </w:r>
      <w:r>
        <w:rPr>
          <w:rFonts w:ascii="方正仿宋_GBK" w:hAnsi="方正仿宋_GBK" w:eastAsia="方正仿宋_GBK" w:cs="方正仿宋_GBK"/>
          <w:sz w:val="32"/>
          <w:szCs w:val="32"/>
          <w:shd w:val="clear" w:color="auto" w:fill="FFFFFF"/>
        </w:rPr>
        <w:t>较上年支出数减少0.72万元，下降100.00%，主要原因是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snapToGrid w:val="0"/>
        <w:spacing w:line="520" w:lineRule="exact"/>
        <w:ind w:firstLine="640" w:firstLineChars="200"/>
        <w:rPr>
          <w:rFonts w:hint="default"/>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万元，较上年决算数减少0.22万元，下降66.67%，主要原因是</w:t>
      </w:r>
      <w:r>
        <w:rPr>
          <w:rFonts w:hint="eastAsia" w:ascii="仿宋_GB2312" w:hAnsi="仿宋" w:eastAsia="仿宋_GB2312"/>
          <w:sz w:val="32"/>
          <w:szCs w:val="32"/>
          <w:lang w:val="en-US" w:eastAsia="zh-CN"/>
        </w:rPr>
        <w:t>厉行节约，减少会议餐费标准，节约开支。</w:t>
      </w:r>
    </w:p>
    <w:p>
      <w:pPr>
        <w:snapToGrid w:val="0"/>
        <w:spacing w:line="520" w:lineRule="exact"/>
        <w:ind w:firstLine="640" w:firstLineChars="200"/>
        <w:rPr>
          <w:rFonts w:hint="eastAsia" w:ascii="仿宋_GB2312" w:hAnsi="仿宋" w:eastAsia="仿宋_GB2312"/>
          <w:sz w:val="32"/>
          <w:szCs w:val="32"/>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万元，较上年决算数增加0.02万元，增长5.13%，主要原因是</w:t>
      </w:r>
      <w:r>
        <w:rPr>
          <w:rFonts w:hint="eastAsia" w:ascii="仿宋_GB2312" w:hAnsi="仿宋" w:eastAsia="仿宋_GB2312"/>
          <w:sz w:val="32"/>
          <w:szCs w:val="32"/>
          <w:lang w:val="en-US" w:eastAsia="zh-CN"/>
        </w:rPr>
        <w:t>2023年新增耕地恢复等工作，扩大了培训范围，导致培训费增加。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eastAsia" w:ascii="方正仿宋_GBK" w:hAnsi="方正仿宋_GBK" w:eastAsia="方正仿宋_GBK" w:cs="方正仿宋_GBK"/>
          <w:kern w:val="0"/>
          <w:sz w:val="32"/>
          <w:szCs w:val="32"/>
          <w:shd w:val="clear" w:fill="FFFFFF"/>
          <w:lang w:val="en-US" w:eastAsia="zh-CN" w:bidi="ar"/>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根据预算绩效管理要求，我单位只有人员经费与公用经费项目，无其他项目，无绩效管理评价情况。</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hint="eastAsia" w:ascii="方正仿宋_GBK" w:hAnsi="方正仿宋_GBK" w:eastAsia="方正仿宋_GBK" w:cs="方正仿宋_GBK"/>
          <w:sz w:val="32"/>
          <w:szCs w:val="32"/>
          <w:shd w:val="clear" w:fill="FFFFFF"/>
        </w:rPr>
        <w:t>本单位决算公开信息反馈和联系方式：</w:t>
      </w:r>
      <w:r>
        <w:rPr>
          <w:rFonts w:hint="eastAsia" w:ascii="方正仿宋_GBK" w:hAnsi="方正仿宋_GBK" w:eastAsia="方正仿宋_GBK" w:cs="方正仿宋_GBK"/>
          <w:sz w:val="32"/>
          <w:szCs w:val="32"/>
          <w:shd w:val="clear" w:fill="FFFFFF"/>
          <w:lang w:val="en-US" w:eastAsia="zh-CN"/>
        </w:rPr>
        <w:t>重庆市綦江区永新镇人民政府财政办公室，  023-48460929。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重庆市綦江区永新镇旅游服务中心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重庆市綦江区永新镇旅游服务中心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重庆市綦江区永新镇旅游服务中心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56.89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重庆市綦江区永新镇旅游服务中心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E50582"/>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4D297D"/>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2024-10-17T04:34:17Z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BB46EABDBB2749749395447164B066B3_12</vt:lpwstr>
  </property>
</Properties>
</file>