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sz w:val="36"/>
          <w:szCs w:val="36"/>
        </w:rPr>
      </w:pPr>
    </w:p>
    <w:p>
      <w:pPr>
        <w:adjustRightInd w:val="0"/>
        <w:snapToGrid w:val="0"/>
        <w:spacing w:line="576" w:lineRule="exact"/>
        <w:rPr>
          <w:szCs w:val="32"/>
        </w:rPr>
      </w:pPr>
      <w:r>
        <w:rPr>
          <w:szCs w:val="32"/>
        </w:rPr>
        <w:t>各村（居）民委员会，各办公室（站、所、队、中心）：</w:t>
      </w:r>
    </w:p>
    <w:p>
      <w:pPr>
        <w:adjustRightInd w:val="0"/>
        <w:snapToGrid w:val="0"/>
        <w:spacing w:line="576" w:lineRule="exact"/>
        <w:ind w:firstLine="632" w:firstLineChars="200"/>
        <w:rPr>
          <w:szCs w:val="32"/>
        </w:rPr>
      </w:pPr>
      <w:r>
        <w:rPr>
          <w:szCs w:val="32"/>
        </w:rPr>
        <w:t>根据国务院联防联控机制综合组印发的《新冠肺炎疫情社区防控方案》、《关于进一步规范防控区、管控区垃圾分类及收运处置管理工作的通知》（渝肺炎组市监发〔2022〕4号）和《重庆市綦江区城市管理局关于做好应急状态下封控区、管控区生活垃圾收运处置管理工作的通知》（綦城管发〔2022〕25号）文件要求，确保应急状态下封控区、管控区生活垃圾收运处置工作安全、科学、有序，现将相关工作通知如下：</w:t>
      </w:r>
    </w:p>
    <w:p>
      <w:pPr>
        <w:numPr>
          <w:ilvl w:val="0"/>
          <w:numId w:val="1"/>
        </w:numPr>
        <w:adjustRightInd w:val="0"/>
        <w:snapToGrid w:val="0"/>
        <w:spacing w:line="576" w:lineRule="exact"/>
        <w:ind w:firstLine="632" w:firstLineChars="200"/>
        <w:rPr>
          <w:rFonts w:eastAsia="方正黑体_GBK"/>
          <w:szCs w:val="32"/>
        </w:rPr>
      </w:pPr>
      <w:r>
        <w:rPr>
          <w:rFonts w:eastAsia="方正黑体_GBK"/>
          <w:szCs w:val="32"/>
        </w:rPr>
        <w:t>分类规范管理</w:t>
      </w:r>
    </w:p>
    <w:p>
      <w:pPr>
        <w:adjustRightInd w:val="0"/>
        <w:snapToGrid w:val="0"/>
        <w:spacing w:line="576" w:lineRule="exact"/>
        <w:ind w:firstLine="632" w:firstLineChars="200"/>
        <w:rPr>
          <w:szCs w:val="32"/>
        </w:rPr>
      </w:pPr>
      <w:r>
        <w:rPr>
          <w:szCs w:val="32"/>
        </w:rPr>
        <w:t>严格按照《关于进一步规范封控区、管控区垃圾分类及收运处置管理工作的通知》要求，对封控区、管控区垃圾实施分类管理。精准区分医疗废弃物</w:t>
      </w:r>
      <w:r>
        <w:rPr>
          <w:rFonts w:hint="eastAsia"/>
          <w:szCs w:val="32"/>
        </w:rPr>
        <w:t>（</w:t>
      </w:r>
      <w:r>
        <w:rPr>
          <w:szCs w:val="32"/>
        </w:rPr>
        <w:t>含参照医疗废弃物处理的生活垃圾，下同</w:t>
      </w:r>
      <w:r>
        <w:rPr>
          <w:rFonts w:hint="eastAsia"/>
          <w:szCs w:val="32"/>
        </w:rPr>
        <w:t>）</w:t>
      </w:r>
      <w:r>
        <w:rPr>
          <w:szCs w:val="32"/>
        </w:rPr>
        <w:t>和其他相关生活垃圾。医疗废弃物由区环生态环境局负责收运，其他相关生活垃圾由綦江区益创环境服务有限公司负责收运，不得与医疗废弃物混合、不得与其他区域生活垃圾混合，务必做到“全面消杀、日产日清”。各村居及相关办公室要做好协调配合工作。</w:t>
      </w:r>
    </w:p>
    <w:p>
      <w:pPr>
        <w:adjustRightInd w:val="0"/>
        <w:snapToGrid w:val="0"/>
        <w:spacing w:line="576" w:lineRule="exact"/>
        <w:ind w:firstLine="632" w:firstLineChars="200"/>
        <w:rPr>
          <w:rFonts w:eastAsia="方正黑体_GBK"/>
          <w:szCs w:val="32"/>
        </w:rPr>
      </w:pPr>
      <w:r>
        <w:rPr>
          <w:rFonts w:eastAsia="方正黑体_GBK"/>
          <w:szCs w:val="32"/>
        </w:rPr>
        <w:t>二、规范收运处置</w:t>
      </w:r>
    </w:p>
    <w:p>
      <w:pPr>
        <w:adjustRightInd w:val="0"/>
        <w:snapToGrid w:val="0"/>
        <w:spacing w:line="576" w:lineRule="exact"/>
        <w:ind w:firstLine="632" w:firstLineChars="200"/>
        <w:rPr>
          <w:szCs w:val="32"/>
        </w:rPr>
      </w:pPr>
      <w:r>
        <w:rPr>
          <w:rFonts w:hint="eastAsia" w:eastAsia="方正楷体_GBK"/>
          <w:szCs w:val="32"/>
        </w:rPr>
        <w:t>（一）</w:t>
      </w:r>
      <w:r>
        <w:rPr>
          <w:rFonts w:eastAsia="方正楷体_GBK"/>
          <w:szCs w:val="32"/>
        </w:rPr>
        <w:t>规范收集。</w:t>
      </w:r>
      <w:r>
        <w:rPr>
          <w:szCs w:val="32"/>
        </w:rPr>
        <w:t>城乡中心、卫健办、卫生服务中心、规建环办指导各村居按要求在封控区、管控区要规范设置“其他相关生活垃圾”收集点，收集点选址应方便收集、转运和消杀作业，具备“闭环管理”条件，并符合相关规范要求。条件不具备的要结合实际调整设置临时收集点。</w:t>
      </w:r>
    </w:p>
    <w:p>
      <w:pPr>
        <w:adjustRightInd w:val="0"/>
        <w:snapToGrid w:val="0"/>
        <w:spacing w:line="576" w:lineRule="exact"/>
        <w:ind w:firstLine="632" w:firstLineChars="200"/>
        <w:rPr>
          <w:szCs w:val="32"/>
        </w:rPr>
      </w:pPr>
      <w:r>
        <w:rPr>
          <w:rFonts w:hint="eastAsia" w:eastAsia="方正楷体_GBK"/>
          <w:szCs w:val="32"/>
        </w:rPr>
        <w:t>（二）</w:t>
      </w:r>
      <w:r>
        <w:rPr>
          <w:rFonts w:eastAsia="方正楷体_GBK"/>
          <w:szCs w:val="32"/>
        </w:rPr>
        <w:t>专人收运。</w:t>
      </w:r>
      <w:r>
        <w:rPr>
          <w:szCs w:val="32"/>
        </w:rPr>
        <w:t>封控区、管控区“其他相关生活垃圾”要按照“闭环管理”要求和“固定人员、固定设备、固定区域”要求，安排专门人员和设备负责收运；有物业管理的小区由物业管理公司安排专人将“其他相关生活垃圾”转运到临时收集点，单体楼栋由各村居安排专门人员和设备负责将垃圾收运到临时收集点，要严格落实“先消毒、双套袋”以及“两次消杀”</w:t>
      </w:r>
      <w:r>
        <w:rPr>
          <w:rFonts w:hint="eastAsia"/>
          <w:szCs w:val="32"/>
        </w:rPr>
        <w:t>（</w:t>
      </w:r>
      <w:r>
        <w:rPr>
          <w:szCs w:val="32"/>
        </w:rPr>
        <w:t>消杀后装车、装车后再消杀</w:t>
      </w:r>
      <w:r>
        <w:rPr>
          <w:rFonts w:hint="eastAsia"/>
          <w:szCs w:val="32"/>
        </w:rPr>
        <w:t>）</w:t>
      </w:r>
      <w:r>
        <w:rPr>
          <w:szCs w:val="32"/>
        </w:rPr>
        <w:t>作业要求，统一使用黑色垃圾袋包装收集后，送至临时收集点。</w:t>
      </w:r>
    </w:p>
    <w:p>
      <w:pPr>
        <w:adjustRightInd w:val="0"/>
        <w:snapToGrid w:val="0"/>
        <w:spacing w:line="576" w:lineRule="exact"/>
        <w:ind w:firstLine="632" w:firstLineChars="200"/>
        <w:rPr>
          <w:szCs w:val="32"/>
        </w:rPr>
      </w:pPr>
      <w:r>
        <w:rPr>
          <w:rFonts w:hint="eastAsia" w:eastAsia="方正楷体_GBK"/>
          <w:szCs w:val="32"/>
        </w:rPr>
        <w:t>（三）</w:t>
      </w:r>
      <w:r>
        <w:rPr>
          <w:rFonts w:eastAsia="方正楷体_GBK"/>
          <w:szCs w:val="32"/>
        </w:rPr>
        <w:t>专车运输。</w:t>
      </w:r>
      <w:r>
        <w:rPr>
          <w:szCs w:val="32"/>
        </w:rPr>
        <w:t>封控区、管控区临时收集点的“其他相关生活垃圾”由綦江区益创环境服务有限公司负责运输，各村居做好协调配合工作。</w:t>
      </w:r>
    </w:p>
    <w:p>
      <w:pPr>
        <w:adjustRightInd w:val="0"/>
        <w:snapToGrid w:val="0"/>
        <w:spacing w:line="576" w:lineRule="exact"/>
        <w:ind w:firstLine="632" w:firstLineChars="200"/>
        <w:rPr>
          <w:szCs w:val="32"/>
        </w:rPr>
      </w:pPr>
      <w:r>
        <w:rPr>
          <w:rFonts w:hint="eastAsia" w:eastAsia="方正楷体_GBK"/>
          <w:szCs w:val="32"/>
        </w:rPr>
        <w:t>（四）</w:t>
      </w:r>
      <w:r>
        <w:rPr>
          <w:rFonts w:eastAsia="方正楷体_GBK"/>
          <w:szCs w:val="32"/>
        </w:rPr>
        <w:t>加强消杀。</w:t>
      </w:r>
      <w:r>
        <w:rPr>
          <w:szCs w:val="32"/>
        </w:rPr>
        <w:t>各村居按要求做好临时收集点、收运人员及设施设备消杀消毒，并做好消杀记录。</w:t>
      </w:r>
    </w:p>
    <w:p>
      <w:pPr>
        <w:adjustRightInd w:val="0"/>
        <w:snapToGrid w:val="0"/>
        <w:spacing w:line="576" w:lineRule="exact"/>
        <w:ind w:firstLine="632" w:firstLineChars="200"/>
        <w:rPr>
          <w:rFonts w:eastAsia="方正黑体_GBK"/>
          <w:szCs w:val="32"/>
        </w:rPr>
      </w:pPr>
      <w:r>
        <w:rPr>
          <w:rFonts w:eastAsia="方正黑体_GBK"/>
          <w:szCs w:val="32"/>
        </w:rPr>
        <w:t>三、严格人员防护</w:t>
      </w:r>
    </w:p>
    <w:p>
      <w:pPr>
        <w:adjustRightInd w:val="0"/>
        <w:snapToGrid w:val="0"/>
        <w:spacing w:line="576" w:lineRule="exact"/>
        <w:ind w:firstLine="632" w:firstLineChars="200"/>
        <w:rPr>
          <w:szCs w:val="32"/>
        </w:rPr>
      </w:pPr>
      <w:r>
        <w:rPr>
          <w:rFonts w:hint="eastAsia" w:eastAsia="方正楷体_GBK"/>
          <w:szCs w:val="32"/>
        </w:rPr>
        <w:t>（一）</w:t>
      </w:r>
      <w:r>
        <w:rPr>
          <w:rFonts w:eastAsia="方正楷体_GBK"/>
          <w:szCs w:val="32"/>
        </w:rPr>
        <w:t>加强指导培训。</w:t>
      </w:r>
      <w:r>
        <w:rPr>
          <w:szCs w:val="32"/>
        </w:rPr>
        <w:t>街道城乡中心、卫健办、卫生服务中心、规建环办要加强封控区、管控区环卫作业人员的疫情防控指导和知识培训。做到环卫作业人员个人防护“三个落实”，即：落实辖区环卫作业单位建立封控区、管控区环卫作业人员档案记录，落实勤测体温、勤洗手、不聚集等日常疫情防控措施，落实戴好口罩、手套、护目镜，正确穿戴连体防护服，作业中勤消杀勤消毒等疫情防控期间环卫作业要求。</w:t>
      </w:r>
    </w:p>
    <w:p>
      <w:pPr>
        <w:adjustRightInd w:val="0"/>
        <w:snapToGrid w:val="0"/>
        <w:spacing w:line="576" w:lineRule="exact"/>
        <w:ind w:firstLine="632" w:firstLineChars="200"/>
        <w:rPr>
          <w:szCs w:val="32"/>
        </w:rPr>
      </w:pPr>
      <w:r>
        <w:rPr>
          <w:rFonts w:hint="eastAsia" w:eastAsia="方正楷体_GBK"/>
          <w:szCs w:val="32"/>
        </w:rPr>
        <w:t>（二）</w:t>
      </w:r>
      <w:r>
        <w:rPr>
          <w:rFonts w:eastAsia="方正楷体_GBK"/>
          <w:szCs w:val="32"/>
        </w:rPr>
        <w:t>做好物资保障。</w:t>
      </w:r>
      <w:r>
        <w:rPr>
          <w:szCs w:val="32"/>
        </w:rPr>
        <w:t>街道卫健办、财政办、城乡中心及各村居应优先保障封控区、管控区相关作业人员的防护物资配备，切实做到“三个确保”，即：确保相关作业人员配有合规口罩、橡胶手套、护目镜、连体防护工作服、耐酸碱胶鞋及其他相关防护物资；确保每个作业班组配有体温测量工具、消毒用品</w:t>
      </w:r>
      <w:r>
        <w:rPr>
          <w:rFonts w:hint="eastAsia"/>
          <w:szCs w:val="32"/>
        </w:rPr>
        <w:t>（</w:t>
      </w:r>
      <w:r>
        <w:rPr>
          <w:szCs w:val="32"/>
        </w:rPr>
        <w:t>有条件的还可以配发水杯等其他用品</w:t>
      </w:r>
      <w:r>
        <w:rPr>
          <w:rFonts w:hint="eastAsia"/>
          <w:szCs w:val="32"/>
        </w:rPr>
        <w:t>）</w:t>
      </w:r>
      <w:r>
        <w:rPr>
          <w:szCs w:val="32"/>
        </w:rPr>
        <w:t>；确保防护用品有效</w:t>
      </w:r>
      <w:r>
        <w:rPr>
          <w:rFonts w:hint="eastAsia"/>
          <w:szCs w:val="32"/>
        </w:rPr>
        <w:t>（</w:t>
      </w:r>
      <w:r>
        <w:rPr>
          <w:szCs w:val="32"/>
        </w:rPr>
        <w:t>不能重复使用的在有效范围内使用，可重复使用的每人至少2套，以便更换</w:t>
      </w:r>
      <w:r>
        <w:rPr>
          <w:rFonts w:hint="eastAsia"/>
          <w:szCs w:val="32"/>
        </w:rPr>
        <w:t>）</w:t>
      </w:r>
      <w:r>
        <w:rPr>
          <w:szCs w:val="32"/>
        </w:rPr>
        <w:t>。</w:t>
      </w:r>
    </w:p>
    <w:p>
      <w:pPr>
        <w:adjustRightInd w:val="0"/>
        <w:snapToGrid w:val="0"/>
        <w:spacing w:line="576" w:lineRule="exact"/>
        <w:ind w:firstLine="632" w:firstLineChars="200"/>
        <w:rPr>
          <w:rFonts w:eastAsia="方正黑体_GBK"/>
          <w:szCs w:val="32"/>
        </w:rPr>
      </w:pPr>
      <w:r>
        <w:rPr>
          <w:rFonts w:eastAsia="方正黑体_GBK"/>
          <w:szCs w:val="32"/>
        </w:rPr>
        <w:t>四、强化工作保障</w:t>
      </w:r>
    </w:p>
    <w:p>
      <w:pPr>
        <w:adjustRightInd w:val="0"/>
        <w:snapToGrid w:val="0"/>
        <w:spacing w:line="576" w:lineRule="exact"/>
        <w:ind w:firstLine="632" w:firstLineChars="200"/>
        <w:rPr>
          <w:szCs w:val="32"/>
        </w:rPr>
      </w:pPr>
      <w:r>
        <w:rPr>
          <w:rFonts w:hint="eastAsia" w:eastAsia="方正楷体_GBK"/>
          <w:szCs w:val="32"/>
        </w:rPr>
        <w:t>（一）</w:t>
      </w:r>
      <w:r>
        <w:rPr>
          <w:rFonts w:eastAsia="方正楷体_GBK"/>
          <w:szCs w:val="32"/>
        </w:rPr>
        <w:t>强化组织领导。</w:t>
      </w:r>
      <w:r>
        <w:rPr>
          <w:szCs w:val="32"/>
        </w:rPr>
        <w:t>街道城乡中心要切实加强组织领导和统筹协调，卫健办、财政办在人员、物资、资金等方面强化保障，规建环办落实落细疫情防控环境卫生相关工作，切实守护群众和城市安全，各村居要全力做好协调配合工作。</w:t>
      </w:r>
    </w:p>
    <w:p>
      <w:pPr>
        <w:adjustRightInd w:val="0"/>
        <w:snapToGrid w:val="0"/>
        <w:spacing w:line="576" w:lineRule="exact"/>
        <w:ind w:firstLine="632" w:firstLineChars="200"/>
        <w:rPr>
          <w:szCs w:val="32"/>
        </w:rPr>
      </w:pPr>
      <w:r>
        <w:rPr>
          <w:rFonts w:hint="eastAsia" w:eastAsia="方正楷体_GBK"/>
          <w:szCs w:val="32"/>
        </w:rPr>
        <w:t>（二）</w:t>
      </w:r>
      <w:r>
        <w:rPr>
          <w:rFonts w:eastAsia="方正楷体_GBK"/>
          <w:szCs w:val="32"/>
        </w:rPr>
        <w:t>强化沟通协作。</w:t>
      </w:r>
      <w:r>
        <w:rPr>
          <w:szCs w:val="32"/>
        </w:rPr>
        <w:t>各村居要强化村居与街道、村居与村居的沟通协作，畅通信息共享渠道，形成工作合力，有力有序有效保障本次工作的开展。</w:t>
      </w:r>
    </w:p>
    <w:p>
      <w:pPr>
        <w:pStyle w:val="4"/>
        <w:adjustRightInd w:val="0"/>
        <w:snapToGrid w:val="0"/>
        <w:spacing w:line="576" w:lineRule="exact"/>
        <w:ind w:firstLine="616"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方正楷体_GBK" w:cs="Times New Roman"/>
          <w:spacing w:val="-4"/>
          <w:sz w:val="32"/>
          <w:szCs w:val="32"/>
        </w:rPr>
        <w:t>（三）</w:t>
      </w:r>
      <w:r>
        <w:rPr>
          <w:rFonts w:ascii="Times New Roman" w:hAnsi="Times New Roman" w:eastAsia="方正楷体_GBK" w:cs="Times New Roman"/>
          <w:spacing w:val="-4"/>
          <w:sz w:val="32"/>
          <w:szCs w:val="32"/>
        </w:rPr>
        <w:t>强化应急处置。</w:t>
      </w:r>
      <w:r>
        <w:rPr>
          <w:rFonts w:ascii="Times New Roman" w:hAnsi="Times New Roman" w:eastAsia="方正仿宋_GBK" w:cs="Times New Roman"/>
          <w:sz w:val="32"/>
          <w:szCs w:val="32"/>
        </w:rPr>
        <w:t>各村居应结合实际，将“其他相关生活垃圾”收运工作纳入辖区疫情防控工作预案，确保在疫情非常时期，能科学、及时、高效地对封控区、管控区生活垃圾进行收运和处置。</w:t>
      </w:r>
    </w:p>
    <w:p>
      <w:pPr>
        <w:adjustRightInd w:val="0"/>
        <w:snapToGrid w:val="0"/>
        <w:spacing w:line="576" w:lineRule="exact"/>
        <w:ind w:firstLine="632" w:firstLineChars="200"/>
        <w:rPr>
          <w:szCs w:val="32"/>
        </w:rPr>
      </w:pPr>
    </w:p>
    <w:p>
      <w:pPr>
        <w:adjustRightInd w:val="0"/>
        <w:snapToGrid w:val="0"/>
        <w:spacing w:line="576" w:lineRule="exact"/>
        <w:ind w:firstLine="632" w:firstLineChars="200"/>
        <w:rPr>
          <w:szCs w:val="32"/>
        </w:rPr>
      </w:pPr>
    </w:p>
    <w:p>
      <w:pPr>
        <w:adjustRightInd w:val="0"/>
        <w:snapToGrid w:val="0"/>
        <w:spacing w:line="560" w:lineRule="exact"/>
        <w:jc w:val="right"/>
        <w:rPr>
          <w:szCs w:val="32"/>
        </w:rPr>
      </w:pPr>
      <w:r>
        <w:rPr>
          <w:szCs w:val="32"/>
        </w:rPr>
        <w:t>重庆市綦江区人民政府通惠街道办事处</w:t>
      </w:r>
    </w:p>
    <w:p>
      <w:pPr>
        <w:adjustRightInd w:val="0"/>
        <w:snapToGrid w:val="0"/>
        <w:spacing w:line="560" w:lineRule="exact"/>
        <w:ind w:right="1264" w:rightChars="400"/>
        <w:jc w:val="right"/>
      </w:pPr>
      <w:r>
        <w:t xml:space="preserve">        </w:t>
      </w:r>
      <w:bookmarkStart w:id="0" w:name="_GoBack"/>
      <w:bookmarkEnd w:id="0"/>
      <w:r>
        <w:t xml:space="preserve">              2022年4月13日</w:t>
      </w:r>
    </w:p>
    <w:p>
      <w:pPr>
        <w:rPr>
          <w:rFonts w:hint="eastAsia" w:eastAsia="方正仿宋_GBK"/>
          <w:sz w:val="32"/>
          <w:szCs w:val="32"/>
          <w:lang w:eastAsia="zh-CN"/>
        </w:rPr>
      </w:pPr>
      <w:r>
        <w:rPr>
          <w:rFonts w:hint="eastAsia"/>
          <w:sz w:val="32"/>
          <w:szCs w:val="32"/>
          <w:lang w:eastAsia="zh-CN"/>
        </w:rPr>
        <w:t>（此件公开发布）</w:t>
      </w:r>
    </w:p>
    <w:p>
      <w:pPr>
        <w:rPr>
          <w:sz w:val="28"/>
          <w:szCs w:val="28"/>
        </w:rPr>
      </w:pPr>
    </w:p>
    <w:p>
      <w:pPr>
        <w:rPr>
          <w:sz w:val="28"/>
          <w:szCs w:val="28"/>
        </w:rPr>
      </w:pPr>
    </w:p>
    <w:p>
      <w:pPr>
        <w:spacing w:line="100" w:lineRule="exact"/>
        <w:rPr>
          <w:sz w:val="28"/>
          <w:szCs w:val="28"/>
        </w:rPr>
      </w:pPr>
    </w:p>
    <w:p>
      <w:pPr>
        <w:spacing w:line="100" w:lineRule="exact"/>
        <w:rPr>
          <w:sz w:val="28"/>
          <w:szCs w:val="28"/>
        </w:rPr>
      </w:pPr>
    </w:p>
    <w:p>
      <w:pPr>
        <w:spacing w:line="100" w:lineRule="exact"/>
        <w:rPr>
          <w:sz w:val="28"/>
          <w:szCs w:val="28"/>
        </w:rPr>
      </w:pPr>
    </w:p>
    <w:p>
      <w:pPr>
        <w:spacing w:line="100" w:lineRule="exact"/>
        <w:rPr>
          <w:sz w:val="28"/>
          <w:szCs w:val="28"/>
        </w:rPr>
      </w:pPr>
    </w:p>
    <w:p>
      <w:pPr>
        <w:spacing w:line="60" w:lineRule="exact"/>
        <w:rPr>
          <w:sz w:val="28"/>
          <w:szCs w:val="28"/>
        </w:rPr>
      </w:pPr>
    </w:p>
    <w:p>
      <w:pPr>
        <w:spacing w:line="60" w:lineRule="exact"/>
        <w:rPr>
          <w:sz w:val="28"/>
          <w:szCs w:val="28"/>
        </w:rPr>
      </w:pPr>
    </w:p>
    <w:p/>
    <w:sectPr>
      <w:headerReference r:id="rId3" w:type="default"/>
      <w:footerReference r:id="rId5" w:type="default"/>
      <w:headerReference r:id="rId4" w:type="even"/>
      <w:footerReference r:id="rId6"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7"/>
        <w:rFonts w:hint="eastAsia"/>
        <w:sz w:val="28"/>
      </w:rPr>
      <w:t>―</w:t>
    </w:r>
    <w:r>
      <w:rPr>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4</w:t>
    </w:r>
    <w:r>
      <w:rPr>
        <w:rFonts w:ascii="宋体" w:hAnsi="宋体" w:eastAsia="宋体"/>
        <w:kern w:val="0"/>
        <w:sz w:val="28"/>
      </w:rPr>
      <w:fldChar w:fldCharType="end"/>
    </w:r>
    <w:r>
      <w:rPr>
        <w:rFonts w:ascii="宋体" w:hAnsi="宋体" w:eastAsia="宋体"/>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7"/>
        <w:rFonts w:hint="eastAsia"/>
        <w:sz w:val="28"/>
      </w:rPr>
      <w:t>―</w:t>
    </w:r>
    <w:r>
      <w:rPr>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4</w:t>
    </w:r>
    <w:r>
      <w:rPr>
        <w:rFonts w:ascii="宋体" w:hAnsi="宋体" w:eastAsia="宋体"/>
        <w:kern w:val="0"/>
        <w:sz w:val="28"/>
      </w:rPr>
      <w:fldChar w:fldCharType="end"/>
    </w:r>
    <w:r>
      <w:rPr>
        <w:rFonts w:ascii="宋体" w:hAnsi="宋体" w:eastAsia="宋体"/>
        <w:kern w:val="0"/>
        <w:sz w:val="28"/>
      </w:rPr>
      <w:t xml:space="preserve"> </w:t>
    </w:r>
    <w:r>
      <w:rPr>
        <w:rStyle w:val="7"/>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BCB665"/>
    <w:multiLevelType w:val="singleLevel"/>
    <w:tmpl w:val="64BCB6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3"/>
    <w:rsid w:val="00377D83"/>
    <w:rsid w:val="003B4FF3"/>
    <w:rsid w:val="00A7525D"/>
    <w:rsid w:val="01FF9E0B"/>
    <w:rsid w:val="3F39C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widowControl/>
      <w:jc w:val="left"/>
    </w:pPr>
    <w:rPr>
      <w:rFonts w:ascii="宋体" w:hAnsi="宋体" w:eastAsia="宋体" w:cs="宋体"/>
      <w:kern w:val="0"/>
      <w:sz w:val="24"/>
      <w:szCs w:val="24"/>
    </w:r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方正仿宋_GBK" w:cs="Times New Roman"/>
      <w:sz w:val="18"/>
      <w:szCs w:val="20"/>
    </w:rPr>
  </w:style>
  <w:style w:type="character" w:customStyle="1" w:styleId="9">
    <w:name w:val="页眉 Char"/>
    <w:basedOn w:val="6"/>
    <w:link w:val="3"/>
    <w:qFormat/>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1459</Characters>
  <Lines>12</Lines>
  <Paragraphs>3</Paragraphs>
  <TotalTime>0</TotalTime>
  <ScaleCrop>false</ScaleCrop>
  <LinksUpToDate>false</LinksUpToDate>
  <CharactersWithSpaces>1711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2022-10-18T00:23:00Z</dcterms:created>
  <dc:creator>通惠街道</dc:creator>
  <cp:lastModifiedBy>guest</cp:lastModifiedBy>
  <dcterms:modified xsi:type="dcterms:W3CDTF">2023-11-23T11:32:25Z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