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541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76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重庆市綦江区三角镇人民政府</w:t>
      </w:r>
    </w:p>
    <w:p w14:paraId="705BA8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76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7922F85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本年度报告依据《政府信息公开条例》第五十条、《国务院办公厅政府信息与政务公开办公室关于印发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中华人民共和国政府信息公开工作年度报告格式的通知》（国办公开办函〔2021〕30号）及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重庆市綦江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区人民政府信息公开相关规定的要求编制，全文包括政府信息公开工作的总体情况、主动公开政府信息情况、收到和处理政府信息公开申请情况、政府信息公开行政复议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行政诉讼情况、存在的主要问题及改进情况、其他需要报告的事项等六个部分组成。报告中所列数据的统计期限自2024年1月1日起至2024年12月31日止。如对报告有任何疑问，请与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重庆市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綦江区三角镇人民政府联系（地址：重庆市綦江区三角镇向阳街12号，邮编：401428，电话（传真）：023-48400009）。</w:t>
      </w:r>
    </w:p>
    <w:p w14:paraId="49A656E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总体情况</w:t>
      </w:r>
    </w:p>
    <w:p w14:paraId="7F65AA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71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（一）主动公开</w:t>
      </w:r>
    </w:p>
    <w:p w14:paraId="2BD3C3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71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FF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2024年，我镇认真贯彻落实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《政府信息公开条例》</w:t>
      </w:r>
      <w:r>
        <w:rPr>
          <w:rFonts w:hint="eastAsia" w:ascii="Times New Roman" w:hAnsi="Times New Roman" w:eastAsia="方正仿宋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，结合信息公开年度重点工作及重点领域，进一步健全工作机制，规范政务公开形式和内容。通过面向社会公众，深化政务公开，优化政务服务，强化交流互动，围绕保障公众知情权、表达权、参与权、监督权方面，切实将政府信息公开作为长期的动态工作落到实处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我镇主动公开公布政府工作动态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条，政策文件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公示公告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条，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重点领域公示129条，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财政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决算9条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镇政府微信公众号公开动态类信息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46期151篇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2B7049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71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（二）依申请公开</w:t>
      </w:r>
    </w:p>
    <w:p w14:paraId="699740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20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三角镇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未收到依申请公开件，未存在因政府信息公开工作被申请行政复议、提起行政诉讼情况。</w:t>
      </w:r>
    </w:p>
    <w:p w14:paraId="4B265B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71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（三）政府信息管理</w:t>
      </w:r>
    </w:p>
    <w:p w14:paraId="06EF7F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71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强化组织领导，完善政府信息管理工作机制，明确信息公开工作分管领导，切实落实“主要领导亲自抓，分管领导具体抓，职能办公室抓落实”的工作机制。进一步规范政府信息管理工作，建立健全政府信息发布协调制度，加强政府信息公开保密审查力度，推进政府信息公开动态调整制度，保证各栏目信息及时准确、动态更新。</w:t>
      </w:r>
    </w:p>
    <w:p w14:paraId="2B9273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71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（四）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政府信息公开平台建设</w:t>
      </w:r>
    </w:p>
    <w:p w14:paraId="740EFB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71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三角镇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人民政府网站为政务公开的基本途径和方式，确保信息内容准确、发布规范、更新及时。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通过便民服务大厅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政务公开专区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和辖区各行政村的公开栏等平台公开信息，充分运用“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秀美三角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”微信公众号发布政府工作动态、政府规范性信息及政策解读，并通过各种媒体及新闻宣传稿的形式就公众关注热点或重大舆情，进行及时、准确、权威地回应。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加强政务新媒体平台建设和管理，严格信息采集、审核、发布等程序，落实专人管理、运营和维护，确保运转有序、安全可控。</w:t>
      </w:r>
    </w:p>
    <w:p w14:paraId="78006E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71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（五）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监督保障</w:t>
      </w:r>
    </w:p>
    <w:p w14:paraId="3FD0F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建立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三角镇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信息公开工作制度，完善政府信息公开流程，落实到相关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板块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相关责任人，确保信息公开工作规范开展。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32"/>
        </w:rPr>
        <w:t>二是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进一步强化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镇各板块间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沟通协调，通过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渝快政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工作群和业务培训，加强日常交流，对于依申请公开疑难件，坚持联席会议制度，从而提高答复内容规范性和准确性。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32"/>
        </w:rPr>
        <w:t>三是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把与群众联系密切的领域、行政执法领域和涉及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权、钱、人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的管理领域作为本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推行政府信息公开的重点，进一步公开办事程序、办事标准、办事结果,不断增强工作透明度。</w:t>
      </w:r>
    </w:p>
    <w:p w14:paraId="6D659660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5"/>
        <w:gridCol w:w="2465"/>
        <w:gridCol w:w="2465"/>
        <w:gridCol w:w="2465"/>
      </w:tblGrid>
      <w:tr w14:paraId="376F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87E6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 w14:paraId="6403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9428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C0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07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23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 w14:paraId="0FE3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382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EA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B5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9F0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70E4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2B66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3C0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0A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F7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 w14:paraId="5208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388F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 w14:paraId="47B9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A71F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D1E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5D0A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F261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BD78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7DD9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44A9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 w14:paraId="6BDE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AA75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11A4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2C22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348A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CD9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060A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4ECF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8F04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auto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2FA6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DC3F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 w14:paraId="41B1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C78B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8AA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 w14:paraId="1533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DC38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F6DF88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008487BB"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113266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0E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3FA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BB922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06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964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98E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E0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D0DC5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60C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289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984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 w14:paraId="42D5BD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AB9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 w14:paraId="157ED6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92A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D18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8C6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2B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2FF145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E42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22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84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34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7B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shd w:val="clear" w:color="auto" w:fil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8C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A2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2F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43C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DE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81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E95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5D3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1BC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F40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09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88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6281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01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9BA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95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0B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72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510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400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FB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CF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9894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52713C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6E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7BA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FE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4A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717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EC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D76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F8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D03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A6D4D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2F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F03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99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525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6A0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9A7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617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86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B98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9071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4EB9D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BF51FB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F92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562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91B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7E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D54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99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D4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25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3258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2874B2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ADBAB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AFB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57E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96F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02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A9D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54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52D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3B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BEA2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DE5F3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96388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213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75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06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F99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88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79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82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B5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650D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F7C807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04443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A04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88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4C4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004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A3B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FFF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0B7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01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75FA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431F3E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FB66DE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541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DD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33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CFE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86B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D2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BE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D5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EA75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3FC730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EDB756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355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FE1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9A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7C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C7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CF4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CDC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C51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D236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51D44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94C41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300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953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B59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1B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F4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7AD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8A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9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2030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6DD73A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A2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312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1B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AD8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0B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A2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53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517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6BA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019C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259BB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DC1C6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4B1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E12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A9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C28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386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0B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8BF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6D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7372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4E3A4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142C7F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567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BA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8E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C0A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43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8F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2D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BB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D440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5F33FD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292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3BA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683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AA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3B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061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75F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F6D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6E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C3CC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B6C4FB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76404F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6F3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A3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8C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94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823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9CC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E7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B06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822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86F43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DB407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23D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70E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F10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AF4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6A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6A1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578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68A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7066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09C0A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39BB22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699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6C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02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09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DA4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C6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56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B7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A5B4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B17695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DB31C8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85D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63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58A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BC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42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A54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562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E6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BE82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02AC7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17F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0D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8B9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FD2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8E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C90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80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DB3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8B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59A7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623E5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82962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00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5E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71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460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A69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EB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07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E6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CDEA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45D4F5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F0357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28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0C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079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8E0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103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215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E1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784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253A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406363"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8D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2B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618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C55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EF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B7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8A6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51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9AE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27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94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D6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E6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13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FB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0D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EE4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68A75FA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EDF6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3F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9D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A3192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08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E5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B990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DF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E174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A5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82BE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CA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53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78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24FA6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90FD0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EACA8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E96C2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A7C345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1C388"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D9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609B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6F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0733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49E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A3EF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E6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43A8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67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2E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326C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FB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D8A2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C2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DB3A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CD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9F99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4E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1FFAD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3A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5E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5F5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A0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44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7C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EE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7A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A5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8C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63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06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A3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41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1D5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8605C25">
      <w:pPr>
        <w:spacing w:line="600" w:lineRule="exact"/>
        <w:ind w:firstLine="640" w:firstLineChars="200"/>
        <w:rPr>
          <w:rFonts w:hint="default" w:ascii="Times New Roman" w:hAnsi="Times New Roman" w:eastAsia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五、存在的主要问题及改进情况</w:t>
      </w:r>
    </w:p>
    <w:p w14:paraId="277950CF">
      <w:pPr>
        <w:spacing w:line="600" w:lineRule="exact"/>
        <w:ind w:firstLine="643" w:firstLineChars="200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一是信息公开精细化程度不够。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在信息公开规范化的基础上，落实具体细节时工作不够精细，偶尔出现个别用字表述错误，标点符号不准确，网址链接打不开等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3201B3C2">
      <w:pPr>
        <w:spacing w:line="600" w:lineRule="exact"/>
        <w:ind w:firstLine="643" w:firstLineChars="200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二是公开信息不及时。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对需要公开的政务信息公开不够及时，往往是在相关工作完成后才进行信息发布，未能实现信息的即时公开。</w:t>
      </w:r>
    </w:p>
    <w:p w14:paraId="431C2EA7">
      <w:pPr>
        <w:spacing w:line="600" w:lineRule="exact"/>
        <w:ind w:firstLine="620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下一步，我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将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不断完善政务公开相关工作。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val="en-US" w:eastAsia="zh-CN"/>
        </w:rPr>
        <w:t>一是提高思想认识。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深入学习《政府信息公开条例》和政务公开有关规定，进一步推动政府信息公开工作。同时，积极参与区府办组织开展的政务公开培训，加强业务水平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，提高工作效率。</w:t>
      </w: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二是建立定期更新机制</w:t>
      </w: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确保信息公开目录与实际工作进展同步，及时反映最新的政策动态、服务指南和统计数据。</w:t>
      </w:r>
    </w:p>
    <w:p w14:paraId="1A564A86">
      <w:pPr>
        <w:spacing w:line="600" w:lineRule="exact"/>
        <w:ind w:firstLine="62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六、其他需要报告的事项</w:t>
      </w:r>
    </w:p>
    <w:p w14:paraId="1A04F9CC">
      <w:p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尚未存在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收取信息处理费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的情况。无其他需要报告的事项。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43A9"/>
    <w:rsid w:val="16666387"/>
    <w:rsid w:val="2EB2064B"/>
    <w:rsid w:val="30095797"/>
    <w:rsid w:val="5C4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2423</Words>
  <Characters>2490</Characters>
  <Lines>0</Lines>
  <Paragraphs>0</Paragraphs>
  <TotalTime>94</TotalTime>
  <ScaleCrop>false</ScaleCrop>
  <LinksUpToDate>false</LinksUpToDate>
  <CharactersWithSpaces>2496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2025-01-13T07:07:00Z</dcterms:created>
  <dc:creator>告知我</dc:creator>
  <cp:lastModifiedBy>告知我</cp:lastModifiedBy>
  <cp:lastPrinted>2025-01-21T04:57:24Z</cp:lastPrinted>
  <dcterms:modified xsi:type="dcterms:W3CDTF">2025-01-21T06:24:33Z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45D295ABF69C4799B2EABC9F7E87F571_11</vt:lpwstr>
  </property>
  <property fmtid="{D5CDD505-2E9C-101B-9397-08002B2CF9AE}" pid="4" name="KSOTemplateDocerSaveRecord">
    <vt:lpwstr>eyJoZGlkIjoiY2Y4OTI0NmY1YmYwYzQ4MWEwMGNkNzlhYmM4MzkwOWMiLCJ1c2VySWQiOiI0MTk4Mzk2NjEifQ==</vt:lpwstr>
  </property>
</Properties>
</file>