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根据《中共重庆市綦江区委办公室、重庆市綦江区人民政府办公室印发〈关于进一步优化完善镇（街道）机构设置的实施方案〉的通知》（綦江委办发〔</w:t>
      </w:r>
      <w:r>
        <w:rPr>
          <w:rFonts w:hint="eastAsia" w:ascii="方正仿宋_GBK" w:hAnsi="方正仿宋_GBK" w:eastAsia="方正仿宋_GBK" w:cs="方正仿宋_GBK"/>
          <w:sz w:val="32"/>
          <w:szCs w:val="32"/>
          <w:shd w:val="clear" w:color="auto" w:fill="FFFFFF"/>
        </w:rPr>
        <w:t>2019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31</w:t>
      </w:r>
      <w:r>
        <w:rPr>
          <w:rFonts w:ascii="方正仿宋_GBK" w:hAnsi="方正仿宋_GBK" w:eastAsia="方正仿宋_GBK" w:cs="方正仿宋_GBK"/>
          <w:sz w:val="32"/>
          <w:szCs w:val="32"/>
          <w:shd w:val="clear" w:color="auto" w:fill="FFFFFF"/>
        </w:rPr>
        <w:t>号）文件精神，特制定赶水机构设置方案。</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spacing w:beforeAutospacing="0" w:after="180" w:afterAutospacing="0" w:line="600" w:lineRule="exact"/>
        <w:ind w:firstLine="640" w:firstLineChars="200"/>
        <w:rPr>
          <w:rStyle w:val="10"/>
          <w:rFonts w:ascii="黑体" w:hAnsi="黑体" w:eastAsia="黑体" w:cs="黑体"/>
          <w:sz w:val="32"/>
          <w:szCs w:val="32"/>
          <w:shd w:val="clear" w:color="auto" w:fill="FFFFFF"/>
        </w:rPr>
      </w:pPr>
      <w:r>
        <w:rPr>
          <w:rFonts w:ascii="方正仿宋_GBK" w:hAnsi="方正仿宋_GBK" w:eastAsia="方正仿宋_GBK" w:cs="方正仿宋_GBK"/>
          <w:sz w:val="32"/>
          <w:szCs w:val="32"/>
          <w:shd w:val="clear" w:color="auto" w:fill="FFFFFF"/>
        </w:rPr>
        <w:t>综合行政执法大队</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 xml:space="preserve"> 与综合行政执法办公室统筹运行，主要负责集中行使依法授权或委托的农林水利、规划建设、环境保护、卫生计生、文化旅游、民政管理等领域的行政执法权。负责宣传贯彻执行相关法律、法规和规章，在上级法制部门的指导下开展本辖区内相对集中行政处罚权工作；建立健全行政执法相关工作制度，明确执法范围、执法权限、执法方式等。</w:t>
      </w:r>
      <w:bookmarkStart w:id="0" w:name="_GoBack"/>
      <w:bookmarkEnd w:id="0"/>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2" w:firstLineChars="200"/>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2023年度收入总计112.40万元，支出总计</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万元。收支较上年决算数增加7.03万元，增长6.67%，主要原因是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收支增加</w:t>
      </w:r>
      <w:r>
        <w:rPr>
          <w:rFonts w:hint="eastAsia" w:ascii="方正仿宋_GBK" w:hAnsi="方正仿宋_GBK" w:eastAsia="方正仿宋_GBK" w:cs="方正仿宋_GBK"/>
          <w:color w:val="auto"/>
          <w:sz w:val="32"/>
          <w:szCs w:val="32"/>
          <w:shd w:val="clear" w:color="auto" w:fill="FFFFFF"/>
          <w:lang w:val="en-US" w:eastAsia="zh-CN"/>
        </w:rPr>
        <w:t>10万元。</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2023年度收入合计112.40万元，较上年决算数增加7.03万元，增长6.67%，主要原因是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收入增加</w:t>
      </w:r>
      <w:r>
        <w:rPr>
          <w:rFonts w:hint="eastAsia" w:ascii="方正仿宋_GBK" w:hAnsi="方正仿宋_GBK" w:eastAsia="方正仿宋_GBK" w:cs="方正仿宋_GBK"/>
          <w:color w:val="auto"/>
          <w:sz w:val="32"/>
          <w:szCs w:val="32"/>
          <w:shd w:val="clear" w:color="auto" w:fill="FFFFFF"/>
          <w:lang w:val="en-US" w:eastAsia="zh-CN"/>
        </w:rPr>
        <w:t>10万元。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2"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万元，较上年决算数增加7.03万元，增长6.67%，主要原因是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支出增加</w:t>
      </w:r>
      <w:r>
        <w:rPr>
          <w:rFonts w:hint="eastAsia" w:ascii="方正仿宋_GBK" w:hAnsi="方正仿宋_GBK" w:eastAsia="方正仿宋_GBK" w:cs="方正仿宋_GBK"/>
          <w:color w:val="auto"/>
          <w:sz w:val="32"/>
          <w:szCs w:val="32"/>
          <w:shd w:val="clear" w:color="auto" w:fill="FFFFFF"/>
          <w:lang w:val="en-US" w:eastAsia="zh-CN"/>
        </w:rPr>
        <w:t>10万元。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2023年度财政拨款收、支总计112.40万元。与2022年相比，财政拨款收、支总计各增加7.03万元，增长6.67%。主要原因是是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收支增加</w:t>
      </w:r>
      <w:r>
        <w:rPr>
          <w:rFonts w:hint="eastAsia" w:ascii="方正仿宋_GBK" w:hAnsi="方正仿宋_GBK" w:eastAsia="方正仿宋_GBK" w:cs="方正仿宋_GBK"/>
          <w:color w:val="auto"/>
          <w:sz w:val="32"/>
          <w:szCs w:val="32"/>
          <w:shd w:val="clear" w:color="auto" w:fill="FFFFFF"/>
          <w:lang w:val="en-US" w:eastAsia="zh-CN"/>
        </w:rPr>
        <w:t>10万元。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万元，较上年决算数增加7.03万元，增长6.67%。主要原因是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收入增加</w:t>
      </w:r>
      <w:r>
        <w:rPr>
          <w:rFonts w:hint="eastAsia" w:ascii="方正仿宋_GBK" w:hAnsi="方正仿宋_GBK" w:eastAsia="方正仿宋_GBK" w:cs="方正仿宋_GBK"/>
          <w:color w:val="auto"/>
          <w:sz w:val="32"/>
          <w:szCs w:val="32"/>
          <w:shd w:val="clear" w:color="auto" w:fill="FFFFFF"/>
          <w:lang w:val="en-US" w:eastAsia="zh-CN"/>
        </w:rPr>
        <w:t>10万元。</w:t>
      </w:r>
      <w:r>
        <w:rPr>
          <w:rFonts w:ascii="方正仿宋_GBK" w:hAnsi="方正仿宋_GBK" w:eastAsia="方正仿宋_GBK" w:cs="方正仿宋_GBK"/>
          <w:sz w:val="32"/>
          <w:szCs w:val="32"/>
          <w:shd w:val="clear" w:color="auto" w:fill="FFFFFF"/>
        </w:rPr>
        <w:t>较年初预算数增加14.99万元，增长15.39%。主要原因是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万元，较上年决算数增加7.03万元，增长6.67%。主要原因是</w:t>
      </w:r>
      <w:r>
        <w:rPr>
          <w:rFonts w:hint="eastAsia" w:ascii="方正仿宋_GBK" w:hAnsi="方正仿宋_GBK" w:eastAsia="方正仿宋_GBK" w:cs="方正仿宋_GBK"/>
          <w:color w:val="auto"/>
          <w:sz w:val="32"/>
          <w:szCs w:val="32"/>
          <w:shd w:val="clear" w:color="auto" w:fill="FFFFFF"/>
        </w:rPr>
        <w:t>城乡社区</w:t>
      </w:r>
      <w:r>
        <w:rPr>
          <w:rFonts w:hint="eastAsia" w:ascii="方正仿宋_GBK" w:hAnsi="方正仿宋_GBK" w:eastAsia="方正仿宋_GBK" w:cs="方正仿宋_GBK"/>
          <w:color w:val="auto"/>
          <w:sz w:val="32"/>
          <w:szCs w:val="32"/>
          <w:shd w:val="clear" w:color="auto" w:fill="FFFFFF"/>
          <w:lang w:eastAsia="zh-CN"/>
        </w:rPr>
        <w:t>支出增加</w:t>
      </w:r>
      <w:r>
        <w:rPr>
          <w:rFonts w:hint="eastAsia" w:ascii="方正仿宋_GBK" w:hAnsi="方正仿宋_GBK" w:eastAsia="方正仿宋_GBK" w:cs="方正仿宋_GBK"/>
          <w:color w:val="auto"/>
          <w:sz w:val="32"/>
          <w:szCs w:val="32"/>
          <w:shd w:val="clear" w:color="auto" w:fill="FFFFFF"/>
          <w:lang w:val="en-US" w:eastAsia="zh-CN"/>
        </w:rPr>
        <w:t>10万元。</w:t>
      </w:r>
      <w:r>
        <w:rPr>
          <w:rFonts w:ascii="方正仿宋_GBK" w:hAnsi="方正仿宋_GBK" w:eastAsia="方正仿宋_GBK" w:cs="方正仿宋_GBK"/>
          <w:sz w:val="32"/>
          <w:szCs w:val="32"/>
          <w:shd w:val="clear" w:color="auto" w:fill="FFFFFF"/>
        </w:rPr>
        <w:t>较年初预算数增加14.99万元，增长15.39%。主要原因是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color w:val="auto"/>
          <w:sz w:val="32"/>
          <w:szCs w:val="32"/>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本年度收支平衡，拨付资金均支付完成。</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10.23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9.10</w:t>
      </w:r>
      <w:r>
        <w:rPr>
          <w:rFonts w:ascii="方正仿宋_GBK" w:hAnsi="方正仿宋_GBK" w:eastAsia="方正仿宋_GBK" w:cs="方正仿宋_GBK"/>
          <w:sz w:val="32"/>
          <w:szCs w:val="32"/>
          <w:shd w:val="clear" w:color="auto" w:fill="FFFFFF"/>
        </w:rPr>
        <w:t>%，较年初预算数增加1.23万元，增长13.67%，主要原因是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4.31</w:t>
      </w:r>
      <w:r>
        <w:rPr>
          <w:rFonts w:ascii="方正仿宋_GBK" w:hAnsi="方正仿宋_GBK" w:eastAsia="方正仿宋_GBK" w:cs="方正仿宋_GBK"/>
          <w:sz w:val="32"/>
          <w:szCs w:val="32"/>
          <w:shd w:val="clear" w:color="auto" w:fill="FFFFFF"/>
        </w:rPr>
        <w:t>%，较年初预算数增加0.49万元，增长11.24%，主要原因是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92.49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82.29</w:t>
      </w:r>
      <w:r>
        <w:rPr>
          <w:rFonts w:ascii="方正仿宋_GBK" w:hAnsi="方正仿宋_GBK" w:eastAsia="方正仿宋_GBK" w:cs="方正仿宋_GBK"/>
          <w:sz w:val="32"/>
          <w:szCs w:val="32"/>
          <w:shd w:val="clear" w:color="auto" w:fill="FFFFFF"/>
        </w:rPr>
        <w:t>%，较年初预算数增加12.94万元，增长16.27%，主要原因是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%，较年初预算数增加0.33万元，增长7.33%，主要原因是</w:t>
      </w:r>
      <w:r>
        <w:rPr>
          <w:rFonts w:hint="eastAsia" w:ascii="方正仿宋_GBK" w:hAnsi="方正仿宋_GBK" w:eastAsia="方正仿宋_GBK" w:cs="方正仿宋_GBK"/>
          <w:sz w:val="32"/>
          <w:szCs w:val="32"/>
          <w:shd w:val="clear" w:color="auto" w:fill="FFFFFF"/>
          <w:lang w:eastAsia="zh-CN"/>
        </w:rPr>
        <w:t>年初预算与实际支出存在差异，导致预算金额不准确。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hd w:val="clear" w:color="auto" w:fill="FFFFFF"/>
        <w:spacing w:beforeAutospacing="0"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112.40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96.84</w:t>
      </w:r>
      <w:r>
        <w:rPr>
          <w:rFonts w:ascii="方正仿宋_GBK" w:hAnsi="方正仿宋_GBK" w:eastAsia="方正仿宋_GBK" w:cs="方正仿宋_GBK"/>
          <w:sz w:val="32"/>
          <w:szCs w:val="32"/>
          <w:shd w:val="clear" w:color="auto" w:fill="FFFFFF"/>
        </w:rPr>
        <w:t>万元，较上年决算数增加7.57万元，增长8.48%，主要原因是</w:t>
      </w:r>
      <w:r>
        <w:rPr>
          <w:rFonts w:hint="eastAsia" w:ascii="方正仿宋_GBK" w:hAnsi="方正仿宋_GBK" w:eastAsia="方正仿宋_GBK" w:cs="方正仿宋_GBK"/>
          <w:color w:val="auto"/>
          <w:sz w:val="32"/>
          <w:szCs w:val="32"/>
          <w:shd w:val="clear" w:color="auto" w:fill="FFFFFF"/>
          <w:lang w:eastAsia="zh-CN"/>
        </w:rPr>
        <w:t>本年度人员待遇保障提升，导致人员经费增加。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工资、保险、</w:t>
      </w:r>
      <w:r>
        <w:rPr>
          <w:rFonts w:hint="eastAsia" w:ascii="方正仿宋_GBK" w:hAnsi="方正仿宋_GBK" w:eastAsia="方正仿宋_GBK" w:cs="方正仿宋_GBK"/>
          <w:sz w:val="32"/>
          <w:szCs w:val="32"/>
          <w:shd w:val="clear" w:color="auto" w:fill="FFFFFF"/>
          <w:lang w:eastAsia="zh-CN"/>
        </w:rPr>
        <w:t>绩效等。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15.56</w:t>
      </w:r>
      <w:r>
        <w:rPr>
          <w:rFonts w:ascii="方正仿宋_GBK" w:hAnsi="方正仿宋_GBK" w:eastAsia="方正仿宋_GBK" w:cs="方正仿宋_GBK"/>
          <w:sz w:val="32"/>
          <w:szCs w:val="32"/>
          <w:shd w:val="clear" w:color="auto" w:fill="FFFFFF"/>
        </w:rPr>
        <w:t>万元，较上年决算数减少0.54万元，下降3.35%，主要原因是</w:t>
      </w:r>
      <w:r>
        <w:rPr>
          <w:rFonts w:hint="eastAsia" w:ascii="方正仿宋_GBK" w:hAnsi="方正仿宋_GBK" w:eastAsia="方正仿宋_GBK" w:cs="方正仿宋_GBK"/>
          <w:color w:val="auto"/>
          <w:sz w:val="32"/>
          <w:szCs w:val="32"/>
          <w:shd w:val="clear" w:color="auto" w:fill="FFFFFF"/>
          <w:lang w:eastAsia="zh-CN"/>
        </w:rPr>
        <w:t>公用经费与去年大致持平。</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机构运行需要的接待、会议、办公、邮电等费用。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ind w:firstLine="640" w:firstLineChars="200"/>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本年度无</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事项发生。</w:t>
      </w:r>
      <w:r>
        <w:rPr>
          <w:rFonts w:ascii="方正仿宋_GBK" w:hAnsi="方正仿宋_GBK" w:eastAsia="方正仿宋_GBK" w:cs="方正仿宋_GBK"/>
          <w:sz w:val="32"/>
          <w:szCs w:val="32"/>
          <w:shd w:val="clear" w:color="auto" w:fill="FFFFFF"/>
        </w:rPr>
        <w:t>较上年支出数减少1.05万元，下降100.00%，主要原因是</w:t>
      </w:r>
      <w:r>
        <w:rPr>
          <w:rFonts w:hint="eastAsia" w:ascii="方正仿宋_GBK" w:hAnsi="方正仿宋_GBK" w:eastAsia="方正仿宋_GBK" w:cs="方正仿宋_GBK"/>
          <w:color w:val="auto"/>
          <w:sz w:val="32"/>
          <w:szCs w:val="32"/>
          <w:shd w:val="clear" w:color="auto" w:fill="FFFFFF"/>
          <w:lang w:eastAsia="zh-CN"/>
        </w:rPr>
        <w:t>本年度无</w:t>
      </w:r>
      <w:r>
        <w:rPr>
          <w:rFonts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事项发生。</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万元，主要是用于因公出国</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本年度无因公出境情况。</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本年度无因公出境情况。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购买公务车</w:t>
      </w:r>
      <w:r>
        <w:rPr>
          <w:rFonts w:ascii="方正仿宋_GBK" w:hAnsi="方正仿宋_GBK" w:eastAsia="方正仿宋_GBK" w:cs="方正仿宋_GBK"/>
          <w:sz w:val="32"/>
          <w:szCs w:val="32"/>
          <w:shd w:val="clear" w:color="auto" w:fill="FFFFFF"/>
        </w:rPr>
        <w:t>。费用支出较年初预算数无增减，主要原因</w:t>
      </w:r>
      <w:r>
        <w:rPr>
          <w:rFonts w:hint="eastAsia" w:ascii="方正仿宋_GBK" w:hAnsi="方正仿宋_GBK" w:eastAsia="方正仿宋_GBK" w:cs="方正仿宋_GBK"/>
          <w:sz w:val="32"/>
          <w:szCs w:val="32"/>
          <w:shd w:val="clear" w:color="auto" w:fill="FFFFFF"/>
          <w:lang w:eastAsia="zh-CN"/>
        </w:rPr>
        <w:t>是本年度并未购买公务车。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本年度并未购买公务车。</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公务车运行维护</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该单位并无公务车，无需维护。</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该单位并无公务车，无需维护。</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公务接待活动。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本年度无公务接待活动。</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本年度无公务接待活动。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万元，较上年决算数增加0.27万元，增长56.25%，主要原因是</w:t>
      </w:r>
      <w:r>
        <w:rPr>
          <w:rFonts w:hint="eastAsia" w:ascii="方正仿宋_GBK" w:hAnsi="方正仿宋_GBK" w:eastAsia="方正仿宋_GBK" w:cs="方正仿宋_GBK"/>
          <w:sz w:val="32"/>
          <w:szCs w:val="32"/>
          <w:shd w:val="clear" w:color="auto" w:fill="FFFFFF"/>
          <w:lang w:eastAsia="zh-CN"/>
        </w:rPr>
        <w:t>本年度多次召开会议，导致会议费增加。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eastAsia="zh-CN"/>
        </w:rPr>
        <w:t>本年度并未由该事业单位举办培训，故不存在培训费。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eastAsia" w:ascii="楷体" w:hAnsi="楷体" w:eastAsia="楷体" w:cs="楷体"/>
          <w:b/>
          <w:bCs/>
          <w:sz w:val="32"/>
          <w:szCs w:val="32"/>
          <w:shd w:val="clear" w:color="auto" w:fill="FFFFFF"/>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事业单位无项目支出，故无预算绩效</w:t>
      </w:r>
      <w:r>
        <w:rPr>
          <w:rFonts w:hint="eastAsia" w:ascii="方正仿宋_GBK" w:hAnsi="方正仿宋_GBK" w:eastAsia="方正仿宋_GBK" w:cs="方正仿宋_GBK"/>
          <w:color w:val="auto"/>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ind w:firstLine="640" w:firstLineChars="200"/>
        <w:rPr>
          <w:rFonts w:hint="eastAsia" w:ascii="楷体" w:hAnsi="楷体" w:eastAsia="楷体" w:cs="楷体"/>
          <w:b/>
          <w:bCs/>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val="en-US" w:eastAsia="zh-CN" w:bidi="ar-SA"/>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ind w:firstLine="640" w:firstLineChars="200"/>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auto"/>
          <w:sz w:val="32"/>
          <w:szCs w:val="32"/>
          <w:shd w:val="clear" w:color="auto" w:fill="FFFFFF"/>
          <w:lang w:val="en-US" w:eastAsia="zh-CN"/>
        </w:rPr>
        <w:t>023-48775380</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重庆市綦江区赶水镇综合行政执法大队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112.40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112.40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112.40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112.40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重庆市綦江区赶水镇综合行政执法大队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重庆市綦江区赶水镇综合行政执法大队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96.84</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重庆市綦江区赶水镇综合行政执法大队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0.75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285842"/>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7FFA9B7"/>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TotalTime>
  <ScaleCrop>false</ScaleCrop>
  <LinksUpToDate>false</LinksUpToDate>
  <CharactersWithSpaces>26759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guest</cp:lastModifiedBy>
  <dcterms:modified xsi:type="dcterms:W3CDTF">2024-10-25T11:59:09Z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BB46EABDBB2749749395447164B066B3_12</vt:lpwstr>
  </property>
</Properties>
</file>