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郭扶府发〔202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pStyle w:val="8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  <w:shd w:val="clear" w:color="auto" w:fill="FFFFFF"/>
        </w:rPr>
        <w:t>重庆市綦江区郭扶镇人民政府</w:t>
      </w:r>
    </w:p>
    <w:p>
      <w:pPr>
        <w:pStyle w:val="8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  <w:shd w:val="clear" w:color="auto" w:fill="FFFFFF"/>
        </w:rPr>
        <w:t>关于印发《郭扶镇202</w:t>
      </w: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  <w:shd w:val="clear" w:color="auto" w:fill="FFFFFF"/>
        </w:rPr>
        <w:t>年稻水象甲监测防控</w:t>
      </w:r>
    </w:p>
    <w:p>
      <w:pPr>
        <w:pStyle w:val="8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  <w:shd w:val="clear" w:color="auto" w:fill="FFFFFF"/>
        </w:rPr>
        <w:t>技术方案》的通知</w:t>
      </w:r>
    </w:p>
    <w:p>
      <w:pPr>
        <w:pStyle w:val="8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jc w:val="both"/>
        <w:textAlignment w:val="auto"/>
        <w:rPr>
          <w:rFonts w:hint="default" w:ascii="Times New Roman" w:hAnsi="Times New Roman" w:eastAsia="华文仿宋" w:cs="Times New Roman"/>
          <w:b/>
          <w:bCs/>
          <w:color w:val="000000"/>
          <w:sz w:val="30"/>
          <w:szCs w:val="30"/>
          <w:shd w:val="clear" w:color="auto" w:fill="FFFFFF"/>
        </w:rPr>
      </w:pPr>
    </w:p>
    <w:p>
      <w:pPr>
        <w:pStyle w:val="8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各村民委员会：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稻水象甲是全国农业植物检疫性有害生物之一，具有繁殖力强、危害大、扩散快、防治难等特点。稻水象甲成虫啃食稻叶、幼虫取食稻根，水稻受害后一般减产15%-20%左右，严重时减产50%以上，甚至绝收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对水稻生产和粮食安全造成严重威胁。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根据綦江区农业农村委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员会关于印发《綦江区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农业植物检疫工作方案》的通知文件精神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，研究制定了《郭扶镇202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年稻水象甲疫情监测防控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技术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方案》，现印发你们，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请各村结合实际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抓好各项措施落地落实，保障我镇粮食生产安全。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附件：郭扶镇202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年稻水象甲监测防控技术方案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800" w:firstLineChars="25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  <w:lang w:val="en-US" w:eastAsia="zh-CN"/>
        </w:rPr>
        <w:t xml:space="preserve">              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重庆市綦江区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shd w:val="clear" w:color="auto" w:fill="FFFFFF"/>
        </w:rPr>
        <w:t>郭扶镇人民政府</w:t>
      </w:r>
    </w:p>
    <w:p>
      <w:pPr>
        <w:pStyle w:val="8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ind w:right="632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  <w:lang w:val="en-US" w:eastAsia="zh-CN"/>
        </w:rPr>
        <w:t xml:space="preserve">                  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202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日</w:t>
      </w:r>
    </w:p>
    <w:p>
      <w:pPr>
        <w:pStyle w:val="8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ind w:right="632"/>
        <w:jc w:val="center"/>
        <w:textAlignment w:val="auto"/>
        <w:rPr>
          <w:rFonts w:hint="default" w:ascii="Times New Roman" w:hAnsi="Times New Roman" w:eastAsia="华文仿宋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ind w:right="632"/>
        <w:jc w:val="center"/>
        <w:textAlignment w:val="auto"/>
        <w:rPr>
          <w:rFonts w:hint="default" w:ascii="Times New Roman" w:hAnsi="Times New Roman" w:eastAsia="华文仿宋" w:cs="Times New Roman"/>
          <w:color w:val="000000"/>
          <w:kern w:val="2"/>
          <w:sz w:val="30"/>
          <w:szCs w:val="30"/>
          <w:shd w:val="clear" w:color="auto" w:fill="FFFFFF"/>
        </w:rPr>
      </w:pPr>
    </w:p>
    <w:p>
      <w:pPr>
        <w:pStyle w:val="8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ind w:right="632"/>
        <w:jc w:val="center"/>
        <w:textAlignment w:val="auto"/>
        <w:rPr>
          <w:rFonts w:hint="default" w:ascii="Times New Roman" w:hAnsi="Times New Roman" w:eastAsia="华文仿宋" w:cs="Times New Roman"/>
          <w:color w:val="000000"/>
          <w:kern w:val="2"/>
          <w:sz w:val="30"/>
          <w:szCs w:val="30"/>
          <w:shd w:val="clear" w:color="auto" w:fill="FFFFFF"/>
        </w:rPr>
      </w:pPr>
    </w:p>
    <w:p>
      <w:pPr>
        <w:pStyle w:val="8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ind w:right="632"/>
        <w:jc w:val="center"/>
        <w:textAlignment w:val="auto"/>
        <w:rPr>
          <w:rFonts w:hint="default" w:ascii="Times New Roman" w:hAnsi="Times New Roman" w:eastAsia="华文仿宋" w:cs="Times New Roman"/>
          <w:color w:val="000000"/>
          <w:kern w:val="2"/>
          <w:sz w:val="30"/>
          <w:szCs w:val="30"/>
          <w:shd w:val="clear" w:color="auto" w:fill="FFFFFF"/>
        </w:rPr>
      </w:pPr>
    </w:p>
    <w:p>
      <w:pPr>
        <w:pStyle w:val="8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ind w:right="632"/>
        <w:jc w:val="both"/>
        <w:textAlignment w:val="auto"/>
        <w:rPr>
          <w:rFonts w:hint="default" w:ascii="Times New Roman" w:hAnsi="Times New Roman" w:eastAsia="华文仿宋" w:cs="Times New Roman"/>
          <w:b/>
          <w:bCs/>
          <w:color w:val="000000"/>
          <w:kern w:val="2"/>
          <w:sz w:val="32"/>
          <w:szCs w:val="32"/>
          <w:shd w:val="clear" w:color="auto" w:fill="FFFFFF"/>
        </w:rPr>
      </w:pPr>
    </w:p>
    <w:p>
      <w:pPr>
        <w:pStyle w:val="8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ind w:right="632"/>
        <w:jc w:val="left"/>
        <w:textAlignment w:val="auto"/>
        <w:rPr>
          <w:rFonts w:hint="default" w:ascii="Times New Roman" w:hAnsi="Times New Roman" w:eastAsia="华文仿宋" w:cs="Times New Roman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ind w:right="632"/>
        <w:jc w:val="left"/>
        <w:textAlignment w:val="auto"/>
        <w:rPr>
          <w:rFonts w:hint="default" w:ascii="Times New Roman" w:hAnsi="Times New Roman" w:eastAsia="华文仿宋" w:cs="Times New Roman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ind w:right="632"/>
        <w:jc w:val="left"/>
        <w:textAlignment w:val="auto"/>
        <w:rPr>
          <w:rFonts w:hint="default" w:ascii="Times New Roman" w:hAnsi="Times New Roman" w:eastAsia="华文仿宋" w:cs="Times New Roman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ind w:right="632"/>
        <w:jc w:val="left"/>
        <w:textAlignment w:val="auto"/>
        <w:rPr>
          <w:rFonts w:hint="default" w:ascii="Times New Roman" w:hAnsi="Times New Roman" w:eastAsia="华文仿宋" w:cs="Times New Roman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ind w:right="632"/>
        <w:jc w:val="left"/>
        <w:textAlignment w:val="auto"/>
        <w:rPr>
          <w:rFonts w:hint="default" w:ascii="Times New Roman" w:hAnsi="Times New Roman" w:eastAsia="华文仿宋" w:cs="Times New Roman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ind w:right="632"/>
        <w:jc w:val="left"/>
        <w:textAlignment w:val="auto"/>
        <w:rPr>
          <w:rFonts w:hint="default" w:ascii="Times New Roman" w:hAnsi="Times New Roman" w:eastAsia="华文仿宋" w:cs="Times New Roman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ind w:right="632"/>
        <w:jc w:val="left"/>
        <w:textAlignment w:val="auto"/>
        <w:rPr>
          <w:rFonts w:hint="default" w:ascii="Times New Roman" w:hAnsi="Times New Roman" w:eastAsia="华文仿宋" w:cs="Times New Roman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ind w:right="632"/>
        <w:jc w:val="left"/>
        <w:textAlignment w:val="auto"/>
        <w:rPr>
          <w:rFonts w:hint="default" w:ascii="Times New Roman" w:hAnsi="Times New Roman" w:eastAsia="华文仿宋" w:cs="Times New Roman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ind w:right="632"/>
        <w:jc w:val="left"/>
        <w:textAlignment w:val="auto"/>
        <w:rPr>
          <w:rFonts w:hint="default" w:ascii="Times New Roman" w:hAnsi="Times New Roman" w:eastAsia="华文仿宋" w:cs="Times New Roman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ind w:right="632"/>
        <w:jc w:val="left"/>
        <w:textAlignment w:val="auto"/>
        <w:rPr>
          <w:rFonts w:hint="default" w:ascii="Times New Roman" w:hAnsi="Times New Roman" w:eastAsia="华文仿宋" w:cs="Times New Roman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ind w:right="632"/>
        <w:jc w:val="left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/>
        </w:rPr>
        <w:t>附件：</w:t>
      </w:r>
    </w:p>
    <w:p>
      <w:pPr>
        <w:pStyle w:val="8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ind w:right="632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000000"/>
          <w:kern w:val="2"/>
          <w:sz w:val="44"/>
          <w:szCs w:val="44"/>
          <w:shd w:val="clear" w:color="auto" w:fill="FFFFFF"/>
        </w:rPr>
      </w:pPr>
    </w:p>
    <w:p>
      <w:pPr>
        <w:pStyle w:val="8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ind w:right="632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kern w:val="2"/>
          <w:sz w:val="44"/>
          <w:szCs w:val="44"/>
          <w:shd w:val="clear" w:color="auto" w:fill="FFFFFF"/>
        </w:rPr>
        <w:t>郭扶镇202</w:t>
      </w: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kern w:val="2"/>
          <w:sz w:val="44"/>
          <w:szCs w:val="44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kern w:val="2"/>
          <w:sz w:val="44"/>
          <w:szCs w:val="44"/>
          <w:shd w:val="clear" w:color="auto" w:fill="FFFFFF"/>
        </w:rPr>
        <w:t>年</w:t>
      </w: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  <w:shd w:val="clear" w:color="auto" w:fill="FFFFFF"/>
        </w:rPr>
        <w:t>稻水象甲疫情监测防控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技术</w:t>
      </w: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  <w:shd w:val="clear" w:color="auto" w:fill="FFFFFF"/>
        </w:rPr>
        <w:t>方</w:t>
      </w: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  <w:shd w:val="clear" w:color="auto" w:fill="FFFFFF"/>
        </w:rPr>
        <w:t>案</w:t>
      </w:r>
    </w:p>
    <w:p>
      <w:pPr>
        <w:pStyle w:val="8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beforeAutospacing="0" w:afterAutospacing="0" w:line="560" w:lineRule="exact"/>
        <w:ind w:firstLine="640"/>
        <w:jc w:val="center"/>
        <w:textAlignment w:val="auto"/>
        <w:rPr>
          <w:rFonts w:hint="default" w:ascii="Times New Roman" w:hAnsi="Times New Roman" w:eastAsia="华文仿宋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ind w:firstLine="60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color w:val="000000"/>
          <w:sz w:val="30"/>
          <w:szCs w:val="30"/>
          <w:shd w:val="clear" w:color="auto" w:fill="FFFFFF"/>
        </w:rPr>
        <w:t>为有效控制稻水象甲疫情的扩散、蔓延，保障我镇粮食生产安全，特制定本方案。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default" w:ascii="Times New Roman" w:hAnsi="Times New Roman" w:eastAsia="方正黑体_GBK" w:cs="Times New Roman"/>
          <w:b w:val="0"/>
          <w:bCs w:val="0"/>
          <w:kern w:val="0"/>
          <w:sz w:val="30"/>
          <w:szCs w:val="30"/>
        </w:rPr>
      </w:pPr>
      <w:r>
        <w:rPr>
          <w:rFonts w:hint="default" w:ascii="Times New Roman" w:hAnsi="Times New Roman" w:eastAsia="方正黑体_GBK" w:cs="Times New Roman"/>
          <w:b w:val="0"/>
          <w:bCs w:val="0"/>
          <w:kern w:val="0"/>
          <w:sz w:val="30"/>
          <w:szCs w:val="30"/>
        </w:rPr>
        <w:t>一、防控原则和策略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坚持“预防为主、综合防治”植保方针，按照“属地管理原则，分级负责、部门联动、社会参与”的原则，按照“及时发现、及时预警、及时防治”办法，“狠治越冬代，挑治第一代”的原则进行综合防控，切实提高稻水象甲防控效果。</w:t>
      </w:r>
    </w:p>
    <w:p>
      <w:pPr>
        <w:pStyle w:val="8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ind w:firstLine="600" w:firstLineChars="20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0"/>
          <w:szCs w:val="30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000000"/>
          <w:sz w:val="30"/>
          <w:szCs w:val="30"/>
          <w:shd w:val="clear" w:color="auto" w:fill="FFFFFF"/>
        </w:rPr>
        <w:t>二、防控目标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及时扑灭新发区零星疫情点，降低老发生区虫口密度和危害程度，将危害损失率控制在3%以内，有效延缓扩散蔓延势头。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000000"/>
          <w:sz w:val="30"/>
          <w:szCs w:val="30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000000"/>
          <w:sz w:val="30"/>
          <w:szCs w:val="30"/>
          <w:shd w:val="clear" w:color="auto" w:fill="FFFFFF"/>
          <w:lang w:val="en-US" w:eastAsia="zh-CN"/>
        </w:rPr>
        <w:t>三、监测方法主要方法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</w:rPr>
        <w:t>（一）监测地点和时间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在水稻种植区及周边开展监测，以稻田为主，兼顾田边山坡、林地和田边沟渠杂草等越冬及危害场所。第一阶段（3月上旬—5月下旬）以秧田和移栽后的大田为主；第二阶段（6—8月）以水稻大田为主；第三阶段（9-10月），以稻田及其附近稻水象甲生存场所为主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（二）监测方法</w:t>
      </w: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采取访问详查、踏查、系统调查以及灯诱等方法进行，以观察识别水稻典型危害状“取食斑”和成虫为主，兼顾调查幼虫和虫蛹。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 未发生区主要采取访问调查与踏查相结合进行监测。在幼虫期、蛹期进行根系检查，发现可疑症状，必要时取样送室内鉴定。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访问调查：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向水稻种植户等相关人员询问稻水象甲发生有关信息，分析是否存在稻水象甲危害，对访问调查过程发现的可疑田块，进行重点踏查。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踏查：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结合访问调查，在秧田期、分蘖期、破口期进行，踏查代表面积占种植面积的30%以上，目测查找有无可疑症状稻株（叶片有啃食过的长白条斑，植株衰弱、坐蔸、浮秧或整株枯死），发现有典型危害状“取食斑”或稻水象甲成虫后，对发现点周边2米范围内进行网捕或采取五点取样，调查成虫虫口密度，秧田调查每点不得少于1平方米，大田每点不少于5丛；调查幼虫和蛹采用5点取样，秧田每点不少于0.1平方米，大田每点不少于5丛，越冬场所调查，采用棋盘式取样，每点不少于0.1平方米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 发生区监测主要采取包括灯光诱集、越冬成虫调查、寄主诱捕监测以及秧田、大田系统调查等方法，调查时间一般为早上10点前或下午4点后。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灯光诱集：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结合固定监测点设置的诱虫灯，每天清早将诱获的成虫取回室内计数，监测成虫高峰期。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越冬虫量调查：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以发生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的村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为单位，于水稻收获后至育秧前选择2-3个村进行调查，每10天调查一次，在稻田附近的禾本科和莎草科杂草地、山坡地、林地进行，按棋盘式随机取样，每点不少于0.1 平方米，仔细检查杂草基部和土壤中成虫数量。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yellow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寄主诱捕监测：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以喜好寄主（水稻）诱捕越冬成虫，观察其迁入稻田的时间。在水稻育秧前15天选择一个监测点，将事先播有100粒稻种且秧龄10天的盆（盘）（30×30厘米），放置在秧田种植区附近，每点放置5盆，调查取食斑和成虫数量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秧田系统调查：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从秧田三叶期开始，每3天调查一次，查到拔秧止，此阶段只调查成虫，选择有代表性的早、中、晚播类型田各1块，采用目测法，随机5点取样，每点调查0.1平方米，调查结果折算成每平方米虫量。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华文仿宋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大田系统调查：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水稻移栽后返青后，每7天调查一次，查到收割止。选择有代表性的早、中、晚播类型田各1块。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成虫调查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主要在田埂巡查，观察稻叶上是否有成虫取食斑及活动成虫，或观察稻田中、田埂上、水中杂草是否有取食斑及活动成虫。利用目测法，随机5点取样，每点调查5丛。统计成虫数量，调查结果折算成百丛虫量；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幼虫与蛹调查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，幼虫和蛹情调查一并进行，每个点随机5点取样，每点挖取稻株5丛，置于40目和80目的多层铁筛中，用水洗去泥土，查清稻根及铁筛中的幼虫和土茧数</w:t>
      </w:r>
      <w:r>
        <w:rPr>
          <w:rFonts w:hint="default" w:ascii="Times New Roman" w:hAnsi="Times New Roman" w:eastAsia="华文仿宋" w:cs="Times New Roman"/>
          <w:sz w:val="32"/>
          <w:szCs w:val="32"/>
        </w:rPr>
        <w:t>量。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ind w:firstLine="600" w:firstLineChars="20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000000"/>
          <w:sz w:val="30"/>
          <w:szCs w:val="30"/>
          <w:shd w:val="clear" w:color="auto" w:fill="FFFFFF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000000"/>
          <w:sz w:val="30"/>
          <w:szCs w:val="30"/>
          <w:shd w:val="clear" w:color="auto" w:fill="FFFFFF"/>
          <w:lang w:eastAsia="zh-CN"/>
        </w:rPr>
        <w:t>四、</w:t>
      </w:r>
      <w:r>
        <w:rPr>
          <w:rFonts w:hint="default" w:ascii="Times New Roman" w:hAnsi="Times New Roman" w:eastAsia="方正黑体_GBK" w:cs="Times New Roman"/>
          <w:b w:val="0"/>
          <w:bCs w:val="0"/>
          <w:color w:val="000000"/>
          <w:sz w:val="30"/>
          <w:szCs w:val="30"/>
          <w:shd w:val="clear" w:color="auto" w:fill="FFFFFF"/>
        </w:rPr>
        <w:t>防控措施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ind w:firstLine="60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color w:val="000000"/>
          <w:sz w:val="30"/>
          <w:szCs w:val="30"/>
          <w:shd w:val="clear" w:color="auto" w:fill="FFFFFF"/>
        </w:rPr>
        <w:t>（一）认真开展疫情普查监测，为防控提供准确及时的科学依据。</w:t>
      </w:r>
    </w:p>
    <w:p>
      <w:pPr>
        <w:pStyle w:val="8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ind w:firstLine="60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0"/>
          <w:szCs w:val="30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000000"/>
          <w:sz w:val="30"/>
          <w:szCs w:val="30"/>
          <w:shd w:val="clear" w:color="auto" w:fill="FFFFFF"/>
        </w:rPr>
        <w:t>（二）</w:t>
      </w:r>
      <w:r>
        <w:rPr>
          <w:rFonts w:hint="default" w:ascii="Times New Roman" w:hAnsi="Times New Roman" w:eastAsia="方正仿宋_GBK" w:cs="Times New Roman"/>
          <w:color w:val="000000"/>
          <w:sz w:val="30"/>
          <w:szCs w:val="30"/>
          <w:shd w:val="clear" w:color="auto" w:fill="FFFFFF"/>
          <w:lang w:val="en-US" w:eastAsia="zh-CN"/>
        </w:rPr>
        <w:t>切实做好应急防控，确保</w:t>
      </w:r>
      <w:r>
        <w:rPr>
          <w:rFonts w:hint="default" w:ascii="Times New Roman" w:hAnsi="Times New Roman" w:eastAsia="方正仿宋_GBK" w:cs="Times New Roman"/>
          <w:color w:val="000000"/>
          <w:sz w:val="30"/>
          <w:szCs w:val="30"/>
          <w:shd w:val="clear" w:color="auto" w:fill="FFFFFF"/>
        </w:rPr>
        <w:t>疫情</w:t>
      </w:r>
      <w:r>
        <w:rPr>
          <w:rFonts w:hint="default" w:ascii="Times New Roman" w:hAnsi="Times New Roman" w:eastAsia="方正仿宋_GBK" w:cs="Times New Roman"/>
          <w:color w:val="000000"/>
          <w:sz w:val="30"/>
          <w:szCs w:val="30"/>
          <w:shd w:val="clear" w:color="auto" w:fill="FFFFFF"/>
          <w:lang w:val="en-US" w:eastAsia="zh-CN"/>
        </w:rPr>
        <w:t>防治效果</w:t>
      </w:r>
      <w:r>
        <w:rPr>
          <w:rFonts w:hint="default" w:ascii="Times New Roman" w:hAnsi="Times New Roman" w:eastAsia="方正仿宋_GBK" w:cs="Times New Roman"/>
          <w:color w:val="000000"/>
          <w:sz w:val="30"/>
          <w:szCs w:val="30"/>
          <w:shd w:val="clear" w:color="auto" w:fill="FFFFFF"/>
        </w:rPr>
        <w:t>。</w:t>
      </w:r>
    </w:p>
    <w:p>
      <w:pPr>
        <w:pStyle w:val="8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ind w:firstLine="60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0"/>
          <w:szCs w:val="30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000000"/>
          <w:sz w:val="30"/>
          <w:szCs w:val="30"/>
          <w:shd w:val="clear" w:color="auto" w:fill="FFFFFF"/>
        </w:rPr>
        <w:t>各村干部要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深入各村民小组和田间地头，</w:t>
      </w:r>
      <w:r>
        <w:rPr>
          <w:rFonts w:hint="default" w:ascii="Times New Roman" w:hAnsi="Times New Roman" w:eastAsia="方正仿宋_GBK" w:cs="Times New Roman"/>
          <w:color w:val="000000"/>
          <w:sz w:val="30"/>
          <w:szCs w:val="30"/>
          <w:shd w:val="clear" w:color="auto" w:fill="FFFFFF"/>
        </w:rPr>
        <w:t>对本村区域内种植农作物的田间地块进行稻水象甲病虫普查，一旦发现疫情，立即采取有效措施，统一时间，统一药剂，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组织群众</w:t>
      </w:r>
      <w:r>
        <w:rPr>
          <w:rFonts w:hint="default" w:ascii="Times New Roman" w:hAnsi="Times New Roman" w:eastAsia="方正仿宋_GBK" w:cs="Times New Roman"/>
          <w:color w:val="000000"/>
          <w:sz w:val="30"/>
          <w:szCs w:val="30"/>
          <w:shd w:val="clear" w:color="auto" w:fill="FFFFFF"/>
        </w:rPr>
        <w:t>施药防治，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防控工作必须做到村不漏组，组不漏户，户不漏田，保证各项防控措施落到实处，确保防治效果，</w:t>
      </w:r>
      <w:r>
        <w:rPr>
          <w:rFonts w:hint="default" w:ascii="Times New Roman" w:hAnsi="Times New Roman" w:eastAsia="方正仿宋_GBK" w:cs="Times New Roman"/>
          <w:color w:val="000000"/>
          <w:sz w:val="30"/>
          <w:szCs w:val="30"/>
          <w:shd w:val="clear" w:color="auto" w:fill="FFFFFF"/>
        </w:rPr>
        <w:t>严防疫情扩展蔓延。</w:t>
      </w:r>
    </w:p>
    <w:p>
      <w:pPr>
        <w:pStyle w:val="8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ind w:firstLine="60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0"/>
          <w:szCs w:val="30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000000"/>
          <w:sz w:val="30"/>
          <w:szCs w:val="30"/>
          <w:shd w:val="clear" w:color="auto" w:fill="FFFFFF"/>
        </w:rPr>
        <w:t>（三）进一步做好疫情宣传培训，加强稻水象甲识别与防控的宣传培训，努力提高植物疫情防范的社会参与意识和</w:t>
      </w:r>
      <w:r>
        <w:rPr>
          <w:rFonts w:hint="default" w:ascii="Times New Roman" w:hAnsi="Times New Roman" w:eastAsia="方正仿宋_GBK" w:cs="Times New Roman"/>
          <w:color w:val="000000"/>
          <w:sz w:val="30"/>
          <w:szCs w:val="30"/>
          <w:shd w:val="clear" w:color="auto" w:fill="FFFFFF"/>
          <w:lang w:val="en-US" w:eastAsia="zh-CN"/>
        </w:rPr>
        <w:t>共同</w:t>
      </w:r>
      <w:r>
        <w:rPr>
          <w:rFonts w:hint="default" w:ascii="Times New Roman" w:hAnsi="Times New Roman" w:eastAsia="方正仿宋_GBK" w:cs="Times New Roman"/>
          <w:color w:val="000000"/>
          <w:sz w:val="30"/>
          <w:szCs w:val="30"/>
          <w:shd w:val="clear" w:color="auto" w:fill="FFFFFF"/>
        </w:rPr>
        <w:t>防控意识。加强对稻水象甲识别与防控知识的专业技术培训和科学普及工作，让广大水稻种植户能识别、能发现、能防控稻水象甲，为及时发现和扑灭疫情赢得时间，以防止疫情的大面积扩散蔓延和危害成灾。</w:t>
      </w:r>
    </w:p>
    <w:p>
      <w:pPr>
        <w:pStyle w:val="8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ind w:firstLine="60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0"/>
          <w:szCs w:val="30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000000"/>
          <w:sz w:val="30"/>
          <w:szCs w:val="30"/>
          <w:shd w:val="clear" w:color="auto" w:fill="FFFFFF"/>
        </w:rPr>
        <w:t>（四）掌握疫情动态，及时报告。各村要确定1名稻水象甲监测员，调查监测稻水象甲，发现疑似稻水象甲，及时报告镇农业服务中心，联系电话48430874。</w:t>
      </w:r>
    </w:p>
    <w:p>
      <w:pPr>
        <w:pStyle w:val="8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ind w:firstLine="60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0"/>
          <w:szCs w:val="30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000000"/>
          <w:sz w:val="30"/>
          <w:szCs w:val="30"/>
          <w:shd w:val="clear" w:color="auto" w:fill="FFFFFF"/>
        </w:rPr>
        <w:t>（五）建好疫情档案，归档管理。将稻水象甲疫情普查情况、稻水象甲疫情发生防治情况的原始记录表册妥善保存，并按要求建立稻水象甲疫情监测防控档案资料，及时归档管理。</w:t>
      </w:r>
    </w:p>
    <w:p>
      <w:pPr>
        <w:pStyle w:val="8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ind w:firstLine="60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0"/>
          <w:szCs w:val="30"/>
          <w:shd w:val="clear" w:color="auto" w:fill="FFFFFF"/>
        </w:rPr>
        <w:t>（六）疫情</w:t>
      </w:r>
      <w:r>
        <w:rPr>
          <w:rFonts w:hint="default" w:ascii="Times New Roman" w:hAnsi="Times New Roman" w:eastAsia="方正仿宋_GBK" w:cs="Times New Roman"/>
          <w:color w:val="000000"/>
          <w:sz w:val="30"/>
          <w:szCs w:val="30"/>
          <w:shd w:val="clear" w:color="auto" w:fill="FFFFFF"/>
          <w:lang w:val="en-US" w:eastAsia="zh-CN"/>
        </w:rPr>
        <w:t>防</w:t>
      </w:r>
      <w:r>
        <w:rPr>
          <w:rFonts w:hint="default" w:ascii="Times New Roman" w:hAnsi="Times New Roman" w:eastAsia="方正仿宋_GBK" w:cs="Times New Roman"/>
          <w:color w:val="000000"/>
          <w:sz w:val="30"/>
          <w:szCs w:val="30"/>
          <w:shd w:val="clear" w:color="auto" w:fill="FFFFFF"/>
        </w:rPr>
        <w:t>控</w:t>
      </w:r>
      <w:r>
        <w:rPr>
          <w:rFonts w:hint="default" w:ascii="Times New Roman" w:hAnsi="Times New Roman" w:eastAsia="方正仿宋_GBK" w:cs="Times New Roman"/>
          <w:color w:val="000000"/>
          <w:sz w:val="30"/>
          <w:szCs w:val="30"/>
          <w:shd w:val="clear" w:color="auto" w:fill="FFFFFF"/>
          <w:lang w:val="en-US" w:eastAsia="zh-CN"/>
        </w:rPr>
        <w:t>技术措施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加强植物检疫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34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认真执行植物检疫法规，严格产地检疫和调运检疫，对来自发生区的稻谷、秧苗、稻草以及交通运输工具采取检疫检查；禁止携带有稻水象甲的稻种、稻草、稻秧、稻壳、饲料等寄主材料运出发生区，严禁在疫情发生区繁育秧苗，严禁从疫情发生区域调入秧苗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加强化学防治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建议选用高效、低毒、低残留农药，以村为单位进行稻水象甲统防统治，施药范围包括秧田、大田及周边埂道、坡地、沟渠等危害场所，施药要及时、全面，不留死角；施药时间以上午9:00—10:00点或下午16:00—18:00点为最佳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水稻秧期防治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水稻出苗后2-3片叶期，随着气温上升，越冬成虫会迅速返回水稻取食，此时为田间成虫密度最高时期，可进行集中喷防药治。用药可选择：10%醚菊酯悬浮剂80-100克每亩兑水30公斤，10%氟虫双酰胺·阿维菌素悬浮剂45毫升每亩兑水30公斤，20%氯虫苯甲酰胺悬浮剂50毫升每亩兑水75公斤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浸秧处理：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亩用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70%吡虫啉水分散粒剂7.5克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，兑水50公斤，将秧捆浸泡在药液中30分钟后移栽。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幼虫防治：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水稻移栽一周后，亩用5%丁硫克百威颗粒剂2-3公斤，与一定量的干细沙土拌匀，均匀撒施于水田中。撒施前保持水层4厘米，处理后一周不排水灌水，也可有效杀灭成虫，且持效期长。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成虫防治：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亩用20%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丁硫克百威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颗粒剂2-3公斤拌适量干细土撒施；亩用40%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氯虫·噻虫嗪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水分散粒剂8-10克、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20%氯虫苯甲酰胺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悬浮剂6.67－13.3毫升、40%哒螨灵悬浮剂25－30毫升，大田期每亩兑水50公斤，均匀喷雾。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34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加大生物防治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减少高毒残留农药使用，保护蟾蜍、青蛙、蜻蜓、蜘蛛等捕食性天敌，有条件的地方实施“稻鸭共育”模式，水稻移栽后10天左右，每亩投放15日龄鸭苗15-20只，以3-5亩为一个种养结合小区并围网，田边需要留一个约20平方米左右搭棚空间，以便填喂饲料使用，于水稻抽穗、灌浆后，稻穗下垂时，须把鸭群迁出饲养。此外，还可以用生物农药绿僵菌等防治第一代成虫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34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实施物理防治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552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利用稻水象甲的趋光性，在发生区域，设置杀虫灯诱杀成虫，压低虫口基数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（此件公开发布）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552"/>
        <w:textAlignment w:val="auto"/>
        <w:rPr>
          <w:rFonts w:hint="default" w:ascii="Times New Roman" w:hAnsi="Times New Roman" w:eastAsia="华文仿宋" w:cs="Times New Roman"/>
          <w:color w:val="000000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2098" w:right="1474" w:bottom="1984" w:left="1587" w:header="851" w:footer="1474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0ZTE2YTEzYTQyYTMxZjJmZjU4YTIzMmQ3YTdlZmQifQ=="/>
  </w:docVars>
  <w:rsids>
    <w:rsidRoot w:val="4ECF6637"/>
    <w:rsid w:val="00062A6F"/>
    <w:rsid w:val="000D2AC2"/>
    <w:rsid w:val="00145875"/>
    <w:rsid w:val="001940ED"/>
    <w:rsid w:val="002F5D84"/>
    <w:rsid w:val="00337C65"/>
    <w:rsid w:val="00340DCE"/>
    <w:rsid w:val="004550EE"/>
    <w:rsid w:val="004D62BB"/>
    <w:rsid w:val="005A3C27"/>
    <w:rsid w:val="006B4919"/>
    <w:rsid w:val="00726516"/>
    <w:rsid w:val="008035BC"/>
    <w:rsid w:val="0089235D"/>
    <w:rsid w:val="008D34CC"/>
    <w:rsid w:val="009431D8"/>
    <w:rsid w:val="00D72CEA"/>
    <w:rsid w:val="00FB3324"/>
    <w:rsid w:val="01462E46"/>
    <w:rsid w:val="01CA009B"/>
    <w:rsid w:val="02086177"/>
    <w:rsid w:val="02183992"/>
    <w:rsid w:val="027D407A"/>
    <w:rsid w:val="02DC3A1E"/>
    <w:rsid w:val="044F1F13"/>
    <w:rsid w:val="05496BA4"/>
    <w:rsid w:val="06435DB9"/>
    <w:rsid w:val="08C21E7C"/>
    <w:rsid w:val="08D67939"/>
    <w:rsid w:val="0A9E3051"/>
    <w:rsid w:val="0D023861"/>
    <w:rsid w:val="0D273BD6"/>
    <w:rsid w:val="0F2C04BE"/>
    <w:rsid w:val="0F9B02EC"/>
    <w:rsid w:val="105D63A0"/>
    <w:rsid w:val="113A44D2"/>
    <w:rsid w:val="11CF6E21"/>
    <w:rsid w:val="11F20AFA"/>
    <w:rsid w:val="12C06905"/>
    <w:rsid w:val="133E1A47"/>
    <w:rsid w:val="14E06B63"/>
    <w:rsid w:val="150166D0"/>
    <w:rsid w:val="197401DE"/>
    <w:rsid w:val="1D3D64CB"/>
    <w:rsid w:val="1F5D606F"/>
    <w:rsid w:val="1F68485E"/>
    <w:rsid w:val="210B4C93"/>
    <w:rsid w:val="219718F6"/>
    <w:rsid w:val="220F22F0"/>
    <w:rsid w:val="22640DD6"/>
    <w:rsid w:val="22FF72DB"/>
    <w:rsid w:val="2364394B"/>
    <w:rsid w:val="263A522E"/>
    <w:rsid w:val="26F76E95"/>
    <w:rsid w:val="27891ABF"/>
    <w:rsid w:val="2AB17A22"/>
    <w:rsid w:val="2B73066A"/>
    <w:rsid w:val="2BC3023B"/>
    <w:rsid w:val="2CB033B9"/>
    <w:rsid w:val="2CDD140D"/>
    <w:rsid w:val="2D034BFA"/>
    <w:rsid w:val="2D8E1FCE"/>
    <w:rsid w:val="2DC0090D"/>
    <w:rsid w:val="317155EA"/>
    <w:rsid w:val="3281639F"/>
    <w:rsid w:val="331C4748"/>
    <w:rsid w:val="33386B21"/>
    <w:rsid w:val="33B9719F"/>
    <w:rsid w:val="34D52C19"/>
    <w:rsid w:val="35961BE3"/>
    <w:rsid w:val="362E0D5A"/>
    <w:rsid w:val="37042F5F"/>
    <w:rsid w:val="37EB608B"/>
    <w:rsid w:val="3A287C9E"/>
    <w:rsid w:val="3AAB3E6E"/>
    <w:rsid w:val="3B000BDF"/>
    <w:rsid w:val="3B283467"/>
    <w:rsid w:val="3BA23DC6"/>
    <w:rsid w:val="3C866749"/>
    <w:rsid w:val="3D581D14"/>
    <w:rsid w:val="3D71396E"/>
    <w:rsid w:val="3ED717F2"/>
    <w:rsid w:val="3FD24F4C"/>
    <w:rsid w:val="40550DD9"/>
    <w:rsid w:val="40A05342"/>
    <w:rsid w:val="44FC6FE1"/>
    <w:rsid w:val="45172A5F"/>
    <w:rsid w:val="46EB6A92"/>
    <w:rsid w:val="47350787"/>
    <w:rsid w:val="48F723D8"/>
    <w:rsid w:val="4C571DCF"/>
    <w:rsid w:val="4CA522B1"/>
    <w:rsid w:val="4ECF6637"/>
    <w:rsid w:val="50142F32"/>
    <w:rsid w:val="501A01C5"/>
    <w:rsid w:val="51391F26"/>
    <w:rsid w:val="52584476"/>
    <w:rsid w:val="535074A4"/>
    <w:rsid w:val="55B33C6F"/>
    <w:rsid w:val="574939BD"/>
    <w:rsid w:val="57EC4636"/>
    <w:rsid w:val="58BC6178"/>
    <w:rsid w:val="59221C3A"/>
    <w:rsid w:val="592766F9"/>
    <w:rsid w:val="5AC22E54"/>
    <w:rsid w:val="5B574009"/>
    <w:rsid w:val="5D22456B"/>
    <w:rsid w:val="5E007EF2"/>
    <w:rsid w:val="5E383D47"/>
    <w:rsid w:val="5EBA1499"/>
    <w:rsid w:val="5EEC47FE"/>
    <w:rsid w:val="5F312717"/>
    <w:rsid w:val="5F9C5154"/>
    <w:rsid w:val="60AB7639"/>
    <w:rsid w:val="60DB4B21"/>
    <w:rsid w:val="616C14BD"/>
    <w:rsid w:val="61EB372E"/>
    <w:rsid w:val="62853EEF"/>
    <w:rsid w:val="641353AC"/>
    <w:rsid w:val="659224BB"/>
    <w:rsid w:val="65CA391D"/>
    <w:rsid w:val="68E50AA7"/>
    <w:rsid w:val="6AF90F75"/>
    <w:rsid w:val="6B82796E"/>
    <w:rsid w:val="6F613E86"/>
    <w:rsid w:val="6F6E1D2D"/>
    <w:rsid w:val="6FC01A8F"/>
    <w:rsid w:val="6FFA1F78"/>
    <w:rsid w:val="71341D38"/>
    <w:rsid w:val="72B90CD0"/>
    <w:rsid w:val="744C6A70"/>
    <w:rsid w:val="75BE6F1F"/>
    <w:rsid w:val="75DA052D"/>
    <w:rsid w:val="766859E4"/>
    <w:rsid w:val="77D178D1"/>
    <w:rsid w:val="789B39D9"/>
    <w:rsid w:val="7AD04867"/>
    <w:rsid w:val="7BAD7B46"/>
    <w:rsid w:val="7C0606EA"/>
    <w:rsid w:val="7D21444F"/>
    <w:rsid w:val="7D6656A8"/>
    <w:rsid w:val="7E2D634F"/>
    <w:rsid w:val="7F5C39CA"/>
    <w:rsid w:val="7FD26555"/>
    <w:rsid w:val="7FFC6C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3">
    <w:name w:val="索引 51"/>
    <w:next w:val="1"/>
    <w:qFormat/>
    <w:uiPriority w:val="99"/>
    <w:pPr>
      <w:widowControl w:val="0"/>
      <w:ind w:left="168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5">
    <w:name w:val="index 6"/>
    <w:basedOn w:val="1"/>
    <w:next w:val="1"/>
    <w:qFormat/>
    <w:uiPriority w:val="0"/>
    <w:pPr>
      <w:ind w:left="2100"/>
    </w:pPr>
  </w:style>
  <w:style w:type="paragraph" w:styleId="6">
    <w:name w:val="Body Text"/>
    <w:basedOn w:val="1"/>
    <w:next w:val="5"/>
    <w:semiHidden/>
    <w:qFormat/>
    <w:uiPriority w:val="0"/>
    <w:rPr>
      <w:rFonts w:ascii="微软雅黑" w:hAnsi="微软雅黑" w:eastAsia="微软雅黑" w:cs="微软雅黑"/>
      <w:sz w:val="31"/>
      <w:szCs w:val="31"/>
      <w:lang w:val="en-US" w:eastAsia="en-US" w:bidi="ar-SA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FollowedHyperlink"/>
    <w:basedOn w:val="10"/>
    <w:qFormat/>
    <w:uiPriority w:val="0"/>
    <w:rPr>
      <w:color w:val="000000"/>
      <w:u w:val="none"/>
    </w:rPr>
  </w:style>
  <w:style w:type="character" w:styleId="12">
    <w:name w:val="Hyperlink"/>
    <w:basedOn w:val="10"/>
    <w:qFormat/>
    <w:uiPriority w:val="0"/>
    <w:rPr>
      <w:color w:val="000000"/>
      <w:u w:val="none"/>
    </w:rPr>
  </w:style>
  <w:style w:type="character" w:customStyle="1" w:styleId="13">
    <w:name w:val="td41"/>
    <w:basedOn w:val="10"/>
    <w:qFormat/>
    <w:uiPriority w:val="0"/>
    <w:rPr>
      <w:b/>
      <w:color w:val="00008B"/>
      <w:sz w:val="39"/>
      <w:szCs w:val="39"/>
      <w:shd w:val="clear" w:color="auto" w:fill="FFFFFF"/>
    </w:rPr>
  </w:style>
  <w:style w:type="character" w:customStyle="1" w:styleId="14">
    <w:name w:val="页眉 Char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0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312</Words>
  <Characters>1782</Characters>
  <Lines>14</Lines>
  <Paragraphs>4</Paragraphs>
  <TotalTime>0</TotalTime>
  <ScaleCrop>false</ScaleCrop>
  <LinksUpToDate>false</LinksUpToDate>
  <CharactersWithSpaces>2090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2019-05-17T09:59:00Z</dcterms:created>
  <dc:creator>Administrator</dc:creator>
  <cp:lastModifiedBy>Administrator</cp:lastModifiedBy>
  <cp:lastPrinted>2024-04-23T07:49:00Z</cp:lastPrinted>
  <dcterms:modified xsi:type="dcterms:W3CDTF">2024-04-26T03:26:06Z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A5C68E99E47146828C3402143F56C799_12</vt:lpwstr>
  </property>
</Properties>
</file>