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5828">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color w:val="000000"/>
          <w:kern w:val="2"/>
          <w:sz w:val="44"/>
          <w:szCs w:val="44"/>
          <w:u w:val="none"/>
        </w:rPr>
        <w:t>重庆市綦江区丁山镇人民政府（本级）</w:t>
      </w:r>
    </w:p>
    <w:p w14:paraId="2D15C2D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2026年单位预算情况说明</w:t>
      </w:r>
    </w:p>
    <w:p w14:paraId="541AD69A">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880"/>
        <w:jc w:val="center"/>
        <w:textAlignment w:val="auto"/>
        <w:rPr>
          <w:rFonts w:hint="default" w:ascii="Times New Roman" w:hAnsi="Times New Roman" w:eastAsia="华文中宋" w:cs="Times New Roman"/>
          <w:sz w:val="44"/>
          <w:szCs w:val="44"/>
        </w:rPr>
      </w:pPr>
    </w:p>
    <w:p w14:paraId="22F86FD3">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666C8C62">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0948D87A">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基层治理综合指挥室。承担基层治理指挥中心的日常运行和指挥调度相关工作。承担</w:t>
      </w:r>
      <w:r>
        <w:rPr>
          <w:rFonts w:hint="eastAsia" w:ascii="方正仿宋_GBK" w:hAnsi="方正仿宋_GBK" w:eastAsia="方正仿宋_GBK" w:cs="方正仿宋_GBK"/>
          <w:b w:val="0"/>
          <w:bCs w:val="0"/>
          <w:color w:val="000000"/>
          <w:kern w:val="2"/>
          <w:sz w:val="32"/>
          <w:szCs w:val="32"/>
          <w:u w:val="none"/>
        </w:rPr>
        <w:t>“一中心四板块一网格”</w:t>
      </w:r>
      <w:r>
        <w:rPr>
          <w:rFonts w:hint="default" w:ascii="Times New Roman" w:hAnsi="Times New Roman" w:eastAsia="方正仿宋_GBK" w:cs="Times New Roman"/>
          <w:b w:val="0"/>
          <w:bCs w:val="0"/>
          <w:color w:val="000000"/>
          <w:kern w:val="2"/>
          <w:sz w:val="32"/>
          <w:szCs w:val="32"/>
          <w:u w:val="none"/>
        </w:rPr>
        <w:t>基层智治体系建设和基层治理智治平台的统筹协调、运行监测、分析研判、协同流转、应急指挥、督查考核等工作。承担政府信息公开、机要、保密、档案、公文、会务等工作，承担机关接待、后勤保障、党务政务值班值守等工作。</w:t>
      </w:r>
    </w:p>
    <w:p w14:paraId="0097867E">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党的建设办公室。承担党的建设板块的日常管理协调工作。负责党的政治建设、思想建设、组织建设、作风建设、反腐倡廉建设、民主法治建设，以及意识形态、统一战线、群众团体等领域的工作，加强党的全面领导，全面加强党的建设，落实全面从严治党要求。承担基层党的建设、纪律检查、精神文明、法制、网络安全与信息化、机构编制、干部人事、民宗侨台等工作。承担辖区内党代表、人大代表、政协委员联络服务工作。</w:t>
      </w:r>
    </w:p>
    <w:p w14:paraId="27D1A39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经济发展办公室。承担经济发展板块的日常管理协调工作。负责经济发展、村镇建设、生态环境、农业农村和乡村振兴、财政管理、经济社会统计等领域的工作，制定和执行经济社会发展计划，强化产业引导，落实区域发展规划、专项规划、国土空间规划。承担市政设施管理、市容环卫、土地利用管理、交通建设等工作。承担财政收支、预决算、总会计、惠农资金兑付、财政资金监督检查、绩效评价、村级财务管理以及内部审计等工作。</w:t>
      </w:r>
    </w:p>
    <w:p w14:paraId="7B9E30BE">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default" w:ascii="Times New Roman" w:hAnsi="Times New Roman" w:eastAsia="方正仿宋_GBK" w:cs="Times New Roman"/>
          <w:b w:val="0"/>
          <w:bCs w:val="0"/>
          <w:color w:val="000000"/>
          <w:kern w:val="2"/>
          <w:sz w:val="32"/>
          <w:szCs w:val="32"/>
          <w:u w:val="none"/>
        </w:rPr>
        <w:t>民生服务办公室。承担民生服务板块的日常管理协调工作。负责教育、文化、卫生健康、体育、劳动就业等领域工作，推动社会事业发展，落实社会保险、社会救助、社会福利、优抚安置、扶贫济困等社会保障政策，承担民政、生育服务、老龄事业发展、社会救助、残疾人事业、劳动就业、社会保障、物业管理、退役军人服务以及其他民政和社会事务管理工作。</w:t>
      </w:r>
    </w:p>
    <w:p w14:paraId="0BA2046F">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平安法治办公室。承担平安法治板块的日常管理协调工作。负责平安法治、应急管理、综合执法、信访稳定、人民武装等领域工作，承担信访、人民调解、社会治安综合治理、维护社会稳定、防范和处理邪教、安全生产综合监管、消防管理、行政执法监督管理等工作，协助开展非煤矿山、危险化学品、烟花爆竹等安全生产日常监管。</w:t>
      </w:r>
    </w:p>
    <w:p w14:paraId="617C306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2D35BAF6">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重庆市綦江区丁山镇人民政府（本级）。为重庆市綦江区丁山镇所属二级预算单位，单位类型为行政单位。綦江区丁山镇设置正科级内设机构5个，分别为：基层治理综合指挥室、党的建设办公室、经济发展办公室、民生服务办公室、平安法治办公室。</w:t>
      </w:r>
    </w:p>
    <w:p w14:paraId="231970B5">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二、单位收支总体情况</w:t>
      </w:r>
    </w:p>
    <w:p w14:paraId="3B4E4FF3">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shd w:val="clear" w:color="auto" w:fill="FFFFFF"/>
        </w:rPr>
        <w:t>2026年年初预算数931.73万元，其中：一般公共预算拨款931.73万元，政府性基金预算拨款0万元，国有资本经营预算拨款0万元，财政专户管理资金0万元，事业收入0万元，事业单位经营收入0万元，其他收入0万元。收入比2025年增加52.71万元</w:t>
      </w:r>
      <w:r>
        <w:rPr>
          <w:rFonts w:hint="default" w:ascii="Times New Roman" w:hAnsi="Times New Roman" w:eastAsia="方正仿宋_GBK" w:cs="Times New Roman"/>
          <w:vanish w:val="0"/>
          <w:sz w:val="32"/>
          <w:szCs w:val="32"/>
        </w:rPr>
        <w:t>，主要是</w:t>
      </w:r>
      <w:r>
        <w:rPr>
          <w:rFonts w:hint="default" w:ascii="Times New Roman" w:hAnsi="Times New Roman" w:eastAsia="方正仿宋_GBK" w:cs="Times New Roman"/>
          <w:b w:val="0"/>
          <w:bCs w:val="0"/>
          <w:vanish w:val="0"/>
          <w:color w:val="000000"/>
          <w:kern w:val="2"/>
          <w:sz w:val="32"/>
          <w:szCs w:val="32"/>
          <w:u w:val="none"/>
        </w:rPr>
        <w:t>一般公共预算资金增加52.71万元</w:t>
      </w:r>
      <w:r>
        <w:rPr>
          <w:rFonts w:hint="default" w:ascii="Times New Roman" w:hAnsi="Times New Roman" w:eastAsia="方正仿宋_GBK" w:cs="Times New Roman"/>
          <w:sz w:val="32"/>
          <w:szCs w:val="32"/>
        </w:rPr>
        <w:t>。</w:t>
      </w:r>
    </w:p>
    <w:p w14:paraId="25C9A53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shd w:val="clear" w:color="auto" w:fill="FFFFFF"/>
        </w:rPr>
        <w:t>2026年年初预算数931.73万元，其中：一般公共服务支出584.85万元，科学技术支出5.8万元，社会保障和就业支出86.58万元，卫生健康支出29.46万元，城乡社区支出10.95万元，农林水支出169.5万元，住房保障支出38.58万元，灾害防治及应急管理支出6万元。支出预算比2025年增加52.71万元，主要是基本支出增加117.72万元，项目支出减少65.01万元。</w:t>
      </w:r>
    </w:p>
    <w:p w14:paraId="5A8B4B84">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33"/>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三、单位预算情况说明</w:t>
      </w:r>
    </w:p>
    <w:p w14:paraId="758DE9DF">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2026年一般公共预算财政拨款收入931.73万元，一般公共预算财政拨款支出931.73万元，比2025年增加52.71万元。其中：基本支出572.65万元，比2025年增加117.72万元</w:t>
      </w:r>
      <w:r>
        <w:rPr>
          <w:rFonts w:hint="default" w:ascii="Times New Roman" w:hAnsi="Times New Roman" w:eastAsia="方正仿宋_GBK" w:cs="Times New Roman"/>
          <w:vanish w:val="0"/>
          <w:sz w:val="32"/>
          <w:szCs w:val="32"/>
        </w:rPr>
        <w:t>，主要</w:t>
      </w:r>
      <w:r>
        <w:rPr>
          <w:rFonts w:hint="default" w:ascii="Times New Roman" w:hAnsi="Times New Roman" w:eastAsia="方正仿宋_GBK" w:cs="Times New Roman"/>
          <w:vanish w:val="0"/>
          <w:sz w:val="32"/>
          <w:szCs w:val="32"/>
          <w:rtl w:val="0"/>
          <w:lang w:val="zh-CN" w:eastAsia="zh-CN" w:bidi="zh-CN"/>
        </w:rPr>
        <w:t>原因</w:t>
      </w:r>
      <w:r>
        <w:rPr>
          <w:rFonts w:hint="default" w:ascii="Times New Roman" w:hAnsi="Times New Roman" w:eastAsia="方正仿宋_GBK" w:cs="Times New Roman"/>
          <w:vanish w:val="0"/>
          <w:sz w:val="32"/>
          <w:szCs w:val="32"/>
        </w:rPr>
        <w:t>是</w:t>
      </w:r>
      <w:r>
        <w:rPr>
          <w:rFonts w:hint="default" w:ascii="Times New Roman" w:hAnsi="Times New Roman" w:eastAsia="方正仿宋_GBK" w:cs="Times New Roman"/>
          <w:b w:val="0"/>
          <w:bCs w:val="0"/>
          <w:vanish w:val="0"/>
          <w:color w:val="000000"/>
          <w:kern w:val="2"/>
          <w:sz w:val="32"/>
          <w:szCs w:val="32"/>
          <w:u w:val="none"/>
        </w:rPr>
        <w:t>人员增加，基本保障支出增加</w:t>
      </w:r>
      <w:r>
        <w:rPr>
          <w:rFonts w:hint="default" w:ascii="Times New Roman" w:hAnsi="Times New Roman" w:eastAsia="方正仿宋_GBK" w:cs="Times New Roman"/>
          <w:vanish w:val="0"/>
          <w:sz w:val="32"/>
          <w:szCs w:val="32"/>
        </w:rPr>
        <w:t>，</w:t>
      </w:r>
      <w:bookmarkStart w:id="0" w:name="_GoBack"/>
      <w:bookmarkEnd w:id="0"/>
      <w:r>
        <w:rPr>
          <w:rFonts w:hint="default" w:ascii="Times New Roman" w:hAnsi="Times New Roman" w:eastAsia="方正仿宋_GBK" w:cs="Times New Roman"/>
          <w:b w:val="0"/>
          <w:bCs w:val="0"/>
          <w:vanish w:val="0"/>
          <w:color w:val="000000"/>
          <w:kern w:val="2"/>
          <w:sz w:val="32"/>
          <w:szCs w:val="32"/>
          <w:u w:val="none"/>
        </w:rPr>
        <w:t>主要用于保障在职人员工资福利及社会保险缴费，离休人员离休费，退休人员补助等，保障部门正常运转的各项商品服务支出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项目支出359.08万元，比2025年减少65.01万元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项目数量减少，上级预算有所减少</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基层自治、基层党建、乡村振兴、人居环境整治、农村公路养护、森林资源管护、社会保障和就业等重点工作</w:t>
      </w:r>
      <w:r>
        <w:rPr>
          <w:rFonts w:hint="default" w:ascii="Times New Roman" w:hAnsi="Times New Roman" w:eastAsia="方正仿宋_GBK" w:cs="Times New Roman"/>
          <w:sz w:val="32"/>
          <w:szCs w:val="32"/>
        </w:rPr>
        <w:t>。</w:t>
      </w:r>
    </w:p>
    <w:p w14:paraId="6680802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vanish w:val="0"/>
          <w:sz w:val="32"/>
          <w:szCs w:val="32"/>
        </w:rPr>
      </w:pPr>
      <w:r>
        <w:rPr>
          <w:rFonts w:hint="default" w:ascii="Times New Roman" w:hAnsi="Times New Roman" w:eastAsia="方正仿宋_GBK" w:cs="Times New Roman"/>
          <w:vanish w:val="0"/>
          <w:sz w:val="32"/>
          <w:szCs w:val="32"/>
          <w:shd w:val="clear" w:color="auto" w:fill="FFFFFF"/>
        </w:rPr>
        <w:t>2026</w:t>
      </w:r>
      <w:r>
        <w:rPr>
          <w:rFonts w:hint="default" w:ascii="Times New Roman" w:hAnsi="Times New Roman" w:eastAsia="方正仿宋_GBK" w:cs="Times New Roman"/>
          <w:vanish w:val="0"/>
          <w:sz w:val="32"/>
          <w:szCs w:val="32"/>
        </w:rPr>
        <w:t>年无使用政府性基金预算拨款安排的支出。</w:t>
      </w:r>
    </w:p>
    <w:p w14:paraId="57CFE08B">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方正黑体_GBK" w:hAnsi="方正黑体_GBK" w:eastAsia="方正黑体_GBK" w:cs="方正黑体_GBK"/>
          <w:sz w:val="32"/>
          <w:szCs w:val="32"/>
        </w:rPr>
        <w:t>“三公”</w:t>
      </w:r>
      <w:r>
        <w:rPr>
          <w:rFonts w:hint="default" w:ascii="Times New Roman" w:hAnsi="Times New Roman" w:eastAsia="方正黑体_GBK" w:cs="Times New Roman"/>
          <w:sz w:val="32"/>
          <w:szCs w:val="32"/>
        </w:rPr>
        <w:t>经费情况说明</w:t>
      </w:r>
    </w:p>
    <w:p w14:paraId="6C37EEBA">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经费预算15.2万元，比2025年减少3万元。其中：因公出国（境）费用0万元，与上年持平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公务接待费4.7万元，与上年持平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公务用车运行维护费10.5万元，比2025年减少3万元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厉行节约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公务用车购置费0万元，与上年持平</w:t>
      </w:r>
      <w:r>
        <w:rPr>
          <w:rFonts w:hint="default" w:ascii="Times New Roman" w:hAnsi="Times New Roman" w:eastAsia="方正仿宋_GBK" w:cs="Times New Roman"/>
          <w:sz w:val="32"/>
          <w:szCs w:val="32"/>
        </w:rPr>
        <w:t>。</w:t>
      </w:r>
    </w:p>
    <w:p w14:paraId="15958E5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484CAA48">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（一）机关运行经费。</w:t>
      </w:r>
      <w:r>
        <w:rPr>
          <w:rFonts w:hint="default" w:ascii="Times New Roman" w:hAnsi="Times New Roman" w:eastAsia="方正仿宋_GBK" w:cs="Times New Roman"/>
          <w:vanish w:val="0"/>
          <w:sz w:val="32"/>
          <w:szCs w:val="32"/>
        </w:rPr>
        <w:t>2026年一般公共预算财政拨款运行经费</w:t>
      </w:r>
      <w:r>
        <w:rPr>
          <w:rFonts w:hint="default" w:ascii="Times New Roman" w:hAnsi="Times New Roman" w:eastAsia="方正仿宋_GBK" w:cs="Times New Roman"/>
          <w:b w:val="0"/>
          <w:bCs w:val="0"/>
          <w:vanish w:val="0"/>
          <w:color w:val="000000"/>
          <w:kern w:val="2"/>
          <w:sz w:val="32"/>
          <w:szCs w:val="32"/>
          <w:u w:val="none"/>
        </w:rPr>
        <w:t>93.27</w:t>
      </w:r>
      <w:r>
        <w:rPr>
          <w:rFonts w:hint="default" w:ascii="Times New Roman" w:hAnsi="Times New Roman" w:eastAsia="方正仿宋_GBK" w:cs="Times New Roman"/>
          <w:vanish w:val="0"/>
          <w:sz w:val="32"/>
          <w:szCs w:val="32"/>
        </w:rPr>
        <w:t>万元，</w:t>
      </w:r>
      <w:r>
        <w:rPr>
          <w:rFonts w:hint="default" w:ascii="Times New Roman" w:hAnsi="Times New Roman" w:eastAsia="方正仿宋_GBK" w:cs="Times New Roman"/>
          <w:b w:val="0"/>
          <w:bCs w:val="0"/>
          <w:vanish w:val="0"/>
          <w:color w:val="000000"/>
          <w:kern w:val="2"/>
          <w:sz w:val="32"/>
          <w:szCs w:val="32"/>
          <w:u w:val="none"/>
        </w:rPr>
        <w:t>比2025年增加8.81万元</w:t>
      </w:r>
      <w:r>
        <w:rPr>
          <w:rFonts w:hint="default" w:ascii="Times New Roman" w:hAnsi="Times New Roman" w:eastAsia="方正仿宋_GBK" w:cs="Times New Roman"/>
          <w:vanish w:val="0"/>
          <w:sz w:val="32"/>
          <w:szCs w:val="32"/>
        </w:rPr>
        <w:t>，主要原因是</w:t>
      </w:r>
      <w:r>
        <w:rPr>
          <w:rFonts w:hint="default" w:ascii="Times New Roman" w:hAnsi="Times New Roman" w:eastAsia="方正仿宋_GBK" w:cs="Times New Roman"/>
          <w:b w:val="0"/>
          <w:bCs w:val="0"/>
          <w:vanish w:val="0"/>
          <w:color w:val="000000"/>
          <w:kern w:val="2"/>
          <w:sz w:val="32"/>
          <w:szCs w:val="32"/>
          <w:u w:val="none"/>
        </w:rPr>
        <w:t>主要原因是人员增加，基本保障支出增加</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其他交通费用、办公费、邮电费、电费、其他商品和服务支出、工会经费</w:t>
      </w:r>
      <w:r>
        <w:rPr>
          <w:rFonts w:hint="default" w:ascii="Times New Roman" w:hAnsi="Times New Roman" w:eastAsia="方正仿宋_GBK" w:cs="Times New Roman"/>
          <w:vanish w:val="0"/>
          <w:sz w:val="32"/>
          <w:szCs w:val="32"/>
        </w:rPr>
        <w:t>等。</w:t>
      </w:r>
    </w:p>
    <w:p w14:paraId="28C67602">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（二）政府采购情况。</w:t>
      </w:r>
      <w:r>
        <w:rPr>
          <w:rFonts w:hint="default" w:ascii="Times New Roman" w:hAnsi="Times New Roman" w:eastAsia="方正仿宋_GBK" w:cs="Times New Roman"/>
          <w:sz w:val="32"/>
          <w:szCs w:val="32"/>
          <w:shd w:val="clear" w:color="auto" w:fill="FFFFFF"/>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7CD94DA6">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2"/>
          <w:szCs w:val="32"/>
          <w:shd w:val="clear" w:color="auto" w:fill="FFFFFF"/>
        </w:rPr>
        <w:t>2026年项目支出均实行了绩效目标管理，涉及一般公共预算财政拨款359.08万元。</w:t>
      </w:r>
    </w:p>
    <w:p w14:paraId="15F87F2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2"/>
          <w:szCs w:val="32"/>
        </w:rPr>
        <w:t>截至2025年12月</w:t>
      </w:r>
      <w:r>
        <w:rPr>
          <w:rFonts w:hint="default" w:ascii="Times New Roman" w:hAnsi="Times New Roman" w:eastAsia="方正仿宋_GBK" w:cs="Times New Roman"/>
          <w:sz w:val="32"/>
          <w:szCs w:val="32"/>
          <w:rtl w:val="0"/>
          <w:lang w:val="zh-CN" w:eastAsia="zh-CN" w:bidi="zh-CN"/>
        </w:rPr>
        <w:t>底</w:t>
      </w:r>
      <w:r>
        <w:rPr>
          <w:rFonts w:hint="default" w:ascii="Times New Roman" w:hAnsi="Times New Roman" w:eastAsia="方正仿宋_GBK" w:cs="Times New Roman"/>
          <w:sz w:val="32"/>
          <w:szCs w:val="32"/>
        </w:rPr>
        <w:t>，本单位共有车辆</w:t>
      </w:r>
      <w:r>
        <w:rPr>
          <w:rFonts w:hint="default" w:ascii="Times New Roman" w:hAnsi="Times New Roman" w:eastAsia="方正仿宋_GBK" w:cs="Times New Roman"/>
          <w:b w:val="0"/>
          <w:bCs w:val="0"/>
          <w:color w:val="000000"/>
          <w:kern w:val="2"/>
          <w:sz w:val="32"/>
          <w:szCs w:val="32"/>
          <w:u w:val="none"/>
        </w:rPr>
        <w:t>3</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kern w:val="2"/>
          <w:sz w:val="32"/>
          <w:szCs w:val="32"/>
          <w:u w:val="none"/>
        </w:rPr>
        <w:t>3</w:t>
      </w:r>
      <w:r>
        <w:rPr>
          <w:rFonts w:hint="default" w:ascii="Times New Roman" w:hAnsi="Times New Roman" w:eastAsia="方正仿宋_GBK" w:cs="Times New Roman"/>
          <w:sz w:val="32"/>
          <w:szCs w:val="32"/>
        </w:rPr>
        <w:t>辆、执勤执法用车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vanish w:val="0"/>
          <w:sz w:val="32"/>
          <w:szCs w:val="32"/>
        </w:rPr>
        <w:t>2026年一般公共预算安排购置车辆0辆，其中一般公务用车0辆、执勤执法用车0辆。</w:t>
      </w:r>
    </w:p>
    <w:p w14:paraId="6CC89825">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14:paraId="590649FE">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（一）财政拨款收入：</w:t>
      </w:r>
      <w:r>
        <w:rPr>
          <w:rFonts w:hint="default" w:ascii="Times New Roman" w:hAnsi="Times New Roman" w:eastAsia="方正仿宋_GBK" w:cs="Times New Roman"/>
          <w:b w:val="0"/>
          <w:bCs w:val="0"/>
          <w:color w:val="000000"/>
          <w:kern w:val="2"/>
          <w:sz w:val="32"/>
          <w:szCs w:val="32"/>
          <w:u w:val="none"/>
        </w:rPr>
        <w:t>指本年度从本级财政部门取得的财政拨款，包括一般公共预算财政拨款和政府性基金预算财政拨款。</w:t>
      </w:r>
    </w:p>
    <w:p w14:paraId="401A9336">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eastAsia" w:ascii="方正仿宋_GBK" w:hAnsi="方正仿宋_GBK" w:eastAsia="方正仿宋_GBK" w:cs="方正仿宋_GBK"/>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（二）其他收入：</w:t>
      </w:r>
      <w:r>
        <w:rPr>
          <w:rFonts w:hint="default" w:ascii="Times New Roman" w:hAnsi="Times New Roman" w:eastAsia="方正仿宋_GBK" w:cs="Times New Roman"/>
          <w:b w:val="0"/>
          <w:bCs w:val="0"/>
          <w:color w:val="000000"/>
          <w:kern w:val="2"/>
          <w:sz w:val="32"/>
          <w:szCs w:val="32"/>
          <w:u w:val="none"/>
        </w:rPr>
        <w:t>指单位取得的除</w:t>
      </w:r>
      <w:r>
        <w:rPr>
          <w:rFonts w:hint="eastAsia" w:ascii="方正仿宋_GBK" w:hAnsi="方正仿宋_GBK" w:eastAsia="方正仿宋_GBK" w:cs="方正仿宋_GBK"/>
          <w:b w:val="0"/>
          <w:bCs w:val="0"/>
          <w:color w:val="000000"/>
          <w:kern w:val="2"/>
          <w:sz w:val="32"/>
          <w:szCs w:val="32"/>
          <w:u w:val="none"/>
        </w:rPr>
        <w:t>“财政拨款收入”、“事业收入”、“经营收入”等以外的收入。</w:t>
      </w:r>
    </w:p>
    <w:p w14:paraId="4C9C40A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（三）基本支出：</w:t>
      </w:r>
      <w:r>
        <w:rPr>
          <w:rFonts w:hint="default" w:ascii="Times New Roman" w:hAnsi="Times New Roman" w:eastAsia="方正仿宋_GBK" w:cs="Times New Roman"/>
          <w:b w:val="0"/>
          <w:bCs w:val="0"/>
          <w:color w:val="000000"/>
          <w:kern w:val="2"/>
          <w:sz w:val="32"/>
          <w:szCs w:val="32"/>
          <w:u w:val="none"/>
        </w:rPr>
        <w:t>指为保障机构正常运转、完成日常工作任务而发生的人员经费和公用经费。</w:t>
      </w:r>
    </w:p>
    <w:p w14:paraId="632D0102">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（四）项目支出：</w:t>
      </w:r>
      <w:r>
        <w:rPr>
          <w:rFonts w:hint="default" w:ascii="Times New Roman" w:hAnsi="Times New Roman" w:eastAsia="方正仿宋_GBK" w:cs="Times New Roman"/>
          <w:b w:val="0"/>
          <w:bCs w:val="0"/>
          <w:color w:val="000000"/>
          <w:kern w:val="2"/>
          <w:sz w:val="32"/>
          <w:szCs w:val="32"/>
          <w:u w:val="none"/>
        </w:rPr>
        <w:t>指在基本支出之外为完成特定行政任务和事业发展目标所发生的支出。</w:t>
      </w:r>
    </w:p>
    <w:p w14:paraId="29F2430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color w:val="000000"/>
          <w:kern w:val="2"/>
          <w:sz w:val="32"/>
          <w:szCs w:val="32"/>
          <w:u w:val="none"/>
        </w:rPr>
        <w:t>（五）“三公”经费：</w:t>
      </w:r>
      <w:r>
        <w:rPr>
          <w:rFonts w:hint="default" w:ascii="Times New Roman" w:hAnsi="Times New Roman" w:eastAsia="方正仿宋_GBK" w:cs="Times New Roman"/>
          <w:b w:val="0"/>
          <w:bCs w:val="0"/>
          <w:color w:val="000000"/>
          <w:kern w:val="2"/>
          <w:sz w:val="32"/>
          <w:szCs w:val="32"/>
          <w:u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F426E2">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color w:val="000000"/>
          <w:sz w:val="32"/>
          <w:szCs w:val="32"/>
        </w:rPr>
      </w:pPr>
    </w:p>
    <w:p w14:paraId="752642FF">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eastAsia" w:ascii="Times New Roman" w:hAnsi="Times New Roman" w:eastAsia="方正仿宋_GBK" w:cs="Times New Roman"/>
          <w:lang w:val="en-US" w:eastAsia="zh-CN"/>
        </w:rPr>
      </w:pPr>
      <w:r>
        <w:rPr>
          <w:rFonts w:hint="default" w:ascii="Times New Roman" w:hAnsi="Times New Roman" w:eastAsia="方正仿宋_GBK" w:cs="Times New Roman"/>
          <w:b w:val="0"/>
          <w:bCs w:val="0"/>
          <w:sz w:val="32"/>
          <w:szCs w:val="32"/>
        </w:rPr>
        <w:t>单位预算公开联系人：</w:t>
      </w:r>
      <w:r>
        <w:rPr>
          <w:rFonts w:hint="default" w:ascii="Times New Roman" w:hAnsi="Times New Roman" w:eastAsia="方正仿宋_GBK" w:cs="Times New Roman"/>
          <w:b w:val="0"/>
          <w:bCs w:val="0"/>
          <w:color w:val="000000"/>
          <w:kern w:val="2"/>
          <w:sz w:val="32"/>
          <w:szCs w:val="32"/>
          <w:u w:val="none"/>
        </w:rPr>
        <w:t>罗力航</w:t>
      </w:r>
      <w:r>
        <w:rPr>
          <w:rFonts w:hint="default" w:ascii="Times New Roman" w:hAnsi="Times New Roman" w:eastAsia="方正仿宋_GBK" w:cs="Times New Roman"/>
          <w:b w:val="0"/>
          <w:bCs w:val="0"/>
          <w:sz w:val="32"/>
          <w:szCs w:val="32"/>
          <w:rtl w:val="0"/>
          <w:lang w:val="zh-CN" w:eastAsia="zh-CN" w:bidi="zh-CN"/>
        </w:rPr>
        <w:tab/>
      </w:r>
      <w:r>
        <w:rPr>
          <w:rFonts w:hint="default" w:ascii="Times New Roman" w:hAnsi="Times New Roman" w:eastAsia="方正仿宋_GBK" w:cs="Times New Roman"/>
          <w:b w:val="0"/>
          <w:bCs w:val="0"/>
          <w:sz w:val="32"/>
          <w:szCs w:val="32"/>
        </w:rPr>
        <w:t>联系方式：</w:t>
      </w:r>
      <w:r>
        <w:rPr>
          <w:rFonts w:hint="default" w:ascii="Times New Roman" w:hAnsi="Times New Roman" w:eastAsia="方正仿宋_GBK" w:cs="Times New Roman"/>
          <w:b w:val="0"/>
          <w:bCs w:val="0"/>
          <w:color w:val="000000"/>
          <w:kern w:val="2"/>
          <w:sz w:val="32"/>
          <w:szCs w:val="32"/>
          <w:u w:val="none"/>
        </w:rPr>
        <w:t>023-4875700</w:t>
      </w:r>
      <w:r>
        <w:rPr>
          <w:rFonts w:hint="eastAsia" w:ascii="Times New Roman" w:hAnsi="Times New Roman" w:eastAsia="方正仿宋_GBK" w:cs="Times New Roman"/>
          <w:b w:val="0"/>
          <w:bCs w:val="0"/>
          <w:color w:val="000000"/>
          <w:kern w:val="2"/>
          <w:sz w:val="32"/>
          <w:szCs w:val="32"/>
          <w:u w:val="none"/>
          <w:lang w:val="en-US" w:eastAsia="zh-CN"/>
        </w:rPr>
        <w:t>7</w:t>
      </w:r>
    </w:p>
    <w:sectPr>
      <w:footerReference r:id="rId5" w:type="default"/>
      <w:pgSz w:w="11907" w:h="16839"/>
      <w:pgMar w:top="2098" w:right="1474" w:bottom="1984" w:left="1587" w:header="851"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0062">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AF4069">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000000"/>
    <w:rsid w:val="2A9B19DC"/>
    <w:rsid w:val="56260B4F"/>
    <w:rsid w:val="59A311B5"/>
    <w:rsid w:val="5B3C4B74"/>
    <w:rsid w:val="5BF711E0"/>
    <w:rsid w:val="613C1634"/>
    <w:rsid w:val="62C521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suppressLineNumbers w:val="0"/>
      <w:shd w:val="clear" w:fill="auto"/>
      <w:suppressAutoHyphens w:val="0"/>
      <w:bidi w:val="0"/>
      <w:spacing w:before="0" w:beforeAutospacing="0" w:after="0" w:afterAutospacing="0" w:line="240" w:lineRule="auto"/>
      <w:ind w:left="0" w:right="0" w:firstLine="0"/>
      <w:contextualSpacing w:val="0"/>
      <w:jc w:val="left"/>
      <w:outlineLvl w:val="9"/>
    </w:pPr>
    <w:rPr>
      <w:rFonts w:asciiTheme="minorHAnsi" w:hAnsiTheme="minorHAnsi" w:eastAsiaTheme="minorEastAsia" w:cstheme="minorBidi"/>
      <w:sz w:val="22"/>
      <w:szCs w:val="22"/>
    </w:rPr>
  </w:style>
  <w:style w:type="character" w:default="1" w:styleId="6">
    <w:name w:val="Default Paragraph Font"/>
    <w:semiHidden/>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Simple 1"/>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7">
    <w:name w:val="line number"/>
    <w:basedOn w:val="6"/>
    <w:semiHidden/>
    <w:qFormat/>
    <w:uiPriority w:val="0"/>
  </w:style>
  <w:style w:type="character" w:styleId="8">
    <w:name w:val="Hyperlink"/>
    <w:qFormat/>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25</TotalTime>
  <ScaleCrop>false</ScaleCrop>
  <LinksUpToDate>false</LinksUpToDate>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2026-03-20T13:59:00Z</dcterms:created>
  <dc:creator>liang jin</dc:creator>
  <dc:description>EC70325410D84B1847B0CA98700F2187</dc:description>
  <cp:lastModifiedBy>user</cp:lastModifiedBy>
  <dcterms:modified xsi:type="dcterms:W3CDTF">2026-03-24T14:54:06Z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81FAA1F8B77ACA3A0E35C269720F10B9_42</vt:lpwstr>
  </property>
</Properties>
</file>