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pPr>
      <w: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77" w:afterAutospacing="0" w:line="240" w:lineRule="atLeast"/>
        <w:ind w:left="0" w:right="0"/>
      </w:pP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315" w:lineRule="atLeast"/>
        <w:ind w:left="0" w:right="0"/>
        <w:jc w:val="center"/>
        <w:rPr>
          <w:sz w:val="31"/>
          <w:szCs w:val="31"/>
        </w:rPr>
      </w:pPr>
      <w:r>
        <w:rPr>
          <w:rFonts w:ascii="方正小标宋_GBK" w:hAnsi="方正小标宋_GBK" w:eastAsia="方正小标宋_GBK" w:cs="方正小标宋_GBK"/>
          <w:sz w:val="36"/>
          <w:szCs w:val="36"/>
        </w:rPr>
        <w:t>重庆市綦江区安全生产领域基层政务公开标准目录（202</w:t>
      </w:r>
      <w:r>
        <w:rPr>
          <w:rFonts w:hint="eastAsia" w:ascii="方正小标宋_GBK" w:hAnsi="方正小标宋_GBK" w:eastAsia="方正小标宋_GBK" w:cs="方正小标宋_GBK"/>
          <w:sz w:val="36"/>
          <w:szCs w:val="36"/>
          <w:lang w:val="en-US" w:eastAsia="zh-CN"/>
        </w:rPr>
        <w:t>4</w:t>
      </w:r>
      <w:r>
        <w:rPr>
          <w:rFonts w:ascii="方正小标宋_GBK" w:hAnsi="方正小标宋_GBK" w:eastAsia="方正小标宋_GBK" w:cs="方正小标宋_GBK"/>
          <w:sz w:val="36"/>
          <w:szCs w:val="36"/>
        </w:rPr>
        <w:t>年版）</w:t>
      </w:r>
    </w:p>
    <w:tbl>
      <w:tblPr>
        <w:tblStyle w:val="3"/>
        <w:tblW w:w="832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
      <w:tblGrid>
        <w:gridCol w:w="220"/>
        <w:gridCol w:w="307"/>
        <w:gridCol w:w="515"/>
        <w:gridCol w:w="1066"/>
        <w:gridCol w:w="1240"/>
        <w:gridCol w:w="845"/>
        <w:gridCol w:w="747"/>
        <w:gridCol w:w="1331"/>
        <w:gridCol w:w="371"/>
        <w:gridCol w:w="324"/>
        <w:gridCol w:w="307"/>
        <w:gridCol w:w="353"/>
        <w:gridCol w:w="330"/>
        <w:gridCol w:w="3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blHeader/>
        </w:trPr>
        <w:tc>
          <w:tcPr>
            <w:tcW w:w="22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ascii="方正黑体_GBK" w:hAnsi="方正黑体_GBK" w:eastAsia="方正黑体_GBK" w:cs="方正黑体_GBK"/>
                <w:sz w:val="16"/>
                <w:szCs w:val="16"/>
              </w:rPr>
              <w:t>序号</w:t>
            </w:r>
          </w:p>
        </w:tc>
        <w:tc>
          <w:tcPr>
            <w:tcW w:w="822"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公开事项</w:t>
            </w:r>
          </w:p>
        </w:tc>
        <w:tc>
          <w:tcPr>
            <w:tcW w:w="1066"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公开内容</w:t>
            </w:r>
          </w:p>
        </w:tc>
        <w:tc>
          <w:tcPr>
            <w:tcW w:w="1240"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公开依据</w:t>
            </w:r>
          </w:p>
        </w:tc>
        <w:tc>
          <w:tcPr>
            <w:tcW w:w="845"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公开时限</w:t>
            </w:r>
          </w:p>
        </w:tc>
        <w:tc>
          <w:tcPr>
            <w:tcW w:w="74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公开主体</w:t>
            </w:r>
          </w:p>
        </w:tc>
        <w:tc>
          <w:tcPr>
            <w:tcW w:w="1331"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公开渠道和载体</w:t>
            </w:r>
          </w:p>
        </w:tc>
        <w:tc>
          <w:tcPr>
            <w:tcW w:w="695"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公开对象</w:t>
            </w:r>
          </w:p>
        </w:tc>
        <w:tc>
          <w:tcPr>
            <w:tcW w:w="660"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公开方式</w:t>
            </w:r>
          </w:p>
        </w:tc>
        <w:tc>
          <w:tcPr>
            <w:tcW w:w="70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公开层级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blHeader/>
        </w:trPr>
        <w:tc>
          <w:tcPr>
            <w:tcW w:w="22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一级事项</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二级事项</w:t>
            </w:r>
          </w:p>
        </w:tc>
        <w:tc>
          <w:tcPr>
            <w:tcW w:w="1066"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1240"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845"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74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1331"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全社会</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特定群体</w:t>
            </w: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主动</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依申请公开</w:t>
            </w: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区级</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黑体_GBK" w:hAnsi="方正黑体_GBK" w:eastAsia="方正黑体_GBK" w:cs="方正黑体_GBK"/>
                <w:sz w:val="18"/>
                <w:szCs w:val="18"/>
              </w:rPr>
              <w:t>镇街级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70"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ascii="方正仿宋_GBK" w:hAnsi="方正仿宋_GBK" w:eastAsia="方正仿宋_GBK" w:cs="方正仿宋_GBK"/>
                <w:sz w:val="18"/>
                <w:szCs w:val="18"/>
              </w:rPr>
              <w:t>1</w:t>
            </w:r>
          </w:p>
        </w:tc>
        <w:tc>
          <w:tcPr>
            <w:tcW w:w="30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政策文件</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法律法规</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与安全生产有关的法律、法规</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《中华人民共和国政府信息公开条例》(国务院令第711号）</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信息形成或变更之日起20个工作日内</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 □</w:t>
            </w:r>
            <w:r>
              <w:rPr>
                <w:sz w:val="18"/>
                <w:szCs w:val="18"/>
              </w:rPr>
              <w:t>社区</w:t>
            </w:r>
            <w:r>
              <w:rPr>
                <w:rFonts w:hint="eastAsia" w:ascii="方正仿宋_GBK" w:hAnsi="方正仿宋_GBK" w:eastAsia="方正仿宋_GBK" w:cs="方正仿宋_GBK"/>
                <w:sz w:val="18"/>
                <w:szCs w:val="18"/>
              </w:rPr>
              <w:t>/企事业单位、村公示栏（电子屏）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140"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2</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部门和地方规章</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与安全生产有关的部门和地方规章</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《中华人民共和国政府信息公开条例》(国务院令第711号）</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信息形成或变更之日起20个工作日内</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3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3</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其他政策文件</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其他可以公开的与安全生产有关的政策文件，包括改革方案、发展规划、专项规划、工作计划等</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《中华人民共和国政府信息公开条例》(国务院令第711号）</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信息形成或变更之日起20个工作日内</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29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4</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标准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安全生产领域有关的国家标准、行业标准、地方标准等</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《中华人民共和国政府信息公开条例》(国务院令第711号）</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信息形成或变更之日起20个工作日内</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47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5</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重大决策草案</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涉及管理相对人切身利益、需社会广泛知晓的重要改革方案等重大决策，决策前向社会公开决策草案、决策依据</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2.中央办公厅、国务院办公厅《关于全面推进政务公开工作的意见》。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按进展情况及时公开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43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6</w:t>
            </w:r>
          </w:p>
        </w:tc>
        <w:tc>
          <w:tcPr>
            <w:tcW w:w="30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政策文件</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重大政策解读及回应</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有关重大政策的解读与回应，安全生产相关热点问题的解读与回应</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2.中办国办《关于全面推进政务公开工作的意见》。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重大决策作出后及时公开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71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7</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重要会议</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通过会议讨论作出重要改革方案等重大决策时，经党组研究认为有必要公开讨论决策过程的会议</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2.中央办公厅、国务院办公厅《关于全面推进政务公开工作的意见》。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提前一周发通知邀请</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94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8</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征集采纳社会公众意见情况</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重大决策草案公布后征集到的社会公众意见情况、采纳与否情况及理由等</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2.中央办公厅、国务院办公厅《关于全面推进政务公开工作的意见》。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征求意见时对外公布的时限内公开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49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9</w:t>
            </w:r>
          </w:p>
        </w:tc>
        <w:tc>
          <w:tcPr>
            <w:tcW w:w="30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依法行政</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行政许可</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办理行政许可和其他对外管理服务事项的依据、条件、程序</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信息形成或变更之日起20个工作日内</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273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10</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行政处罚</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办理行政处罚的依据、条件、程序以及本级行政机关认为具有一定社会影响的行政处罚决定</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信息形成或变更之日起20个工作日内</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7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11</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行政强制</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办理行政强制的依据、条件、程序</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2.《中华人民共和国突发事件应对法》；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3.《突发事件应急预案管理办法》；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4.《中共中央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信息形成或变更之日起20个工作日内</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06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12</w:t>
            </w:r>
          </w:p>
        </w:tc>
        <w:tc>
          <w:tcPr>
            <w:tcW w:w="30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行政管理</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隐患管理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重大隐患排查、挂牌督办及其整改情况，安全生产举报电话等</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3.《中共中央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按进展情况及时公开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06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13</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应急管理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承担处置主责、非敏感的应急信息，包括事故灾害类预警信息、事故信息、事故后采取的应急处置措施和应对结果等</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2.《中华人民共和国突发事件应对法》；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3.中央办公厅、国务院办公厅《关于全面</w:t>
            </w:r>
            <w:r>
              <w:rPr>
                <w:rFonts w:hint="eastAsia" w:ascii="方正仿宋_GBK" w:hAnsi="方正仿宋_GBK" w:eastAsia="方正仿宋_GBK" w:cs="方正仿宋_GBK"/>
                <w:sz w:val="18"/>
                <w:szCs w:val="18"/>
                <w:lang w:eastAsia="zh-CN"/>
              </w:rPr>
              <w:t>推进</w:t>
            </w:r>
            <w:bookmarkStart w:id="0" w:name="_GoBack"/>
            <w:bookmarkEnd w:id="0"/>
            <w:r>
              <w:rPr>
                <w:rFonts w:hint="eastAsia" w:ascii="方正仿宋_GBK" w:hAnsi="方正仿宋_GBK" w:eastAsia="方正仿宋_GBK" w:cs="方正仿宋_GBK"/>
                <w:sz w:val="18"/>
                <w:szCs w:val="18"/>
              </w:rPr>
              <w:t>政务公开工作的意见》。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按进展情况及时公开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54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14</w:t>
            </w:r>
          </w:p>
        </w:tc>
        <w:tc>
          <w:tcPr>
            <w:tcW w:w="30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行政管理</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黑名单管理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列入或撤销纳入安全生产黑名单管理的企业信息，具体企业名称、证照编号、经营地址、负责人姓名等</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2.《社会信用体系建设规划纲要（2014-2020年）》。</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信息形成或变更之日起20个工作日内</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89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15</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事故通报</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3.《中共中央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按照中央有关要求公开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243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16</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动态信息</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1.业务工作动态； 2.安全生产执法检查动态。</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按进展情况及时公开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50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17</w:t>
            </w: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行政管理</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安全生产预警提示信息</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1.气象及灾害预警信息； 2.不同时段、不同领域安全生产提示信息。</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信息形成后及时公开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65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18</w:t>
            </w:r>
          </w:p>
        </w:tc>
        <w:tc>
          <w:tcPr>
            <w:tcW w:w="30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公共服务</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政务公开目录</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政务公开事项的索引、名称、内容概述、生成日期等</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按进展情况及时公开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56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19</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政务公开标准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政府信息公开指南等流程性信息</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《中华人民共和国政府信息公开条例》(国务院令第711号）</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按进展情况及时公开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64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20</w:t>
            </w:r>
          </w:p>
        </w:tc>
        <w:tc>
          <w:tcPr>
            <w:tcW w:w="30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公共服务</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权力清单及责任清单</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同级政府审批通过的行政执法主体信息和行政许可、行政处罚、行政强制、行政检查、行政确认、行政奖励及其他行政职权等行政执法职权职责清单</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信息形成或者变更20个工作日内，如有更新，及时公开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47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21</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主要业务办事指南</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主要业务工作的办事依据、程序、时限，办事时间、地点、部门、联系方式及相关办理结果</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信息形成或者变更之日起20个工作日内</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62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22</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年度报告</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政府信息公开年度报告及相关统计报表</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《中华人民共和国政府信息公开条例》(国务院令第711号）</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每年1月31日前</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71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23</w:t>
            </w:r>
          </w:p>
        </w:tc>
        <w:tc>
          <w:tcPr>
            <w:tcW w:w="30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重点领域信息公开</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财政资金信息</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1.预算、决算； 2.“三公”经费； 3.安全生产专项资金使用等财政资金信息。</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2.《国务院关于深化预算管理制度改革的决定》； 3.《国务院办公厅关于进一步推进预算公开工作意见的通知》；</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按中央要求时限公开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06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24</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政府采购信息</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本单位采购实施情况相关信息</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2.《国务院关于深化预算管理制度改革的决定》(国发〔2014〕45号)；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3.中办、国办印发《关于进一步推进预算公开工作的意见》的通知。</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按进展情况及时公开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56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25</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办事纪律和监督管理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本单位的办事纪律,受理投诉、举报、信访的途径等内容</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按进展情况及时公开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74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26</w:t>
            </w:r>
          </w:p>
        </w:tc>
        <w:tc>
          <w:tcPr>
            <w:tcW w:w="30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重点领域信息公开</w:t>
            </w: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重大工程项目信息</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项目名称、执行措施、责任分工、取得成效、后续举措等</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2.《国务院办公厅关于推进重大建设项目批准和实施领域政府信息公开的意见》（国办发〔2017〕94号）；</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按照中央有关要求公开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2701"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27</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检查和巡查发现安全监管监察问题</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检查和巡查发现的、并要求向社会公开的问题及整改落实情况</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2.《中共中央 国务院关于推进安全生产领域改革发展的意见》。</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按进展情况及时公开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866" w:hRule="atLeast"/>
        </w:trPr>
        <w:tc>
          <w:tcPr>
            <w:tcW w:w="22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28</w:t>
            </w:r>
          </w:p>
        </w:tc>
        <w:tc>
          <w:tcPr>
            <w:tcW w:w="30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c>
          <w:tcPr>
            <w:tcW w:w="51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建议提案办理</w:t>
            </w:r>
          </w:p>
        </w:tc>
        <w:tc>
          <w:tcPr>
            <w:tcW w:w="1066"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1.办理制度与推进情况； 2.人大代表建议办理； 3.政协委员提案办理。</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1.《中华人民共和国政府信息公开条例》(国务院令第711号）；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18"/>
                <w:szCs w:val="18"/>
              </w:rPr>
              <w:t>2.《国务院办公厅关于做好全国人大代表建议和全国政协委员提案办理结果公开工作的通知》（国办发〔2014〕46号）。</w:t>
            </w:r>
          </w:p>
        </w:tc>
        <w:tc>
          <w:tcPr>
            <w:tcW w:w="84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按照中央有关要求公开</w:t>
            </w:r>
          </w:p>
        </w:tc>
        <w:tc>
          <w:tcPr>
            <w:tcW w:w="7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18"/>
                <w:szCs w:val="18"/>
              </w:rPr>
              <w:t>区人民政府应急管理部门，镇人民政府（街道办事处）</w:t>
            </w:r>
          </w:p>
        </w:tc>
        <w:tc>
          <w:tcPr>
            <w:tcW w:w="133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sz w:val="31"/>
                <w:szCs w:val="31"/>
              </w:rPr>
              <w:t>■</w:t>
            </w:r>
            <w:r>
              <w:rPr>
                <w:rFonts w:hint="eastAsia" w:ascii="方正仿宋_GBK" w:hAnsi="方正仿宋_GBK" w:eastAsia="方正仿宋_GBK" w:cs="方正仿宋_GBK"/>
                <w:sz w:val="18"/>
                <w:szCs w:val="18"/>
              </w:rPr>
              <w:t>政府网站 □政府公报</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□两微一端 □发布会</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□广播电视 □纸质媒体</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■公开查阅点 ■政务服务中心</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■便民服务站 □入户/现场</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□社区/企事业单位、村公示栏（电子屏）</w:t>
            </w:r>
            <w:r>
              <w:rPr>
                <w:rFonts w:hint="eastAsia" w:ascii="方正仿宋_GBK" w:hAnsi="方正仿宋_GBK" w:eastAsia="方正仿宋_GBK" w:cs="方正仿宋_GBK"/>
                <w:sz w:val="18"/>
                <w:szCs w:val="18"/>
              </w:rPr>
              <w:br w:type="textWrapping"/>
            </w:r>
            <w:r>
              <w:rPr>
                <w:rFonts w:hint="eastAsia" w:ascii="方正仿宋_GBK" w:hAnsi="方正仿宋_GBK" w:eastAsia="方正仿宋_GBK" w:cs="方正仿宋_GBK"/>
                <w:sz w:val="18"/>
                <w:szCs w:val="18"/>
              </w:rPr>
              <w:t>□精准推送 □其他</w:t>
            </w:r>
          </w:p>
        </w:tc>
        <w:tc>
          <w:tcPr>
            <w:tcW w:w="371"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24"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0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5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keepNext w:val="0"/>
              <w:keepLines w:val="0"/>
              <w:widowControl/>
              <w:suppressLineNumbers w:val="0"/>
              <w:wordWrap w:val="0"/>
              <w:jc w:val="left"/>
            </w:pPr>
          </w:p>
        </w:tc>
        <w:tc>
          <w:tcPr>
            <w:tcW w:w="33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c>
          <w:tcPr>
            <w:tcW w:w="37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31"/>
                <w:szCs w:val="31"/>
              </w:rPr>
              <w:t>√</w:t>
            </w:r>
          </w:p>
        </w:tc>
      </w:tr>
    </w:tbl>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240" w:lineRule="atLeast"/>
        <w:ind w:left="0" w:right="360" w:firstLine="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r>
        <w:t> </w:t>
      </w: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C525A"/>
    <w:rsid w:val="0CF31FB8"/>
    <w:rsid w:val="244C525A"/>
    <w:rsid w:val="26591954"/>
    <w:rsid w:val="6BFE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2023-11-16T14:26:00Z</dcterms:created>
  <dc:creator>Administrator</dc:creator>
  <cp:lastModifiedBy>kylin</cp:lastModifiedBy>
  <dcterms:modified xsi:type="dcterms:W3CDTF">2024-12-04T14:45:54Z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3FC2E146FC2A7F54A2FA4F67260422C1</vt:lpwstr>
  </property>
</Properties>
</file>