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重庆市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綦江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区医疗保障局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2023年政府信息公开工作年度报告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本报告依据《中华人民共和国政府信息公开条例》（以下简称《条例》）和重庆市政府关于信息公开相关规定，现向社会公布我局202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年度政府信息公开工作年度报告。本报告中所列数据的统计期限自202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年1月1日起至202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年12月31日止。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如对报告有任何疑问，请与重庆市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綦江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区医疗保障局联系（地址：重庆市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綦江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通惠街道通惠大道69号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；邮编：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401429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；联系电话：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/>
        </w:rPr>
        <w:t>023-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48628509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，我局坚持以习近平新时代中国特色社会主义思想为指导，严格落实上级关于政务公开工作的决策部署，重点聚焦提高政策公开质量、夯实公开工作基础、回应群众热点关注等方面深化政务公开，把政务公开贯穿为民服务全过程，不断提高公开的频度、广度、深度，依法依规保障公民获取政府信息的权利，努力提升群众满意度与获得感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（一）主动公开方面。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我局积极落实政府信息公开工作要求，以“公开为常态，不公开为例外”的原则，做到应公开、尽公开。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一方面以政府信息公开专栏为窗口，围绕部门履职依据、重大民生信息等方面解读政策，聚焦基金监管层面曝光典型案例，不断充实法定主动公开内容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打造医保政策服务平台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政策解读实现“个人订制”，从业培训实现“因材施教”网上教学，普法监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管实现“同步在线”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医保创新典型案例拟入选《中国医疗保障年鉴2023》，</w:t>
      </w:r>
      <w:r>
        <w:rPr>
          <w:rFonts w:hint="eastAsia" w:eastAsia="仿宋" w:cs="Times New Roman"/>
          <w:color w:val="auto"/>
          <w:sz w:val="32"/>
          <w:szCs w:val="32"/>
          <w:lang w:val="en-US" w:eastAsia="zh-CN"/>
        </w:rPr>
        <w:t>我局推选的医保基金监管“安全规范年”《医保金  莫欺心》短视频大赛获重庆市二等奖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另一方面依托医保基金监管集中宣传月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开展进机关、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进乡镇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、进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医院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、进村社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的“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四进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集中宣传活动，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强化政策解读，积极回应群众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。我局2023年度主动公开政府信息共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70多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条，其中2022年政府信息公开工作年度报告1条，2023年政府信息公开指南1条，2023年部门决算情况说明4条、2023年部门预算情况说明4条，上级单位规范性文件1条，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公告公示5条，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机构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设置及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职能信息1条，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领导信息5条，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政策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问答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1条，工作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情况42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行政权利事项及清单3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，行政执法公示10条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（二）依申请公开方面。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区医保局及时更新《重庆市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綦江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区医疗保障局政府信息公开指南》，便利群众获取政府信息，增进政府信息公开工作的沟通和理解。2023年我局</w:t>
      </w:r>
      <w:r>
        <w:rPr>
          <w:rFonts w:hint="eastAsia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共</w:t>
      </w:r>
      <w:r>
        <w:rPr>
          <w:rFonts w:hint="default" w:ascii="Times New Roman" w:hAnsi="Times New Roman" w:eastAsia="方正仿宋_GBK" w:cs="Times New Roman"/>
          <w:color w:val="auto"/>
          <w:kern w:val="0"/>
          <w:sz w:val="32"/>
          <w:szCs w:val="32"/>
          <w:lang w:val="en-US" w:eastAsia="zh-CN"/>
        </w:rPr>
        <w:t>收到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公民、法人或者其他组织申请的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其他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政府信息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1件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（三）政府信息管理方面。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为规范网站信息审查发布工作，促进机关依法行政，局党组高度重视、多次强调、认真部署，强化“主要领导亲自抓、分管领导具体抓、科室负责人具体落实”的工作机制，做到了领导、科室、责任“三到位”。我局严格履行政府信息公开程序，明确局各科室、局属事业单位职责分工，发布信息经分管领导审核后，安排专人负责平台动态更新和维护工作，确保制度的规范性及内容的准确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（四）政府信息公开平台建设方面。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充分发挥局门户网站主阵地作用，设置“政府信息公开指南”一栏为群众提供指引；“法定主动公开内容”一栏保障人民群众知情权，体现部门透明高效运作；在“政府信息公开目录”一栏中下设政策解读、权责清单、领导信息、政策文件、机关简介、规范性文件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子目录，分门别类为群众获取信息提供便利。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kern w:val="0"/>
          <w:sz w:val="32"/>
          <w:szCs w:val="32"/>
          <w:lang w:val="en-US" w:eastAsia="zh-CN"/>
        </w:rPr>
        <w:t>（五）监督保障方面。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一方面我局在党组会、职工大会上不定期组织全局人员认真学习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《条例》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，按要求参加信息公开工作培训，不断深化干部职工思想认识，明确公开内容、程序，确保发布及时、准确。另一方面我局严格按制度及时公开部门预算、决算情况说明，确保经费来源和支出的合法性及透明性，推动政府信息工作走深、走实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二、主动公开政府信息情况</w:t>
      </w:r>
    </w:p>
    <w:tbl>
      <w:tblPr>
        <w:tblStyle w:val="9"/>
        <w:tblW w:w="889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9"/>
        <w:gridCol w:w="1842"/>
        <w:gridCol w:w="2552"/>
        <w:gridCol w:w="198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8892" w:type="dxa"/>
            <w:gridSpan w:val="4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184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本年制发件数</w:t>
            </w:r>
          </w:p>
        </w:tc>
        <w:tc>
          <w:tcPr>
            <w:tcW w:w="255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本年废止件数</w:t>
            </w:r>
          </w:p>
        </w:tc>
        <w:tc>
          <w:tcPr>
            <w:tcW w:w="198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规章</w:t>
            </w:r>
          </w:p>
        </w:tc>
        <w:tc>
          <w:tcPr>
            <w:tcW w:w="184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行政规范性文件</w:t>
            </w:r>
          </w:p>
        </w:tc>
        <w:tc>
          <w:tcPr>
            <w:tcW w:w="184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55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8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83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行政许可</w:t>
            </w:r>
          </w:p>
        </w:tc>
        <w:tc>
          <w:tcPr>
            <w:tcW w:w="6383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83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行政处罚</w:t>
            </w:r>
          </w:p>
        </w:tc>
        <w:tc>
          <w:tcPr>
            <w:tcW w:w="6383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行政强制</w:t>
            </w:r>
          </w:p>
        </w:tc>
        <w:tc>
          <w:tcPr>
            <w:tcW w:w="6383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8892" w:type="dxa"/>
            <w:gridSpan w:val="4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信息内容</w:t>
            </w:r>
          </w:p>
        </w:tc>
        <w:tc>
          <w:tcPr>
            <w:tcW w:w="6383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509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</w:rPr>
              <w:t>行政事业性收费</w:t>
            </w:r>
          </w:p>
        </w:tc>
        <w:tc>
          <w:tcPr>
            <w:tcW w:w="6383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90" w:lineRule="atLeast"/>
        <w:ind w:left="0" w:firstLine="430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bookmarkStart w:id="0" w:name="_Toc23211"/>
      <w:r>
        <w:rPr>
          <w:rFonts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（备注：因本年度开展行政规范性文件清理工作，故行政规范性文件数量与</w:t>
      </w:r>
      <w:r>
        <w:rPr>
          <w:rFonts w:hint="default" w:ascii="sans-serif" w:hAnsi="sans-serif" w:eastAsia="sans-serif" w:cs="sans-serif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2022</w:t>
      </w:r>
      <w:r>
        <w:rPr>
          <w:rFonts w:hint="default" w:ascii="方正楷体_GBK" w:hAnsi="方正楷体_GBK" w:eastAsia="方正楷体_GBK" w:cs="方正楷体_GBK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</w:rPr>
        <w:t>年年报有出入。）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9"/>
        <w:tblW w:w="8901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7"/>
        <w:gridCol w:w="861"/>
        <w:gridCol w:w="7"/>
        <w:gridCol w:w="3010"/>
        <w:gridCol w:w="625"/>
        <w:gridCol w:w="602"/>
        <w:gridCol w:w="588"/>
        <w:gridCol w:w="755"/>
        <w:gridCol w:w="756"/>
        <w:gridCol w:w="560"/>
        <w:gridCol w:w="63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pacing w:val="-4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pacing w:val="-4"/>
                <w:sz w:val="20"/>
              </w:rPr>
              <w:t>（本列数据的勾稽关系为：第一项加第二项之和，等于第三项加第四项之和）</w:t>
            </w:r>
          </w:p>
        </w:tc>
        <w:tc>
          <w:tcPr>
            <w:tcW w:w="4516" w:type="dxa"/>
            <w:gridSpan w:val="7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  <w:t>申请人情况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625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  <w:t>自然人</w:t>
            </w:r>
          </w:p>
        </w:tc>
        <w:tc>
          <w:tcPr>
            <w:tcW w:w="3261" w:type="dxa"/>
            <w:gridSpan w:val="5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  <w:t>法人或其他组织</w:t>
            </w:r>
          </w:p>
        </w:tc>
        <w:tc>
          <w:tcPr>
            <w:tcW w:w="630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tblHeader/>
        </w:trPr>
        <w:tc>
          <w:tcPr>
            <w:tcW w:w="4385" w:type="dxa"/>
            <w:gridSpan w:val="4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625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  <w:t>商业企业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  <w:t>科研机构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  <w:t>社会公益组织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  <w:t>法律服务机构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  <w:t>其他</w:t>
            </w:r>
          </w:p>
        </w:tc>
        <w:tc>
          <w:tcPr>
            <w:tcW w:w="630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一、本年新收政府信息公开申请数量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4385" w:type="dxa"/>
            <w:gridSpan w:val="4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二、上年结转政府信息公开申请数量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三、本年度办理结果</w:t>
            </w:r>
          </w:p>
        </w:tc>
        <w:tc>
          <w:tcPr>
            <w:tcW w:w="3878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（一）予以公开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878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（二）部分公开（</w:t>
            </w:r>
            <w:r>
              <w:rPr>
                <w:rFonts w:hint="default" w:ascii="Times New Roman" w:hAnsi="Times New Roman" w:eastAsia="方正楷体_GBK" w:cs="Times New Roman"/>
                <w:caps w:val="0"/>
                <w:smallCaps w:val="0"/>
                <w:color w:val="000000"/>
                <w:sz w:val="20"/>
              </w:rPr>
              <w:t>区分处理的，只计这一情形，不计其他情形</w:t>
            </w: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）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（三）不予公开</w:t>
            </w: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1.属于国家秘密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pacing w:val="-6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pacing w:val="-6"/>
                <w:sz w:val="20"/>
              </w:rPr>
              <w:t>2.其他法律行政法规禁止公开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3.危及“三安全一稳定”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4.保护第三方合法权益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5.属于三类内部事务信息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6.属于四类过程性信息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7.属于行政执法案卷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8.属于行政查询事项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（四）无法提供</w:t>
            </w: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pacing w:val="-4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pacing w:val="-4"/>
                <w:sz w:val="20"/>
              </w:rPr>
              <w:t>1.本机关不掌握相关政府信息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pacing w:val="-4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pacing w:val="-4"/>
                <w:sz w:val="20"/>
              </w:rPr>
              <w:t>2.没有现成信息需要另行制作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3.补正后申请内容仍不明确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（五）不予处理</w:t>
            </w: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1.信访举报投诉类申请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2.重复申请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3.要求提供公开出版物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4.无正当理由大量反复申请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1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7" w:type="dxa"/>
            <w:gridSpan w:val="2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5.要求行政机关确认或重新出具已获取信息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8" w:type="dxa"/>
            <w:gridSpan w:val="2"/>
            <w:vMerge w:val="restart"/>
            <w:tcBorders>
              <w:right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widowControl/>
              <w:spacing w:line="200" w:lineRule="exact"/>
              <w:jc w:val="lef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bidi="ar"/>
              </w:rPr>
              <w:t>（六）其他处理</w:t>
            </w:r>
          </w:p>
        </w:tc>
        <w:tc>
          <w:tcPr>
            <w:tcW w:w="3010" w:type="dxa"/>
            <w:tcBorders>
              <w:left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0" w:type="dxa"/>
            <w:tcBorders>
              <w:left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868" w:type="dxa"/>
            <w:gridSpan w:val="2"/>
            <w:vMerge w:val="continue"/>
            <w:tcBorders>
              <w:right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010" w:type="dxa"/>
            <w:tcBorders>
              <w:left w:val="single" w:color="auto" w:sz="4" w:space="0"/>
            </w:tcBorders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bidi="ar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bidi="ar"/>
              </w:rPr>
              <w:t>3.其他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  <w:t>1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</w:pPr>
            <w:r>
              <w:rPr>
                <w:rFonts w:hint="eastAsia" w:ascii="Times New Roman" w:hAnsi="Times New Roman" w:eastAsia="方正书宋_GBK" w:cs="Times New Roman"/>
                <w:caps w:val="0"/>
                <w:smallCaps w:val="0"/>
                <w:color w:val="000000"/>
                <w:sz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507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</w:p>
        </w:tc>
        <w:tc>
          <w:tcPr>
            <w:tcW w:w="3878" w:type="dxa"/>
            <w:gridSpan w:val="3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（七）总计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1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1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4385" w:type="dxa"/>
            <w:gridSpan w:val="4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0"/>
              </w:rPr>
              <w:t>四、结转下年度继续办理</w:t>
            </w:r>
          </w:p>
        </w:tc>
        <w:tc>
          <w:tcPr>
            <w:tcW w:w="62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02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75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  <w:tc>
          <w:tcPr>
            <w:tcW w:w="63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aps w:val="0"/>
                <w:smallCaps w:val="0"/>
                <w:color w:val="000000"/>
                <w:sz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9"/>
        <w:tblW w:w="89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0"/>
        <w:gridCol w:w="518"/>
        <w:gridCol w:w="546"/>
        <w:gridCol w:w="518"/>
        <w:gridCol w:w="574"/>
        <w:gridCol w:w="550"/>
        <w:gridCol w:w="605"/>
        <w:gridCol w:w="605"/>
        <w:gridCol w:w="605"/>
        <w:gridCol w:w="491"/>
        <w:gridCol w:w="605"/>
        <w:gridCol w:w="605"/>
        <w:gridCol w:w="605"/>
        <w:gridCol w:w="606"/>
        <w:gridCol w:w="91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2716" w:type="dxa"/>
            <w:gridSpan w:val="5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行政复议</w:t>
            </w:r>
          </w:p>
        </w:tc>
        <w:tc>
          <w:tcPr>
            <w:tcW w:w="6187" w:type="dxa"/>
            <w:gridSpan w:val="10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行    政    诉    讼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518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546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518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574" w:type="dxa"/>
            <w:vMerge w:val="restart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2856" w:type="dxa"/>
            <w:gridSpan w:val="5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未经复议直接起诉</w:t>
            </w:r>
          </w:p>
        </w:tc>
        <w:tc>
          <w:tcPr>
            <w:tcW w:w="3331" w:type="dxa"/>
            <w:gridSpan w:val="5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546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518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574" w:type="dxa"/>
            <w:vMerge w:val="continue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</w:p>
        </w:tc>
        <w:tc>
          <w:tcPr>
            <w:tcW w:w="55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491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总计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结果维持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结果纠正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其他结果</w:t>
            </w:r>
          </w:p>
        </w:tc>
        <w:tc>
          <w:tcPr>
            <w:tcW w:w="60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尚未审结</w:t>
            </w:r>
          </w:p>
        </w:tc>
        <w:tc>
          <w:tcPr>
            <w:tcW w:w="91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caps w:val="0"/>
                <w:smallCaps w:val="0"/>
                <w:color w:val="000000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6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4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18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74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491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910" w:type="dxa"/>
            <w:noWrap w:val="0"/>
            <w:tcMar>
              <w:left w:w="17" w:type="dxa"/>
              <w:right w:w="17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书宋_GBK" w:cs="Times New Roman"/>
                <w:caps w:val="0"/>
                <w:smallCaps w:val="0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五、当前存在的主要问题</w:t>
      </w:r>
      <w:r>
        <w:rPr>
          <w:rFonts w:hint="eastAsia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下步改进措施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2023年，区医保局在政府信息公开工作方面取得了一定成效，但还存在一些不足之处：一是责任意识有所欠缺，政府信息更新不够及时。二是政策解读方面内容不够丰富，难以满足当下群众需求。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针对以上问题，一方面我局将进一步强化责任意识，领导带头深入学习《条例》等相关法律及政策精神，充分调动相关科室人员积极性，抓严抓实政府信息公开工作，确保医保相关信息公布的及时性、准确性、完整性。另一方面丰富门户网站“政策解读”一栏的内容，多维度、多角度解读医保政策，用通俗易懂的语言便于群众理解，从而提高解读质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六、其他需要报告的事项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区医保局无收取信息处理费情况。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480" w:firstLineChars="14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重庆市綦江区医疗保障局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4800" w:firstLineChars="15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2024年1月12日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2098" w:right="1531" w:bottom="1984" w:left="153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WNhZTgwNjI1ZmFjZTljZGQ3NWRjYTEzNjZmMmIifQ=="/>
  </w:docVars>
  <w:rsids>
    <w:rsidRoot w:val="70007C17"/>
    <w:rsid w:val="05102596"/>
    <w:rsid w:val="05637D8D"/>
    <w:rsid w:val="13B063B3"/>
    <w:rsid w:val="17E25385"/>
    <w:rsid w:val="18B82058"/>
    <w:rsid w:val="1CAE1D21"/>
    <w:rsid w:val="262C461F"/>
    <w:rsid w:val="2FBF2B05"/>
    <w:rsid w:val="338C4BF9"/>
    <w:rsid w:val="3ACC58D3"/>
    <w:rsid w:val="485B2E7C"/>
    <w:rsid w:val="48D367DD"/>
    <w:rsid w:val="4AD57BF0"/>
    <w:rsid w:val="5C6D112F"/>
    <w:rsid w:val="65EB5843"/>
    <w:rsid w:val="670C07A0"/>
    <w:rsid w:val="70007C17"/>
    <w:rsid w:val="76394A2B"/>
    <w:rsid w:val="78F611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33333"/>
      <w:u w:val="none"/>
    </w:rPr>
  </w:style>
  <w:style w:type="character" w:styleId="12">
    <w:name w:val="Emphasis"/>
    <w:basedOn w:val="10"/>
    <w:qFormat/>
    <w:uiPriority w:val="0"/>
  </w:style>
  <w:style w:type="character" w:styleId="13">
    <w:name w:val="Hyperlink"/>
    <w:basedOn w:val="10"/>
    <w:autoRedefine/>
    <w:qFormat/>
    <w:uiPriority w:val="0"/>
    <w:rPr>
      <w:color w:val="333333"/>
      <w:u w:val="none"/>
    </w:rPr>
  </w:style>
  <w:style w:type="character" w:styleId="14">
    <w:name w:val="HTML Code"/>
    <w:basedOn w:val="10"/>
    <w:autoRedefine/>
    <w:qFormat/>
    <w:uiPriority w:val="0"/>
    <w:rPr>
      <w:rFonts w:ascii="Courier New" w:hAnsi="Courier New"/>
      <w:sz w:val="20"/>
    </w:rPr>
  </w:style>
  <w:style w:type="character" w:customStyle="1" w:styleId="15">
    <w:name w:val="calendar-head__next-year-btn"/>
    <w:basedOn w:val="10"/>
    <w:qFormat/>
    <w:uiPriority w:val="0"/>
  </w:style>
  <w:style w:type="character" w:customStyle="1" w:styleId="16">
    <w:name w:val="calendar-head__year-range"/>
    <w:basedOn w:val="10"/>
    <w:qFormat/>
    <w:uiPriority w:val="0"/>
    <w:rPr>
      <w:vanish/>
    </w:rPr>
  </w:style>
  <w:style w:type="character" w:customStyle="1" w:styleId="17">
    <w:name w:val="calendar-head__text-display"/>
    <w:basedOn w:val="10"/>
    <w:autoRedefine/>
    <w:qFormat/>
    <w:uiPriority w:val="0"/>
    <w:rPr>
      <w:vanish/>
    </w:rPr>
  </w:style>
  <w:style w:type="character" w:customStyle="1" w:styleId="18">
    <w:name w:val="calendar-head__next-month-btn"/>
    <w:basedOn w:val="10"/>
    <w:qFormat/>
    <w:uiPriority w:val="0"/>
  </w:style>
  <w:style w:type="character" w:customStyle="1" w:styleId="19">
    <w:name w:val="active"/>
    <w:basedOn w:val="10"/>
    <w:qFormat/>
    <w:uiPriority w:val="0"/>
    <w:rPr>
      <w:color w:val="333333"/>
    </w:rPr>
  </w:style>
  <w:style w:type="character" w:customStyle="1" w:styleId="20">
    <w:name w:val="calendar-head__prev-range-btn"/>
    <w:basedOn w:val="10"/>
    <w:autoRedefine/>
    <w:qFormat/>
    <w:uiPriority w:val="0"/>
    <w:rPr>
      <w:vanish/>
    </w:rPr>
  </w:style>
  <w:style w:type="character" w:customStyle="1" w:styleId="21">
    <w:name w:val="calendar-head__next-range-btn"/>
    <w:basedOn w:val="10"/>
    <w:autoRedefine/>
    <w:qFormat/>
    <w:uiPriority w:val="0"/>
    <w:rPr>
      <w:vanish/>
    </w:rPr>
  </w:style>
  <w:style w:type="character" w:customStyle="1" w:styleId="22">
    <w:name w:val="hover"/>
    <w:basedOn w:val="10"/>
    <w:autoRedefine/>
    <w:qFormat/>
    <w:uiPriority w:val="0"/>
    <w:rPr>
      <w:color w:val="2F6EA2"/>
    </w:rPr>
  </w:style>
  <w:style w:type="character" w:customStyle="1" w:styleId="23">
    <w:name w:val="rm_play_show"/>
    <w:basedOn w:val="10"/>
    <w:autoRedefine/>
    <w:qFormat/>
    <w:uiPriority w:val="0"/>
    <w:rPr>
      <w:vanish/>
    </w:rPr>
  </w:style>
  <w:style w:type="character" w:customStyle="1" w:styleId="24">
    <w:name w:val="rm_play"/>
    <w:basedOn w:val="10"/>
    <w:autoRedefine/>
    <w:qFormat/>
    <w:uiPriority w:val="0"/>
  </w:style>
  <w:style w:type="character" w:customStyle="1" w:styleId="25">
    <w:name w:val="active1"/>
    <w:basedOn w:val="10"/>
    <w:autoRedefine/>
    <w:qFormat/>
    <w:uiPriority w:val="0"/>
    <w:rPr>
      <w:color w:val="D23939"/>
      <w:shd w:val="clear" w:fill="FFFFFF"/>
    </w:rPr>
  </w:style>
  <w:style w:type="character" w:customStyle="1" w:styleId="26">
    <w:name w:val="xian"/>
    <w:basedOn w:val="10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2024-01-10T08:38:00Z</dcterms:created>
  <dc:creator>杙</dc:creator>
  <cp:lastModifiedBy>李科</cp:lastModifiedBy>
  <cp:lastPrinted>2024-01-18T06:18:00Z</cp:lastPrinted>
  <dcterms:modified xsi:type="dcterms:W3CDTF">2024-02-08T02:24:43Z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BC8AC1C573C9457CB4929843FAC21AD6_13</vt:lpwstr>
  </property>
</Properties>
</file>