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方正仿宋_GBK" w:cs="方正仿宋_GBK"/>
          <w:sz w:val="32"/>
          <w:szCs w:val="32"/>
        </w:rPr>
      </w:pPr>
      <w:bookmarkStart w:id="1" w:name="_GoBack"/>
      <w:bookmarkEnd w:id="1"/>
      <w:r>
        <w:rPr>
          <w:rFonts w:hint="eastAsia" w:eastAsia="方正仿宋_GBK" w:cs="方正仿宋_GBK"/>
          <w:sz w:val="32"/>
          <w:szCs w:val="32"/>
        </w:rPr>
        <w:t xml:space="preserve"> </w:t>
      </w:r>
    </w:p>
    <w:p>
      <w:pPr>
        <w:spacing w:line="560" w:lineRule="exact"/>
        <w:jc w:val="left"/>
        <w:rPr>
          <w:rFonts w:eastAsia="方正仿宋_GBK" w:cs="方正仿宋_GBK"/>
          <w:sz w:val="32"/>
          <w:szCs w:val="32"/>
        </w:rPr>
      </w:pPr>
      <w:r>
        <w:rPr>
          <w:rFonts w:hint="eastAsia" w:eastAsia="方正仿宋_GBK" w:cs="方正仿宋_GBK"/>
          <w:sz w:val="32"/>
          <w:szCs w:val="32"/>
        </w:rPr>
        <w:t xml:space="preserve">  </w:t>
      </w:r>
    </w:p>
    <w:tbl>
      <w:tblPr>
        <w:tblStyle w:val="7"/>
        <w:tblW w:w="9360" w:type="dxa"/>
        <w:tblInd w:w="0" w:type="dxa"/>
        <w:tblLayout w:type="fixed"/>
        <w:tblCellMar>
          <w:top w:w="0" w:type="dxa"/>
          <w:left w:w="108" w:type="dxa"/>
          <w:bottom w:w="0" w:type="dxa"/>
          <w:right w:w="108" w:type="dxa"/>
        </w:tblCellMar>
      </w:tblPr>
      <w:tblGrid>
        <w:gridCol w:w="7790"/>
        <w:gridCol w:w="1570"/>
      </w:tblGrid>
      <w:tr>
        <w:tblPrEx>
          <w:tblCellMar>
            <w:top w:w="0" w:type="dxa"/>
            <w:left w:w="108" w:type="dxa"/>
            <w:bottom w:w="0" w:type="dxa"/>
            <w:right w:w="108" w:type="dxa"/>
          </w:tblCellMar>
        </w:tblPrEx>
        <w:trPr>
          <w:trHeight w:val="3715" w:hRule="atLeast"/>
        </w:trPr>
        <w:tc>
          <w:tcPr>
            <w:tcW w:w="7790" w:type="dxa"/>
            <w:shd w:val="clear" w:color="auto" w:fill="auto"/>
          </w:tcPr>
          <w:p>
            <w:pPr>
              <w:autoSpaceDE w:val="0"/>
              <w:autoSpaceDN w:val="0"/>
              <w:adjustRightInd w:val="0"/>
              <w:spacing w:line="800" w:lineRule="exact"/>
              <w:jc w:val="distribute"/>
              <w:rPr>
                <w:rFonts w:eastAsia="方正小标宋_GBK"/>
                <w:color w:val="FF0000"/>
                <w:w w:val="85"/>
                <w:kern w:val="0"/>
                <w:sz w:val="70"/>
                <w:szCs w:val="70"/>
              </w:rPr>
            </w:pPr>
          </w:p>
          <w:p>
            <w:pPr>
              <w:autoSpaceDE w:val="0"/>
              <w:autoSpaceDN w:val="0"/>
              <w:adjustRightInd w:val="0"/>
              <w:spacing w:line="800" w:lineRule="exact"/>
              <w:jc w:val="distribute"/>
              <w:rPr>
                <w:rFonts w:eastAsia="方正小标宋_GBK"/>
                <w:color w:val="FF0000"/>
                <w:w w:val="85"/>
                <w:kern w:val="0"/>
                <w:sz w:val="70"/>
                <w:szCs w:val="70"/>
              </w:rPr>
            </w:pPr>
            <w:r>
              <w:rPr>
                <w:rFonts w:eastAsia="方正小标宋_GBK"/>
                <w:color w:val="FF0000"/>
                <w:w w:val="85"/>
                <w:kern w:val="0"/>
                <w:sz w:val="70"/>
                <w:szCs w:val="70"/>
              </w:rPr>
              <w:t>重庆市</w:t>
            </w:r>
            <w:r>
              <w:rPr>
                <w:rFonts w:hint="eastAsia" w:eastAsia="方正小标宋_GBK"/>
                <w:color w:val="FF0000"/>
                <w:w w:val="85"/>
                <w:kern w:val="0"/>
                <w:sz w:val="70"/>
                <w:szCs w:val="70"/>
              </w:rPr>
              <w:t>医疗</w:t>
            </w:r>
            <w:r>
              <w:rPr>
                <w:rFonts w:eastAsia="方正小标宋_GBK"/>
                <w:color w:val="FF0000"/>
                <w:w w:val="85"/>
                <w:kern w:val="0"/>
                <w:sz w:val="70"/>
                <w:szCs w:val="70"/>
              </w:rPr>
              <w:t>保障局</w:t>
            </w:r>
          </w:p>
          <w:p>
            <w:pPr>
              <w:autoSpaceDE w:val="0"/>
              <w:autoSpaceDN w:val="0"/>
              <w:adjustRightInd w:val="0"/>
              <w:spacing w:line="800" w:lineRule="exact"/>
              <w:jc w:val="distribute"/>
              <w:rPr>
                <w:rFonts w:eastAsia="方正小标宋_GBK"/>
                <w:color w:val="FF0000"/>
                <w:w w:val="85"/>
                <w:kern w:val="0"/>
                <w:sz w:val="70"/>
                <w:szCs w:val="70"/>
              </w:rPr>
            </w:pPr>
            <w:r>
              <w:rPr>
                <w:rFonts w:hint="eastAsia" w:eastAsia="方正小标宋_GBK"/>
                <w:color w:val="FF0000"/>
                <w:w w:val="85"/>
                <w:kern w:val="0"/>
                <w:sz w:val="70"/>
                <w:szCs w:val="70"/>
              </w:rPr>
              <w:t>重庆市财政局</w:t>
            </w:r>
          </w:p>
          <w:p>
            <w:pPr>
              <w:autoSpaceDE w:val="0"/>
              <w:autoSpaceDN w:val="0"/>
              <w:adjustRightInd w:val="0"/>
              <w:spacing w:line="800" w:lineRule="exact"/>
              <w:jc w:val="distribute"/>
              <w:rPr>
                <w:rFonts w:eastAsia="方正小标宋_GBK"/>
                <w:color w:val="FF0000"/>
                <w:w w:val="85"/>
                <w:kern w:val="0"/>
                <w:sz w:val="70"/>
                <w:szCs w:val="70"/>
              </w:rPr>
            </w:pPr>
            <w:r>
              <w:rPr>
                <w:rFonts w:hint="eastAsia" w:eastAsia="方正小标宋_GBK"/>
                <w:color w:val="FF0000"/>
                <w:w w:val="85"/>
                <w:kern w:val="0"/>
                <w:sz w:val="70"/>
                <w:szCs w:val="70"/>
              </w:rPr>
              <w:t>国家税务总局重庆市税务局</w:t>
            </w:r>
          </w:p>
        </w:tc>
        <w:tc>
          <w:tcPr>
            <w:tcW w:w="1570" w:type="dxa"/>
            <w:shd w:val="clear" w:color="auto" w:fill="auto"/>
            <w:vAlign w:val="center"/>
          </w:tcPr>
          <w:p>
            <w:pPr>
              <w:autoSpaceDE w:val="0"/>
              <w:autoSpaceDN w:val="0"/>
              <w:adjustRightInd w:val="0"/>
              <w:spacing w:line="800" w:lineRule="exact"/>
              <w:jc w:val="center"/>
              <w:rPr>
                <w:rFonts w:eastAsia="方正小标宋_GBK"/>
                <w:color w:val="FF0000"/>
                <w:w w:val="85"/>
                <w:kern w:val="0"/>
                <w:sz w:val="70"/>
                <w:szCs w:val="70"/>
              </w:rPr>
            </w:pPr>
          </w:p>
          <w:p>
            <w:pPr>
              <w:autoSpaceDE w:val="0"/>
              <w:autoSpaceDN w:val="0"/>
              <w:adjustRightInd w:val="0"/>
              <w:spacing w:line="800" w:lineRule="exact"/>
              <w:jc w:val="center"/>
              <w:rPr>
                <w:rFonts w:eastAsia="方正小标宋_GBK"/>
                <w:color w:val="FF0000"/>
                <w:w w:val="85"/>
                <w:kern w:val="0"/>
                <w:sz w:val="70"/>
                <w:szCs w:val="70"/>
              </w:rPr>
            </w:pPr>
          </w:p>
          <w:p>
            <w:pPr>
              <w:autoSpaceDE w:val="0"/>
              <w:autoSpaceDN w:val="0"/>
              <w:adjustRightInd w:val="0"/>
              <w:spacing w:line="800" w:lineRule="exact"/>
              <w:jc w:val="center"/>
              <w:rPr>
                <w:rFonts w:eastAsia="方正小标宋_GBK"/>
                <w:color w:val="FF0000"/>
                <w:w w:val="85"/>
                <w:kern w:val="0"/>
                <w:sz w:val="70"/>
                <w:szCs w:val="70"/>
              </w:rPr>
            </w:pPr>
            <w:r>
              <w:rPr>
                <w:rFonts w:hint="eastAsia" w:eastAsia="方正小标宋_GBK"/>
                <w:color w:val="FF0000"/>
                <w:w w:val="85"/>
                <w:kern w:val="0"/>
                <w:sz w:val="70"/>
                <w:szCs w:val="70"/>
              </w:rPr>
              <w:t>文件</w:t>
            </w:r>
          </w:p>
          <w:p>
            <w:pPr>
              <w:autoSpaceDE w:val="0"/>
              <w:autoSpaceDN w:val="0"/>
              <w:adjustRightInd w:val="0"/>
              <w:spacing w:line="800" w:lineRule="exact"/>
              <w:jc w:val="center"/>
              <w:rPr>
                <w:rFonts w:eastAsia="方正小标宋_GBK"/>
                <w:color w:val="FF0000"/>
                <w:w w:val="85"/>
                <w:kern w:val="0"/>
                <w:sz w:val="70"/>
                <w:szCs w:val="70"/>
              </w:rPr>
            </w:pPr>
          </w:p>
        </w:tc>
      </w:tr>
    </w:tbl>
    <w:p>
      <w:pPr>
        <w:ind w:firstLine="105" w:firstLineChars="50"/>
        <w:jc w:val="center"/>
      </w:pPr>
    </w:p>
    <w:p>
      <w:pPr>
        <w:autoSpaceDE w:val="0"/>
        <w:autoSpaceDN w:val="0"/>
        <w:adjustRightInd w:val="0"/>
        <w:spacing w:line="600" w:lineRule="exact"/>
        <w:jc w:val="center"/>
        <w:rPr>
          <w:rFonts w:eastAsia="方正仿宋_GBK" w:cs="方正仿宋_GBK"/>
          <w:sz w:val="32"/>
          <w:szCs w:val="32"/>
        </w:rPr>
      </w:pPr>
      <w:r>
        <w:rPr>
          <w:rFonts w:hint="eastAsia" w:eastAsia="方正仿宋_GBK" w:cs="方正仿宋_GBK"/>
          <w:sz w:val="32"/>
          <w:szCs w:val="32"/>
        </w:rPr>
        <w:t>渝医保发〔2021〕23号</w:t>
      </w:r>
    </w:p>
    <w:tbl>
      <w:tblPr>
        <w:tblStyle w:val="7"/>
        <w:tblpPr w:leftFromText="180" w:rightFromText="180" w:vertAnchor="text" w:horzAnchor="page" w:tblpX="1830" w:tblpY="260"/>
        <w:tblOverlap w:val="never"/>
        <w:tblW w:w="9300" w:type="dxa"/>
        <w:tblInd w:w="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00"/>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300" w:type="dxa"/>
            <w:tcBorders>
              <w:top w:val="single" w:color="FF0000" w:sz="18" w:space="0"/>
            </w:tcBorders>
          </w:tcPr>
          <w:p>
            <w:pPr>
              <w:spacing w:line="560" w:lineRule="exact"/>
              <w:rPr>
                <w:rFonts w:eastAsia="方正小标宋_GBK"/>
              </w:rPr>
            </w:pPr>
          </w:p>
        </w:tc>
      </w:tr>
    </w:tbl>
    <w:p>
      <w:pPr>
        <w:shd w:val="clear" w:color="auto" w:fill="FFFFFF"/>
        <w:spacing w:line="600" w:lineRule="exact"/>
        <w:rPr>
          <w:rFonts w:eastAsia="方正小标宋_GBK"/>
          <w:color w:val="000000"/>
          <w:sz w:val="44"/>
          <w:szCs w:val="44"/>
        </w:rPr>
      </w:pPr>
      <w:r>
        <w:rPr>
          <w:rFonts w:eastAsia="方正小标宋_GBK"/>
          <w:color w:val="000000"/>
          <w:sz w:val="44"/>
          <w:szCs w:val="44"/>
        </w:rPr>
        <w:t>关于</w:t>
      </w:r>
      <w:r>
        <w:rPr>
          <w:rFonts w:hint="eastAsia" w:eastAsia="方正小标宋_GBK"/>
          <w:color w:val="000000"/>
          <w:sz w:val="44"/>
          <w:szCs w:val="44"/>
        </w:rPr>
        <w:t>加强和改进基本医疗保险参保工作的通知</w:t>
      </w:r>
    </w:p>
    <w:p>
      <w:pPr>
        <w:shd w:val="clear" w:color="auto" w:fill="FFFFFF"/>
        <w:snapToGrid w:val="0"/>
        <w:spacing w:line="600" w:lineRule="exact"/>
        <w:jc w:val="center"/>
        <w:rPr>
          <w:rFonts w:eastAsia="方正仿宋_GBK"/>
          <w:color w:val="000000"/>
          <w:sz w:val="32"/>
        </w:rPr>
      </w:pPr>
    </w:p>
    <w:p>
      <w:pPr>
        <w:shd w:val="clear" w:color="auto" w:fill="FFFFFF"/>
        <w:snapToGrid w:val="0"/>
        <w:spacing w:line="620" w:lineRule="exact"/>
        <w:rPr>
          <w:rFonts w:eastAsia="方正仿宋_GBK"/>
          <w:color w:val="000000"/>
          <w:sz w:val="32"/>
        </w:rPr>
      </w:pPr>
      <w:r>
        <w:rPr>
          <w:rFonts w:eastAsia="方正仿宋_GBK"/>
          <w:color w:val="000000"/>
          <w:sz w:val="32"/>
        </w:rPr>
        <w:t>各区县（自治县）医疗保障局、财政局、税务局，两江新区社会保障局、财政局，</w:t>
      </w:r>
      <w:r>
        <w:rPr>
          <w:rFonts w:hint="eastAsia" w:eastAsia="方正仿宋_GBK"/>
          <w:color w:val="000000"/>
          <w:sz w:val="32"/>
        </w:rPr>
        <w:t>高新区政务服务和社会事务中心、财政局，</w:t>
      </w:r>
      <w:r>
        <w:rPr>
          <w:rFonts w:eastAsia="方正仿宋_GBK"/>
          <w:color w:val="000000"/>
          <w:sz w:val="32"/>
        </w:rPr>
        <w:t>万盛经开区人力社保局、财政局：</w:t>
      </w:r>
    </w:p>
    <w:p>
      <w:pPr>
        <w:adjustRightInd w:val="0"/>
        <w:spacing w:line="620" w:lineRule="exact"/>
        <w:ind w:firstLine="640" w:firstLineChars="200"/>
        <w:rPr>
          <w:rFonts w:eastAsia="方正仿宋_GBK"/>
          <w:sz w:val="32"/>
          <w:szCs w:val="32"/>
        </w:rPr>
      </w:pPr>
      <w:r>
        <w:rPr>
          <w:rFonts w:hint="eastAsia" w:eastAsia="方正仿宋_GBK"/>
          <w:color w:val="000000"/>
          <w:sz w:val="32"/>
        </w:rPr>
        <w:t>按照</w:t>
      </w:r>
      <w:r>
        <w:rPr>
          <w:rFonts w:eastAsia="方正仿宋_GBK"/>
          <w:color w:val="000000"/>
          <w:sz w:val="32"/>
        </w:rPr>
        <w:t>《</w:t>
      </w:r>
      <w:r>
        <w:rPr>
          <w:rFonts w:hint="eastAsia" w:eastAsia="方正仿宋_GBK"/>
          <w:color w:val="000000"/>
          <w:sz w:val="32"/>
        </w:rPr>
        <w:t>国家医保局财政部国家税务总局关于加强和改进基本医疗保险参保工作的指导意见》（医保发〔2020〕33号）精神，为深入推进全民参保计划，进一步提高基本医保参保质量，保障参保群众权益，优化参保缴费服务，现就加强和改进基本医疗保险参保工作有关事宜通知如</w:t>
      </w:r>
      <w:r>
        <w:rPr>
          <w:rFonts w:hint="eastAsia" w:eastAsia="方正仿宋_GBK"/>
          <w:sz w:val="32"/>
          <w:szCs w:val="32"/>
        </w:rPr>
        <w:t>下：</w:t>
      </w:r>
    </w:p>
    <w:p>
      <w:pPr>
        <w:widowControl/>
        <w:shd w:val="clear" w:color="auto" w:fill="FFFFFF"/>
        <w:spacing w:line="620" w:lineRule="exact"/>
        <w:ind w:firstLine="640" w:firstLineChars="200"/>
        <w:rPr>
          <w:rFonts w:eastAsia="方正黑体_GBK" w:cs="宋体"/>
          <w:color w:val="333333"/>
          <w:kern w:val="0"/>
          <w:sz w:val="32"/>
          <w:szCs w:val="32"/>
        </w:rPr>
      </w:pPr>
      <w:r>
        <w:rPr>
          <w:rFonts w:hint="eastAsia" w:eastAsia="方正黑体_GBK"/>
          <w:color w:val="333333"/>
          <w:kern w:val="0"/>
          <w:sz w:val="32"/>
          <w:szCs w:val="32"/>
        </w:rPr>
        <w:t>一、总体要求</w:t>
      </w:r>
    </w:p>
    <w:p>
      <w:pPr>
        <w:widowControl/>
        <w:shd w:val="clear" w:color="auto" w:fill="FFFFFF"/>
        <w:spacing w:line="620" w:lineRule="exact"/>
        <w:ind w:firstLine="640" w:firstLineChars="200"/>
        <w:rPr>
          <w:rFonts w:eastAsia="方正楷体_GBK" w:cs="宋体"/>
          <w:color w:val="000000" w:themeColor="text1"/>
          <w:kern w:val="0"/>
          <w:sz w:val="32"/>
          <w:szCs w:val="32"/>
          <w14:textFill>
            <w14:solidFill>
              <w14:schemeClr w14:val="tx1"/>
            </w14:solidFill>
          </w14:textFill>
        </w:rPr>
      </w:pPr>
      <w:r>
        <w:rPr>
          <w:rFonts w:hint="eastAsia" w:eastAsia="方正楷体_GBK" w:cs="宋体"/>
          <w:color w:val="000000" w:themeColor="text1"/>
          <w:kern w:val="0"/>
          <w:sz w:val="32"/>
          <w:szCs w:val="32"/>
          <w14:textFill>
            <w14:solidFill>
              <w14:schemeClr w14:val="tx1"/>
            </w14:solidFill>
          </w14:textFill>
        </w:rPr>
        <w:t>（一）指导思想。</w:t>
      </w:r>
    </w:p>
    <w:p>
      <w:pPr>
        <w:adjustRightInd w:val="0"/>
        <w:spacing w:line="620" w:lineRule="exact"/>
        <w:ind w:firstLine="640" w:firstLineChars="200"/>
        <w:rPr>
          <w:rFonts w:eastAsia="方正仿宋_GBK"/>
          <w:color w:val="000000"/>
          <w:sz w:val="32"/>
        </w:rPr>
      </w:pPr>
      <w:r>
        <w:rPr>
          <w:rFonts w:hint="eastAsia" w:eastAsia="方正仿宋_GBK"/>
          <w:color w:val="000000" w:themeColor="text1"/>
          <w:sz w:val="32"/>
          <w14:textFill>
            <w14:solidFill>
              <w14:schemeClr w14:val="tx1"/>
            </w14:solidFill>
          </w14:textFill>
        </w:rPr>
        <w:t>以习近平新时代中国特色社会主义思想为指导，坚持以人民为中心的发展思想，坚持推进高质量发展，以实现覆盖全民、依法参保为目标，以完善经办管理政策为重点，以信息系统互联互通为手段，巩固提高统筹层次，加强部</w:t>
      </w:r>
      <w:r>
        <w:rPr>
          <w:rFonts w:hint="eastAsia" w:eastAsia="方正仿宋_GBK"/>
          <w:color w:val="000000"/>
          <w:sz w:val="32"/>
        </w:rPr>
        <w:t>门数据共享比对，严格控制重复参保，大力提升参保质量，切实维护参保人医保权益，稳步做实全民参保计划，为医疗保障高质量发展奠定坚实基础。</w:t>
      </w:r>
    </w:p>
    <w:p>
      <w:pPr>
        <w:widowControl/>
        <w:shd w:val="clear" w:color="auto" w:fill="FFFFFF"/>
        <w:spacing w:line="620" w:lineRule="exact"/>
        <w:ind w:firstLine="640" w:firstLineChars="200"/>
        <w:rPr>
          <w:rFonts w:eastAsia="方正楷体_GBK" w:cs="宋体"/>
          <w:color w:val="333333"/>
          <w:kern w:val="0"/>
          <w:sz w:val="32"/>
          <w:szCs w:val="32"/>
        </w:rPr>
      </w:pPr>
      <w:r>
        <w:rPr>
          <w:rFonts w:hint="eastAsia" w:eastAsia="方正楷体_GBK" w:cs="宋体"/>
          <w:color w:val="333333"/>
          <w:kern w:val="0"/>
          <w:sz w:val="32"/>
          <w:szCs w:val="32"/>
        </w:rPr>
        <w:t>（二）总体原则。</w:t>
      </w:r>
    </w:p>
    <w:p>
      <w:pPr>
        <w:adjustRightInd w:val="0"/>
        <w:spacing w:line="620" w:lineRule="exact"/>
        <w:ind w:firstLine="640" w:firstLineChars="200"/>
        <w:rPr>
          <w:rFonts w:eastAsia="方正仿宋_GBK"/>
          <w:color w:val="000000"/>
          <w:sz w:val="32"/>
        </w:rPr>
      </w:pPr>
      <w:r>
        <w:rPr>
          <w:rFonts w:hint="eastAsia" w:eastAsia="方正仿宋_GBK"/>
          <w:color w:val="000000"/>
          <w:sz w:val="32"/>
        </w:rPr>
        <w:t>坚持全面覆盖，补齐短板。落实全民参保计划和依法参保要求，着眼保基本、全覆盖，有针对性加强重点人群特别是困难人群参保缴费服务，改进参保薄弱环节服务。</w:t>
      </w:r>
    </w:p>
    <w:p>
      <w:pPr>
        <w:adjustRightInd w:val="0"/>
        <w:spacing w:line="620" w:lineRule="exact"/>
        <w:ind w:firstLine="640" w:firstLineChars="200"/>
        <w:rPr>
          <w:rFonts w:eastAsia="方正仿宋_GBK"/>
          <w:color w:val="000000"/>
          <w:sz w:val="32"/>
        </w:rPr>
      </w:pPr>
      <w:r>
        <w:rPr>
          <w:rFonts w:hint="eastAsia" w:eastAsia="方正仿宋_GBK"/>
          <w:color w:val="000000"/>
          <w:sz w:val="32"/>
        </w:rPr>
        <w:t>坚持分类完善，精准施策。对学生、新生儿、缴费中断人员等参保对象，根据实际情况，不搞“一刀切”，分类制定针对性政策，保障合理待遇。</w:t>
      </w:r>
    </w:p>
    <w:p>
      <w:pPr>
        <w:adjustRightInd w:val="0"/>
        <w:spacing w:line="620" w:lineRule="exact"/>
        <w:ind w:firstLine="640" w:firstLineChars="200"/>
        <w:rPr>
          <w:rFonts w:eastAsia="方正仿宋_GBK"/>
          <w:color w:val="000000"/>
          <w:sz w:val="32"/>
        </w:rPr>
      </w:pPr>
      <w:r>
        <w:rPr>
          <w:rFonts w:hint="eastAsia" w:eastAsia="方正仿宋_GBK"/>
          <w:color w:val="000000"/>
          <w:sz w:val="32"/>
        </w:rPr>
        <w:t>坚持优化服务，保障待遇。持续加强参保政策宣传，提升参保缴费服务便利化水平，保障参保人依法享有基本医疗保障待遇，增强群众获得感。</w:t>
      </w:r>
    </w:p>
    <w:p>
      <w:pPr>
        <w:adjustRightInd w:val="0"/>
        <w:spacing w:line="620" w:lineRule="exact"/>
        <w:ind w:firstLine="640" w:firstLineChars="200"/>
        <w:rPr>
          <w:rFonts w:eastAsia="方正仿宋_GBK"/>
          <w:color w:val="000000"/>
          <w:sz w:val="32"/>
        </w:rPr>
      </w:pPr>
      <w:r>
        <w:rPr>
          <w:rFonts w:hint="eastAsia" w:eastAsia="方正仿宋_GBK"/>
          <w:color w:val="000000"/>
          <w:sz w:val="32"/>
        </w:rPr>
        <w:t>坚持技术支撑，提高质量。依托全国医疗保障信息平台基础信息管理子系统参保功能模块，清理无效、虚假、重复数据，实时识别参保人参保缴费状态，提升参保质量。</w:t>
      </w:r>
    </w:p>
    <w:p>
      <w:pPr>
        <w:widowControl/>
        <w:shd w:val="clear" w:color="auto" w:fill="FFFFFF"/>
        <w:spacing w:line="620" w:lineRule="exact"/>
        <w:ind w:firstLine="640" w:firstLineChars="200"/>
        <w:rPr>
          <w:rFonts w:eastAsia="方正楷体_GBK" w:cs="宋体"/>
          <w:color w:val="333333"/>
          <w:kern w:val="0"/>
          <w:sz w:val="32"/>
          <w:szCs w:val="32"/>
        </w:rPr>
      </w:pPr>
      <w:r>
        <w:rPr>
          <w:rFonts w:hint="eastAsia" w:eastAsia="方正楷体_GBK" w:cs="宋体"/>
          <w:color w:val="333333"/>
          <w:kern w:val="0"/>
          <w:sz w:val="32"/>
          <w:szCs w:val="32"/>
        </w:rPr>
        <w:t>（三）主要目标。</w:t>
      </w:r>
    </w:p>
    <w:p>
      <w:pPr>
        <w:widowControl/>
        <w:shd w:val="clear" w:color="auto" w:fill="FFFFFF"/>
        <w:spacing w:line="620" w:lineRule="exact"/>
        <w:ind w:firstLine="640" w:firstLineChars="200"/>
        <w:rPr>
          <w:rFonts w:eastAsia="方正仿宋_GBK"/>
          <w:color w:val="000000"/>
          <w:sz w:val="32"/>
        </w:rPr>
      </w:pPr>
      <w:r>
        <w:rPr>
          <w:rFonts w:hint="eastAsia" w:eastAsia="方正仿宋_GBK"/>
          <w:color w:val="000000"/>
          <w:sz w:val="32"/>
        </w:rPr>
        <w:t>深入实施全民参保计划，自2021年参保年度起，在国家的统一部署下实现与外省市参保信息互联互通、动态更新、实时查询，参保信息质量明显提升；到2025年，基本医保参保率稳中有升，管理服务水平明显提升，群众获得感满意度持续增强。</w:t>
      </w:r>
    </w:p>
    <w:p>
      <w:pPr>
        <w:widowControl/>
        <w:shd w:val="clear" w:color="auto" w:fill="FFFFFF"/>
        <w:spacing w:line="620" w:lineRule="exact"/>
        <w:ind w:firstLine="640" w:firstLineChars="200"/>
        <w:rPr>
          <w:rFonts w:eastAsia="方正黑体_GBK"/>
          <w:color w:val="333333"/>
          <w:kern w:val="0"/>
          <w:sz w:val="32"/>
          <w:szCs w:val="32"/>
        </w:rPr>
      </w:pPr>
      <w:r>
        <w:rPr>
          <w:rFonts w:hint="eastAsia" w:eastAsia="方正黑体_GBK"/>
          <w:color w:val="333333"/>
          <w:kern w:val="0"/>
          <w:sz w:val="32"/>
          <w:szCs w:val="32"/>
        </w:rPr>
        <w:t>二、主要任务</w:t>
      </w:r>
    </w:p>
    <w:p>
      <w:pPr>
        <w:widowControl/>
        <w:shd w:val="clear" w:color="auto" w:fill="FFFFFF"/>
        <w:spacing w:line="620" w:lineRule="exact"/>
        <w:ind w:firstLine="640" w:firstLineChars="200"/>
        <w:rPr>
          <w:rFonts w:eastAsia="方正楷体_GBK" w:cs="宋体"/>
          <w:color w:val="333333"/>
          <w:kern w:val="0"/>
          <w:sz w:val="32"/>
          <w:szCs w:val="32"/>
        </w:rPr>
      </w:pPr>
      <w:r>
        <w:rPr>
          <w:rFonts w:hint="eastAsia" w:eastAsia="方正楷体_GBK" w:cs="宋体"/>
          <w:color w:val="333333"/>
          <w:kern w:val="0"/>
          <w:sz w:val="32"/>
          <w:szCs w:val="32"/>
        </w:rPr>
        <w:t>（一）合理设定参保扩面目标。</w:t>
      </w:r>
    </w:p>
    <w:p>
      <w:pPr>
        <w:widowControl/>
        <w:shd w:val="clear" w:color="auto" w:fill="FFFFFF"/>
        <w:spacing w:line="620" w:lineRule="exact"/>
        <w:ind w:firstLine="640" w:firstLineChars="200"/>
        <w:rPr>
          <w:rFonts w:eastAsia="方正仿宋_GBK"/>
          <w:color w:val="000000"/>
          <w:sz w:val="32"/>
        </w:rPr>
      </w:pPr>
      <w:r>
        <w:rPr>
          <w:rFonts w:hint="eastAsia" w:eastAsia="方正仿宋_GBK"/>
          <w:color w:val="000000"/>
          <w:sz w:val="32"/>
        </w:rPr>
        <w:t>根据我市常住人口、户籍人口、就业人口、城镇化率等指标，科学合理确定年度参保扩面目标。职工基本医疗保险（以下简称“职工医保”）要以本地区劳动就业人口作为重点参保扩面对象，城乡居民基本医疗保险（以下简称“居民医保”）实现以本地区非就业居民为重点参保扩面对象。进一步落实市外户籍人员持我市居住证参保政策。</w:t>
      </w:r>
    </w:p>
    <w:p>
      <w:pPr>
        <w:widowControl/>
        <w:shd w:val="clear" w:color="auto" w:fill="FFFFFF"/>
        <w:spacing w:line="620" w:lineRule="exact"/>
        <w:ind w:firstLine="640" w:firstLineChars="200"/>
        <w:rPr>
          <w:rFonts w:eastAsia="方正楷体_GBK" w:cs="宋体"/>
          <w:color w:val="333333"/>
          <w:kern w:val="0"/>
          <w:sz w:val="32"/>
          <w:szCs w:val="32"/>
        </w:rPr>
      </w:pPr>
      <w:r>
        <w:rPr>
          <w:rFonts w:hint="eastAsia" w:eastAsia="方正楷体_GBK" w:cs="宋体"/>
          <w:color w:val="333333"/>
          <w:kern w:val="0"/>
          <w:sz w:val="32"/>
          <w:szCs w:val="32"/>
        </w:rPr>
        <w:t>（二）落实参保缴费政策。</w:t>
      </w:r>
    </w:p>
    <w:p>
      <w:pPr>
        <w:widowControl/>
        <w:shd w:val="clear" w:color="auto" w:fill="FFFFFF"/>
        <w:spacing w:line="62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坚持和完善覆盖全民、依法参加的基本医疗保险制度。各级医疗保障部门要完善与本地区公安、民政、人力资源社会保障、卫生健康、市场监管、税务、教育、司法、扶贫、残联等部门的数据共享交换机制，加强人员信息比对和共享，核实断保、停保人员情况，精准锁定未参保人群，完善本地区全民参保计划数据。与用人单位签订劳动合同并与用人单位建立稳定劳动关系的人员，按照规定参加职工医保。落实对符合条件的困难人员参加基本医保个人缴费补贴政策。以农民工、城乡居民、残疾人、灵活就业人员、生活困难人员为重点，加强参保服务，落实各项参保政策。按照国家统一部署，完善新就业形态从业人员参保缴费方式。</w:t>
      </w:r>
    </w:p>
    <w:p>
      <w:pPr>
        <w:widowControl/>
        <w:shd w:val="clear" w:color="auto" w:fill="FFFFFF"/>
        <w:spacing w:line="620" w:lineRule="exact"/>
        <w:ind w:firstLine="640" w:firstLineChars="200"/>
        <w:rPr>
          <w:rFonts w:eastAsia="方正楷体_GBK" w:cs="宋体"/>
          <w:color w:val="333333"/>
          <w:kern w:val="0"/>
          <w:sz w:val="32"/>
          <w:szCs w:val="32"/>
        </w:rPr>
      </w:pPr>
      <w:r>
        <w:rPr>
          <w:rFonts w:hint="eastAsia" w:eastAsia="方正楷体_GBK" w:cs="宋体"/>
          <w:color w:val="333333"/>
          <w:kern w:val="0"/>
          <w:sz w:val="32"/>
          <w:szCs w:val="32"/>
        </w:rPr>
        <w:t>（三）做好跨制度参保的待遇衔接。</w:t>
      </w:r>
    </w:p>
    <w:p>
      <w:pPr>
        <w:widowControl/>
        <w:shd w:val="clear" w:color="auto" w:fill="FFFFFF"/>
        <w:spacing w:line="62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参保人已连续2年（含2年）以上参加基本医疗保险的，因就业等个人状态变化，在随用人单位参加职工医保和居民医保间切换参保关系的，且中断缴费时间不超过3个月的，缴费成功的次月即可正常享受待遇，确保参保人待遇无缝衔接。中断缴费时间超过3个月的，待遇享受等待期按新参加职工医保或居民医保的规定执行。</w:t>
      </w:r>
    </w:p>
    <w:p>
      <w:pPr>
        <w:widowControl/>
        <w:shd w:val="clear" w:color="auto" w:fill="FFFFFF"/>
        <w:spacing w:line="620" w:lineRule="exact"/>
        <w:ind w:firstLine="640" w:firstLineChars="200"/>
        <w:rPr>
          <w:rFonts w:eastAsia="方正楷体_GBK" w:cs="宋体"/>
          <w:color w:val="333333"/>
          <w:kern w:val="0"/>
          <w:sz w:val="32"/>
          <w:szCs w:val="32"/>
        </w:rPr>
      </w:pPr>
      <w:r>
        <w:rPr>
          <w:rFonts w:hint="eastAsia" w:eastAsia="方正楷体_GBK" w:cs="宋体"/>
          <w:color w:val="333333"/>
          <w:kern w:val="0"/>
          <w:sz w:val="32"/>
          <w:szCs w:val="32"/>
        </w:rPr>
        <w:t>（四）有序清理重复参保。</w:t>
      </w:r>
    </w:p>
    <w:p>
      <w:pPr>
        <w:widowControl/>
        <w:shd w:val="clear" w:color="auto" w:fill="FFFFFF"/>
        <w:spacing w:line="62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重复参保是指同一参保人重复参加同一基本医疗保险制度（制度内重复参保）或重复参加不同基本医疗保险制度（跨制度重复参保），具体表现为同一时间段内同一参保人有两条及以上参保缴费状态正常的参保信息记录。原则上不允许重复参保。</w:t>
      </w:r>
    </w:p>
    <w:p>
      <w:pPr>
        <w:shd w:val="clear" w:color="auto" w:fill="FFFFFF"/>
        <w:spacing w:line="62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重复参加职工医保的，原则上保留就业地参保关系;重复参加居民医保的，原则上保留常住地参保关系;学生重复参保，原则上保留学籍地参保关系;跨制度重复参保且连续参加职工医保一年以上（含一年）的，原则上保留职工医保参保关系。以上各类情形在保留一个参保关系同时，应及时终止重复的参保关系。以非全日制、临时性工作等灵活就业形式的跨制度重复参保，本人自愿选择保留一个可享受待遇的参保关系，暂停重复的参保关系。</w:t>
      </w:r>
    </w:p>
    <w:p>
      <w:pPr>
        <w:shd w:val="clear" w:color="auto" w:fill="FFFFFF"/>
        <w:spacing w:line="620" w:lineRule="exact"/>
        <w:ind w:firstLine="640" w:firstLineChars="200"/>
        <w:rPr>
          <w:rFonts w:eastAsia="方正楷体_GBK" w:cs="宋体"/>
          <w:color w:val="333333"/>
          <w:kern w:val="0"/>
          <w:sz w:val="32"/>
          <w:szCs w:val="32"/>
        </w:rPr>
      </w:pPr>
      <w:r>
        <w:rPr>
          <w:rFonts w:hint="eastAsia" w:eastAsia="方正楷体_GBK" w:cs="宋体"/>
          <w:color w:val="333333"/>
          <w:kern w:val="0"/>
          <w:sz w:val="32"/>
          <w:szCs w:val="32"/>
        </w:rPr>
        <w:t>（五）完善个人参保缴费服务机制。</w:t>
      </w:r>
    </w:p>
    <w:p>
      <w:pPr>
        <w:shd w:val="clear" w:color="auto" w:fill="FFFFFF"/>
        <w:spacing w:line="62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国家医保信息平台基础信息管理子系统建成后，各级医疗保障部门要利用国家统一医保信息平台基础信息管理子系统实时核对功能，及时查询参保人缴费状态，联合税务部门完善参保缴费服务，减少重复参保缴费。加大参保缴费宣传引导力度，推动服务向基层下沉，加大医保电子凭证推广使用力度，利用移动端、在线平台、共享经济平台等多种途径，拓展多样化的参保缴费渠道，提高参保缴费政策知晓度，提升服务便利性。</w:t>
      </w:r>
    </w:p>
    <w:p>
      <w:pPr>
        <w:shd w:val="clear" w:color="auto" w:fill="FFFFFF"/>
        <w:spacing w:line="62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参保人在居民医保缴费后，在相应待遇享受期未开始前因重复缴费、参加职工医保或其他统筹地区居民医保，可在终止相关医保参保关系的同时</w:t>
      </w:r>
      <w:r>
        <w:rPr>
          <w:rFonts w:hint="eastAsia" w:eastAsia="方正仿宋_GBK"/>
          <w:color w:val="000000"/>
          <w:sz w:val="32"/>
          <w:szCs w:val="32"/>
        </w:rPr>
        <w:t>，依申请为个人办理退费。待遇享受期开始后，对暂停的居民医保参保关系，原则上个人缴费不再退回。其他情况，</w:t>
      </w:r>
      <w:r>
        <w:rPr>
          <w:rFonts w:hint="eastAsia" w:eastAsia="方正仿宋_GBK" w:cs="宋体"/>
          <w:color w:val="000000"/>
          <w:kern w:val="0"/>
          <w:sz w:val="32"/>
          <w:szCs w:val="32"/>
        </w:rPr>
        <w:t>按照《重庆市医疗保障局重庆市财政局国家税务总局重庆市税务局关于医疗保险退费有关事宜的通知》（渝医保发〔2020〕39号）有关规定执行。</w:t>
      </w:r>
    </w:p>
    <w:p>
      <w:pPr>
        <w:shd w:val="clear" w:color="auto" w:fill="FFFFFF"/>
        <w:spacing w:line="620" w:lineRule="exact"/>
        <w:ind w:firstLine="640" w:firstLineChars="200"/>
        <w:rPr>
          <w:rFonts w:eastAsia="方正楷体_GBK" w:cs="宋体"/>
          <w:color w:val="333333"/>
          <w:kern w:val="0"/>
          <w:sz w:val="32"/>
          <w:szCs w:val="32"/>
        </w:rPr>
      </w:pPr>
      <w:r>
        <w:rPr>
          <w:rFonts w:hint="eastAsia" w:eastAsia="方正楷体_GBK" w:cs="宋体"/>
          <w:color w:val="333333"/>
          <w:kern w:val="0"/>
          <w:sz w:val="32"/>
          <w:szCs w:val="32"/>
        </w:rPr>
        <w:t>（六）加强财政补助资金管理。</w:t>
      </w:r>
    </w:p>
    <w:p>
      <w:pPr>
        <w:shd w:val="clear" w:color="auto" w:fill="FFFFFF"/>
        <w:spacing w:line="62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除大中专学生入学当年重复参加居民医保情形外，其他重复参加居民医保的，需终止相关居民医保参保关系，并扣减重复参保当年涉及的各级财政补助资金。跨制度重复参保且连续参加职工医保一年以上（含一年）、参保缴费状态正常的，在按本通知规定的原则处理后扣减重复参保当年居民医保的各级财政补助资金。</w:t>
      </w:r>
    </w:p>
    <w:p>
      <w:pPr>
        <w:widowControl/>
        <w:shd w:val="clear" w:color="auto" w:fill="FFFFFF"/>
        <w:spacing w:line="620" w:lineRule="exact"/>
        <w:ind w:firstLine="640" w:firstLineChars="200"/>
        <w:rPr>
          <w:rFonts w:eastAsia="方正黑体_GBK"/>
          <w:color w:val="000000" w:themeColor="text1"/>
          <w:kern w:val="0"/>
          <w:sz w:val="32"/>
          <w:szCs w:val="32"/>
          <w14:textFill>
            <w14:solidFill>
              <w14:schemeClr w14:val="tx1"/>
            </w14:solidFill>
          </w14:textFill>
        </w:rPr>
      </w:pPr>
      <w:r>
        <w:rPr>
          <w:rFonts w:hint="eastAsia" w:eastAsia="方正黑体_GBK"/>
          <w:color w:val="000000" w:themeColor="text1"/>
          <w:kern w:val="0"/>
          <w:sz w:val="32"/>
          <w:szCs w:val="32"/>
          <w14:textFill>
            <w14:solidFill>
              <w14:schemeClr w14:val="tx1"/>
            </w14:solidFill>
          </w14:textFill>
        </w:rPr>
        <w:t>三、加强改进重点人群参保缴费服务</w:t>
      </w:r>
    </w:p>
    <w:p>
      <w:pPr>
        <w:widowControl/>
        <w:shd w:val="clear" w:color="auto" w:fill="FFFFFF"/>
        <w:spacing w:line="620" w:lineRule="exact"/>
        <w:ind w:firstLine="640" w:firstLineChars="200"/>
        <w:rPr>
          <w:rFonts w:eastAsia="方正仿宋_GBK"/>
          <w:color w:val="000000"/>
          <w:kern w:val="0"/>
          <w:sz w:val="32"/>
          <w:szCs w:val="32"/>
        </w:rPr>
      </w:pPr>
      <w:r>
        <w:rPr>
          <w:rFonts w:hint="eastAsia" w:eastAsia="方正楷体_GBK" w:cs="宋体"/>
          <w:color w:val="333333"/>
          <w:kern w:val="0"/>
          <w:sz w:val="32"/>
          <w:szCs w:val="32"/>
        </w:rPr>
        <w:t>（一）大中专学生（含全日制研究生）。</w:t>
      </w:r>
      <w:r>
        <w:rPr>
          <w:rFonts w:hint="eastAsia" w:eastAsia="方正仿宋_GBK"/>
          <w:color w:val="000000"/>
          <w:kern w:val="0"/>
          <w:sz w:val="32"/>
          <w:szCs w:val="32"/>
        </w:rPr>
        <w:t>大中专学生应依法参保，原则上在学籍地参加居民医保。因入学形成的重复参保，学籍地医疗保障部门应依托全国信息平台参保功能模块，及时通知原参保地医疗保障部门终止参保关系。就业后形成的重复参保，就业地医疗保障部门应依托全国信息平台参保功能模块，及时通知原学籍地医疗保障部门暂停参保关系。积极探索提高大中专学生参保积极性的方式方法，提升参保数据质量和共享及时性。各相关区县可根据实际，适当前移大学生参加居民医保集中筹资时间，按开学当年度普通居民医保标准预缴。</w:t>
      </w:r>
    </w:p>
    <w:p>
      <w:pPr>
        <w:widowControl/>
        <w:shd w:val="clear" w:color="auto" w:fill="FFFFFF"/>
        <w:spacing w:line="620" w:lineRule="exact"/>
        <w:ind w:firstLine="640" w:firstLineChars="200"/>
        <w:rPr>
          <w:rFonts w:eastAsia="方正仿宋_GBK" w:cs="宋体"/>
          <w:color w:val="000000" w:themeColor="text1"/>
          <w:kern w:val="0"/>
          <w:sz w:val="32"/>
          <w:szCs w:val="32"/>
          <w14:textFill>
            <w14:solidFill>
              <w14:schemeClr w14:val="tx1"/>
            </w14:solidFill>
          </w14:textFill>
        </w:rPr>
      </w:pPr>
      <w:r>
        <w:rPr>
          <w:rFonts w:hint="eastAsia" w:eastAsia="方正楷体_GBK" w:cs="宋体"/>
          <w:color w:val="333333"/>
          <w:kern w:val="0"/>
          <w:sz w:val="32"/>
          <w:szCs w:val="32"/>
        </w:rPr>
        <w:t>（二）新生儿。</w:t>
      </w:r>
      <w:r>
        <w:rPr>
          <w:rFonts w:hint="eastAsia" w:eastAsia="方正仿宋_GBK" w:cs="宋体"/>
          <w:color w:val="000000"/>
          <w:kern w:val="0"/>
          <w:sz w:val="32"/>
          <w:szCs w:val="32"/>
        </w:rPr>
        <w:t>新生儿参保登记应使用本人真实姓名和身份证明。原则上新生儿出生后90天内由监护人按相关规定办理独立参保缴费的，自出生之日所发生的医疗费用均可纳入医保报销。对不独立参保且其法定监护人当年已参加我市居民医保并缴费的新生儿，自出生之日起自动随其法定监护人按规定享受居民医保待遇，出生当年发生的医疗费用报销</w:t>
      </w:r>
      <w:r>
        <w:rPr>
          <w:rFonts w:hint="eastAsia" w:eastAsia="方正仿宋_GBK" w:cs="宋体"/>
          <w:color w:val="000000" w:themeColor="text1"/>
          <w:kern w:val="0"/>
          <w:sz w:val="32"/>
          <w:szCs w:val="32"/>
          <w14:textFill>
            <w14:solidFill>
              <w14:schemeClr w14:val="tx1"/>
            </w14:solidFill>
          </w14:textFill>
        </w:rPr>
        <w:t>与其法定监护人合并计算，直至最高封顶线。其法定监护人有多人参加我市居民医保并缴费的，只能选择其中一人随同参保，一经选择不得变更。对下半年独立参保的新生儿，</w:t>
      </w:r>
      <w:r>
        <w:rPr>
          <w:rFonts w:eastAsia="方正仿宋_GBK" w:cs="宋体"/>
          <w:color w:val="000000" w:themeColor="text1"/>
          <w:kern w:val="0"/>
          <w:sz w:val="32"/>
          <w:szCs w:val="32"/>
          <w14:textFill>
            <w14:solidFill>
              <w14:schemeClr w14:val="tx1"/>
            </w14:solidFill>
          </w14:textFill>
        </w:rPr>
        <w:t>只缴</w:t>
      </w:r>
      <w:r>
        <w:rPr>
          <w:rFonts w:hint="eastAsia" w:eastAsia="方正仿宋_GBK" w:cs="宋体"/>
          <w:color w:val="000000" w:themeColor="text1"/>
          <w:kern w:val="0"/>
          <w:sz w:val="32"/>
          <w:szCs w:val="32"/>
          <w14:textFill>
            <w14:solidFill>
              <w14:schemeClr w14:val="tx1"/>
            </w14:solidFill>
          </w14:textFill>
        </w:rPr>
        <w:t>纳</w:t>
      </w:r>
      <w:r>
        <w:rPr>
          <w:rFonts w:eastAsia="方正仿宋_GBK" w:cs="宋体"/>
          <w:color w:val="000000" w:themeColor="text1"/>
          <w:kern w:val="0"/>
          <w:sz w:val="32"/>
          <w:szCs w:val="32"/>
          <w14:textFill>
            <w14:solidFill>
              <w14:schemeClr w14:val="tx1"/>
            </w14:solidFill>
          </w14:textFill>
        </w:rPr>
        <w:t>个人应承担的费用</w:t>
      </w:r>
      <w:r>
        <w:rPr>
          <w:rFonts w:hint="eastAsia" w:eastAsia="方正仿宋_GBK" w:cs="宋体"/>
          <w:color w:val="000000" w:themeColor="text1"/>
          <w:kern w:val="0"/>
          <w:sz w:val="32"/>
          <w:szCs w:val="32"/>
          <w14:textFill>
            <w14:solidFill>
              <w14:schemeClr w14:val="tx1"/>
            </w14:solidFill>
          </w14:textFill>
        </w:rPr>
        <w:t>。</w:t>
      </w:r>
    </w:p>
    <w:p>
      <w:pPr>
        <w:widowControl/>
        <w:shd w:val="clear" w:color="auto" w:fill="FFFFFF"/>
        <w:spacing w:line="620" w:lineRule="exact"/>
        <w:ind w:firstLine="640" w:firstLineChars="200"/>
        <w:rPr>
          <w:rFonts w:eastAsia="方正仿宋_GBK" w:cs="宋体"/>
          <w:color w:val="000000" w:themeColor="text1"/>
          <w:kern w:val="0"/>
          <w:sz w:val="32"/>
          <w:szCs w:val="32"/>
          <w14:textFill>
            <w14:solidFill>
              <w14:schemeClr w14:val="tx1"/>
            </w14:solidFill>
          </w14:textFill>
        </w:rPr>
      </w:pPr>
      <w:r>
        <w:rPr>
          <w:rFonts w:hint="eastAsia" w:eastAsia="方正楷体_GBK" w:cs="宋体"/>
          <w:color w:val="000000" w:themeColor="text1"/>
          <w:kern w:val="0"/>
          <w:sz w:val="32"/>
          <w:szCs w:val="32"/>
          <w14:textFill>
            <w14:solidFill>
              <w14:schemeClr w14:val="tx1"/>
            </w14:solidFill>
          </w14:textFill>
        </w:rPr>
        <w:t>（三）退役军人。</w:t>
      </w:r>
      <w:r>
        <w:rPr>
          <w:rFonts w:hint="eastAsia" w:eastAsia="方正仿宋_GBK" w:cs="宋体"/>
          <w:color w:val="000000" w:themeColor="text1"/>
          <w:kern w:val="0"/>
          <w:sz w:val="32"/>
          <w:szCs w:val="32"/>
          <w14:textFill>
            <w14:solidFill>
              <w14:schemeClr w14:val="tx1"/>
            </w14:solidFill>
          </w14:textFill>
        </w:rPr>
        <w:t>军人退出现役后、由部队保障的随军未就业军人配偶实现就业后，3个月内按我市规定参加基本医疗保险并办理关系转移接续的，不受待遇享受等待期限制。已参加基本医疗保险的随军未就业军人配偶，在军人退出现役后，按我市规定办理参保和关系转移接续。各区县医疗保障部门要为相关人群业务办理提供便利，做好管理服务。</w:t>
      </w:r>
    </w:p>
    <w:p>
      <w:pPr>
        <w:widowControl/>
        <w:shd w:val="clear" w:color="auto" w:fill="FFFFFF"/>
        <w:spacing w:line="620" w:lineRule="exact"/>
        <w:ind w:firstLine="640" w:firstLineChars="200"/>
        <w:rPr>
          <w:rFonts w:eastAsia="方正仿宋_GBK" w:cs="宋体"/>
          <w:color w:val="000000" w:themeColor="text1"/>
          <w:kern w:val="0"/>
          <w:sz w:val="32"/>
          <w:szCs w:val="32"/>
          <w14:textFill>
            <w14:solidFill>
              <w14:schemeClr w14:val="tx1"/>
            </w14:solidFill>
          </w14:textFill>
        </w:rPr>
      </w:pPr>
      <w:r>
        <w:rPr>
          <w:rFonts w:hint="eastAsia" w:eastAsia="方正楷体_GBK" w:cs="宋体"/>
          <w:color w:val="000000" w:themeColor="text1"/>
          <w:kern w:val="0"/>
          <w:sz w:val="32"/>
          <w:szCs w:val="32"/>
          <w14:textFill>
            <w14:solidFill>
              <w14:schemeClr w14:val="tx1"/>
            </w14:solidFill>
          </w14:textFill>
        </w:rPr>
        <w:t>（四）短期季节性务工人员及灵活就业人员。</w:t>
      </w:r>
      <w:r>
        <w:rPr>
          <w:rFonts w:hint="eastAsia" w:eastAsia="方正仿宋_GBK" w:cs="宋体"/>
          <w:color w:val="000000" w:themeColor="text1"/>
          <w:kern w:val="0"/>
          <w:sz w:val="32"/>
          <w:szCs w:val="32"/>
          <w14:textFill>
            <w14:solidFill>
              <w14:schemeClr w14:val="tx1"/>
            </w14:solidFill>
          </w14:textFill>
        </w:rPr>
        <w:t>已经参加居民医保的短期季节性务工人员或灵活就业人员，在居民医保待遇享受期内参加职工医保，医疗保障部门应保证参保人按我市规定享受新参加的医保待遇，暂停原居民医保待遇。参保人短期务工结束后，其结束短期务工与参加居民医保在同一年度的，医疗保障部门应及时恢复原居民医保待遇；在不同年度的，按照我市有关规定参保缴费后享受待遇，确保待遇有效衔接。</w:t>
      </w:r>
    </w:p>
    <w:p>
      <w:pPr>
        <w:widowControl/>
        <w:shd w:val="clear" w:color="auto" w:fill="FFFFFF"/>
        <w:spacing w:line="620" w:lineRule="exact"/>
        <w:ind w:firstLine="640" w:firstLineChars="200"/>
        <w:rPr>
          <w:rFonts w:eastAsia="方正仿宋_GBK" w:cs="宋体"/>
          <w:color w:val="000000"/>
          <w:kern w:val="0"/>
          <w:sz w:val="32"/>
          <w:szCs w:val="32"/>
        </w:rPr>
      </w:pPr>
      <w:r>
        <w:rPr>
          <w:rFonts w:hint="eastAsia" w:eastAsia="方正楷体_GBK" w:cs="宋体"/>
          <w:color w:val="333333"/>
          <w:kern w:val="0"/>
          <w:sz w:val="32"/>
          <w:szCs w:val="32"/>
        </w:rPr>
        <w:t>（五）随用人单位参加职工医保人员。</w:t>
      </w:r>
      <w:r>
        <w:rPr>
          <w:rFonts w:hint="eastAsia" w:eastAsia="方正仿宋_GBK" w:cs="宋体"/>
          <w:color w:val="000000"/>
          <w:kern w:val="0"/>
          <w:sz w:val="32"/>
          <w:szCs w:val="32"/>
        </w:rPr>
        <w:t>随用人单位参加职工医保的人员退休时缴费年限不足的，可与单位协商一次性补缴不足年限，也可自愿与单位终止医保关系，转为以个人身份参加职工医保。自退休日起3个月内办理转个人身份参保手续的，不设待遇等待期；对3个月后办理手续的，待遇等待期按新参保人员计算。</w:t>
      </w:r>
    </w:p>
    <w:p>
      <w:pPr>
        <w:widowControl/>
        <w:shd w:val="clear" w:color="auto" w:fill="FFFFFF"/>
        <w:spacing w:line="620" w:lineRule="exact"/>
        <w:ind w:firstLine="640" w:firstLineChars="200"/>
        <w:rPr>
          <w:rFonts w:eastAsia="方正黑体_GBK"/>
          <w:color w:val="333333"/>
          <w:kern w:val="0"/>
          <w:sz w:val="32"/>
          <w:szCs w:val="32"/>
        </w:rPr>
      </w:pPr>
      <w:r>
        <w:rPr>
          <w:rFonts w:hint="eastAsia" w:eastAsia="方正黑体_GBK"/>
          <w:color w:val="333333"/>
          <w:kern w:val="0"/>
          <w:sz w:val="32"/>
          <w:szCs w:val="32"/>
        </w:rPr>
        <w:t>四、工作要求</w:t>
      </w:r>
    </w:p>
    <w:p>
      <w:pPr>
        <w:widowControl/>
        <w:shd w:val="clear" w:color="auto" w:fill="FFFFFF"/>
        <w:spacing w:line="620" w:lineRule="exact"/>
        <w:ind w:firstLine="640" w:firstLineChars="200"/>
        <w:rPr>
          <w:rFonts w:eastAsia="方正仿宋_GBK" w:cs="宋体"/>
          <w:color w:val="000000"/>
          <w:kern w:val="0"/>
          <w:sz w:val="32"/>
          <w:szCs w:val="32"/>
        </w:rPr>
      </w:pPr>
      <w:r>
        <w:rPr>
          <w:rFonts w:hint="eastAsia" w:eastAsia="方正楷体_GBK" w:cs="宋体"/>
          <w:color w:val="333333"/>
          <w:kern w:val="0"/>
          <w:sz w:val="32"/>
          <w:szCs w:val="32"/>
        </w:rPr>
        <w:t>（一）落实属地工作责任。</w:t>
      </w:r>
      <w:r>
        <w:rPr>
          <w:rFonts w:hint="eastAsia" w:eastAsia="方正仿宋_GBK" w:cs="宋体"/>
          <w:color w:val="000000"/>
          <w:kern w:val="0"/>
          <w:sz w:val="32"/>
          <w:szCs w:val="32"/>
        </w:rPr>
        <w:t>各区县要严格贯彻国家和我市文件精神，统一思想认识，强化责任担当，做到应保尽保应参尽参，确保让参保人获得更加满意的服务。各区县医疗保障部门应加强源头把关，注重全过程动态管理，确保参保人身份真实，保障合理待遇；各区县税务部门要主动作为，做好医疗保险费的征收，确保应收尽收；各区县财政部门要做好资金划拨工作，确保财政资金及时到位。</w:t>
      </w:r>
    </w:p>
    <w:p>
      <w:pPr>
        <w:widowControl/>
        <w:shd w:val="clear" w:color="auto" w:fill="FFFFFF"/>
        <w:spacing w:line="620" w:lineRule="exact"/>
        <w:ind w:firstLine="640" w:firstLineChars="200"/>
        <w:rPr>
          <w:rFonts w:eastAsia="方正仿宋_GBK" w:cs="宋体"/>
          <w:color w:val="000000"/>
          <w:kern w:val="0"/>
          <w:sz w:val="32"/>
          <w:szCs w:val="32"/>
        </w:rPr>
      </w:pPr>
      <w:r>
        <w:rPr>
          <w:rFonts w:hint="eastAsia" w:eastAsia="方正楷体_GBK" w:cs="宋体"/>
          <w:color w:val="333333"/>
          <w:kern w:val="0"/>
          <w:sz w:val="32"/>
          <w:szCs w:val="32"/>
        </w:rPr>
        <w:t>（二）加强宣传引导。</w:t>
      </w:r>
      <w:r>
        <w:rPr>
          <w:rFonts w:hint="eastAsia" w:eastAsia="方正仿宋_GBK" w:cs="宋体"/>
          <w:color w:val="000000"/>
          <w:kern w:val="0"/>
          <w:sz w:val="32"/>
          <w:szCs w:val="32"/>
        </w:rPr>
        <w:t>进一步做好参保缴费宣传，创新宣传方式，拓展宣传渠道，对未参保人员实行精准推送式宣传，使群众全面了解医保政策和参保意义，调动群众参保缴费积极性，切实维护参保人合法权益。</w:t>
      </w:r>
    </w:p>
    <w:p>
      <w:pPr>
        <w:shd w:val="clear" w:color="auto" w:fill="FFFFFF"/>
        <w:snapToGrid w:val="0"/>
        <w:spacing w:line="620" w:lineRule="exact"/>
        <w:ind w:firstLine="640" w:firstLineChars="200"/>
        <w:rPr>
          <w:rFonts w:eastAsia="方正仿宋_GBK" w:cs="宋体"/>
          <w:color w:val="000000"/>
          <w:kern w:val="0"/>
          <w:sz w:val="32"/>
          <w:szCs w:val="32"/>
        </w:rPr>
      </w:pPr>
      <w:r>
        <w:rPr>
          <w:rFonts w:hint="eastAsia" w:eastAsia="方正楷体_GBK" w:cs="宋体"/>
          <w:color w:val="333333"/>
          <w:kern w:val="0"/>
          <w:sz w:val="32"/>
          <w:szCs w:val="32"/>
        </w:rPr>
        <w:t>（三）注重部门协作。</w:t>
      </w:r>
      <w:r>
        <w:rPr>
          <w:rFonts w:hint="eastAsia" w:eastAsia="方正仿宋_GBK" w:cs="宋体"/>
          <w:color w:val="000000"/>
          <w:kern w:val="0"/>
          <w:sz w:val="32"/>
          <w:szCs w:val="32"/>
        </w:rPr>
        <w:t>各区县医疗保障、税务部门要优化完善信息系统和数据共享平台，对清理的重复参保信息妥善保管，以备后续查验。各区县医疗保障、财政、税务部门要密切协作，加强沟通，稳妥有序做好参保工作，遇有重大情况和问题，及时向市医保局、市财政局、重庆市税务局报告。</w:t>
      </w:r>
    </w:p>
    <w:p>
      <w:pPr>
        <w:widowControl/>
        <w:shd w:val="clear" w:color="auto" w:fill="FFFFFF"/>
        <w:spacing w:line="620" w:lineRule="exact"/>
        <w:ind w:firstLine="640" w:firstLineChars="200"/>
        <w:rPr>
          <w:rFonts w:eastAsia="方正黑体_GBK"/>
          <w:color w:val="333333"/>
          <w:kern w:val="0"/>
          <w:sz w:val="32"/>
          <w:szCs w:val="32"/>
        </w:rPr>
      </w:pPr>
      <w:r>
        <w:rPr>
          <w:rFonts w:hint="eastAsia" w:eastAsia="方正黑体_GBK"/>
          <w:color w:val="333333"/>
          <w:kern w:val="0"/>
          <w:sz w:val="32"/>
          <w:szCs w:val="32"/>
        </w:rPr>
        <w:t>五、本通知从2021年5月1日起执行，过去有关规定与本通知不一致的，按本通知执行。</w:t>
      </w:r>
    </w:p>
    <w:p>
      <w:pPr>
        <w:shd w:val="clear" w:color="auto" w:fill="FFFFFF"/>
        <w:snapToGrid w:val="0"/>
        <w:spacing w:line="620" w:lineRule="exact"/>
        <w:ind w:firstLine="640" w:firstLineChars="200"/>
        <w:rPr>
          <w:rFonts w:eastAsia="方正仿宋_GBK"/>
          <w:color w:val="000000"/>
          <w:sz w:val="32"/>
        </w:rPr>
      </w:pPr>
    </w:p>
    <w:p>
      <w:pPr>
        <w:shd w:val="clear" w:color="auto" w:fill="FFFFFF"/>
        <w:snapToGrid w:val="0"/>
        <w:spacing w:line="620" w:lineRule="exact"/>
        <w:ind w:firstLine="640" w:firstLineChars="200"/>
        <w:rPr>
          <w:rFonts w:eastAsia="方正仿宋_GBK"/>
          <w:color w:val="000000"/>
          <w:sz w:val="32"/>
        </w:rPr>
      </w:pPr>
    </w:p>
    <w:p>
      <w:pPr>
        <w:shd w:val="clear" w:color="auto" w:fill="FFFFFF"/>
        <w:snapToGrid w:val="0"/>
        <w:spacing w:line="620" w:lineRule="exact"/>
        <w:ind w:firstLine="640" w:firstLineChars="200"/>
        <w:rPr>
          <w:rFonts w:eastAsia="方正仿宋_GBK"/>
          <w:color w:val="000000"/>
          <w:sz w:val="32"/>
        </w:rPr>
      </w:pPr>
    </w:p>
    <w:p>
      <w:pPr>
        <w:shd w:val="clear" w:color="auto" w:fill="FFFFFF"/>
        <w:snapToGrid w:val="0"/>
        <w:spacing w:line="620" w:lineRule="exact"/>
        <w:ind w:firstLine="640" w:firstLineChars="200"/>
        <w:rPr>
          <w:rFonts w:eastAsia="方正仿宋_GBK"/>
          <w:color w:val="000000"/>
          <w:sz w:val="32"/>
        </w:rPr>
      </w:pPr>
    </w:p>
    <w:p>
      <w:pPr>
        <w:shd w:val="clear" w:color="auto" w:fill="FFFFFF"/>
        <w:snapToGrid w:val="0"/>
        <w:spacing w:line="620" w:lineRule="exact"/>
        <w:ind w:firstLine="640" w:firstLineChars="200"/>
        <w:rPr>
          <w:rFonts w:eastAsia="方正仿宋_GBK"/>
          <w:color w:val="000000"/>
          <w:spacing w:val="20"/>
          <w:sz w:val="32"/>
        </w:rPr>
      </w:pPr>
      <w:r>
        <w:rPr>
          <w:rFonts w:eastAsia="方正仿宋_GBK"/>
          <w:color w:val="000000"/>
          <w:sz w:val="32"/>
        </w:rPr>
        <w:t>重庆市医疗保障局</w:t>
      </w:r>
      <w:r>
        <w:rPr>
          <w:rFonts w:hint="eastAsia" w:eastAsia="方正仿宋_GBK"/>
          <w:color w:val="000000"/>
          <w:sz w:val="32"/>
        </w:rPr>
        <w:t xml:space="preserve">               </w:t>
      </w:r>
      <w:r>
        <w:rPr>
          <w:rFonts w:eastAsia="方正仿宋_GBK"/>
          <w:color w:val="000000"/>
          <w:spacing w:val="20"/>
          <w:sz w:val="32"/>
        </w:rPr>
        <w:t>重庆市财政局</w:t>
      </w:r>
    </w:p>
    <w:p>
      <w:pPr>
        <w:shd w:val="clear" w:color="auto" w:fill="FFFFFF"/>
        <w:snapToGrid w:val="0"/>
        <w:spacing w:line="620" w:lineRule="exact"/>
        <w:ind w:firstLine="640" w:firstLineChars="200"/>
        <w:rPr>
          <w:rFonts w:eastAsia="方正仿宋_GBK"/>
          <w:color w:val="000000"/>
          <w:sz w:val="32"/>
        </w:rPr>
      </w:pPr>
    </w:p>
    <w:p>
      <w:pPr>
        <w:shd w:val="clear" w:color="auto" w:fill="FFFFFF"/>
        <w:snapToGrid w:val="0"/>
        <w:spacing w:line="620" w:lineRule="exact"/>
        <w:ind w:firstLine="640" w:firstLineChars="200"/>
        <w:rPr>
          <w:rFonts w:eastAsia="方正仿宋_GBK"/>
          <w:color w:val="000000"/>
          <w:sz w:val="32"/>
        </w:rPr>
      </w:pPr>
    </w:p>
    <w:p>
      <w:pPr>
        <w:shd w:val="clear" w:color="auto" w:fill="FFFFFF"/>
        <w:snapToGrid w:val="0"/>
        <w:spacing w:line="620" w:lineRule="exact"/>
        <w:ind w:firstLine="640" w:firstLineChars="200"/>
        <w:rPr>
          <w:rFonts w:eastAsia="方正仿宋_GBK"/>
          <w:color w:val="000000"/>
          <w:sz w:val="32"/>
        </w:rPr>
      </w:pPr>
    </w:p>
    <w:p>
      <w:pPr>
        <w:shd w:val="clear" w:color="auto" w:fill="FFFFFF"/>
        <w:snapToGrid w:val="0"/>
        <w:spacing w:line="620" w:lineRule="exact"/>
        <w:ind w:firstLine="640" w:firstLineChars="200"/>
        <w:rPr>
          <w:rFonts w:eastAsia="方正仿宋_GBK"/>
          <w:color w:val="000000"/>
          <w:sz w:val="32"/>
        </w:rPr>
      </w:pPr>
    </w:p>
    <w:p>
      <w:pPr>
        <w:shd w:val="clear" w:color="auto" w:fill="FFFFFF"/>
        <w:snapToGrid w:val="0"/>
        <w:spacing w:line="620" w:lineRule="exact"/>
        <w:ind w:firstLine="640" w:firstLineChars="200"/>
        <w:jc w:val="center"/>
        <w:rPr>
          <w:rFonts w:eastAsia="方正仿宋_GBK"/>
          <w:color w:val="000000"/>
          <w:sz w:val="32"/>
        </w:rPr>
      </w:pPr>
      <w:r>
        <w:rPr>
          <w:rFonts w:eastAsia="方正仿宋_GBK"/>
          <w:color w:val="000000"/>
          <w:sz w:val="32"/>
        </w:rPr>
        <w:t>国家税务总局重庆市税务局</w:t>
      </w:r>
    </w:p>
    <w:p>
      <w:pPr>
        <w:shd w:val="clear" w:color="auto" w:fill="FFFFFF"/>
        <w:snapToGrid w:val="0"/>
        <w:spacing w:line="620" w:lineRule="exact"/>
        <w:ind w:firstLine="640" w:firstLineChars="200"/>
        <w:jc w:val="center"/>
        <w:rPr>
          <w:rFonts w:eastAsia="方正仿宋_GBK"/>
          <w:color w:val="000000"/>
          <w:sz w:val="32"/>
        </w:rPr>
      </w:pPr>
      <w:r>
        <w:rPr>
          <w:rFonts w:eastAsia="方正仿宋_GBK"/>
          <w:color w:val="000000"/>
          <w:sz w:val="32"/>
        </w:rPr>
        <w:t>20</w:t>
      </w:r>
      <w:r>
        <w:rPr>
          <w:rFonts w:hint="eastAsia" w:eastAsia="方正仿宋_GBK"/>
          <w:color w:val="000000"/>
          <w:sz w:val="32"/>
        </w:rPr>
        <w:t>21</w:t>
      </w:r>
      <w:r>
        <w:rPr>
          <w:rFonts w:eastAsia="方正仿宋_GBK"/>
          <w:color w:val="000000"/>
          <w:sz w:val="32"/>
        </w:rPr>
        <w:t>年</w:t>
      </w:r>
      <w:r>
        <w:rPr>
          <w:rFonts w:hint="eastAsia" w:eastAsia="方正仿宋_GBK"/>
          <w:color w:val="000000"/>
          <w:sz w:val="32"/>
        </w:rPr>
        <w:t>3</w:t>
      </w:r>
      <w:r>
        <w:rPr>
          <w:rFonts w:eastAsia="方正仿宋_GBK"/>
          <w:color w:val="000000"/>
          <w:sz w:val="32"/>
        </w:rPr>
        <w:t>月</w:t>
      </w:r>
      <w:r>
        <w:rPr>
          <w:rFonts w:hint="eastAsia" w:eastAsia="方正仿宋_GBK"/>
          <w:color w:val="000000"/>
          <w:sz w:val="32"/>
        </w:rPr>
        <w:t>24</w:t>
      </w:r>
      <w:r>
        <w:rPr>
          <w:rFonts w:eastAsia="方正仿宋_GBK"/>
          <w:color w:val="000000"/>
          <w:sz w:val="32"/>
        </w:rPr>
        <w:t>日</w:t>
      </w:r>
    </w:p>
    <w:p>
      <w:pPr>
        <w:pStyle w:val="2"/>
        <w:spacing w:before="0" w:after="0" w:line="620" w:lineRule="exact"/>
        <w:jc w:val="center"/>
        <w:rPr>
          <w:rFonts w:eastAsia="方正仿宋_GBK"/>
          <w:color w:val="000000"/>
          <w:sz w:val="32"/>
          <w:szCs w:val="24"/>
        </w:rPr>
      </w:pPr>
    </w:p>
    <w:p>
      <w:pPr>
        <w:rPr>
          <w:rFonts w:eastAsia="方正仿宋_GBK"/>
          <w:color w:val="000000"/>
          <w:sz w:val="32"/>
        </w:rPr>
      </w:pPr>
    </w:p>
    <w:p>
      <w:pPr>
        <w:pStyle w:val="2"/>
      </w:pPr>
    </w:p>
    <w:p/>
    <w:p>
      <w:pPr>
        <w:pStyle w:val="2"/>
      </w:pPr>
    </w:p>
    <w:p/>
    <w:p>
      <w:pPr>
        <w:pStyle w:val="2"/>
      </w:pPr>
    </w:p>
    <w:p/>
    <w:p>
      <w:pPr>
        <w:pStyle w:val="2"/>
      </w:pPr>
    </w:p>
    <w:p/>
    <w:p>
      <w:pPr>
        <w:pStyle w:val="2"/>
      </w:pPr>
    </w:p>
    <w:p/>
    <w:p/>
    <w:p>
      <w:pPr>
        <w:pStyle w:val="2"/>
      </w:pPr>
    </w:p>
    <w:p>
      <w:pPr>
        <w:pStyle w:val="2"/>
      </w:pPr>
    </w:p>
    <w:p/>
    <w:p/>
    <w:tbl>
      <w:tblPr>
        <w:tblStyle w:val="7"/>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bookmarkStart w:id="0" w:name="印发时间"/>
            <w:r>
              <w:rPr>
                <w:rFonts w:hint="eastAsia" w:eastAsia="方正仿宋_GBK"/>
                <w:sz w:val="28"/>
                <w:szCs w:val="28"/>
              </w:rPr>
              <w:t xml:space="preserve">  　　　  </w:t>
            </w:r>
            <w:r>
              <w:rPr>
                <w:rFonts w:eastAsia="方正仿宋_GBK"/>
                <w:sz w:val="28"/>
                <w:szCs w:val="28"/>
              </w:rPr>
              <w:t>20</w:t>
            </w:r>
            <w:r>
              <w:rPr>
                <w:rFonts w:hint="eastAsia" w:eastAsia="方正仿宋_GBK"/>
                <w:sz w:val="28"/>
                <w:szCs w:val="28"/>
              </w:rPr>
              <w:t>21年3月26日</w:t>
            </w:r>
            <w:bookmarkEnd w:id="0"/>
            <w:r>
              <w:rPr>
                <w:rFonts w:hint="eastAsia" w:eastAsia="方正仿宋_GBK"/>
                <w:sz w:val="28"/>
                <w:szCs w:val="28"/>
              </w:rPr>
              <w:t>印发</w:t>
            </w:r>
          </w:p>
        </w:tc>
      </w:tr>
    </w:tbl>
    <w:p>
      <w:pPr>
        <w:pStyle w:val="2"/>
        <w:rPr>
          <w:vanish/>
        </w:rPr>
      </w:pPr>
    </w:p>
    <w:p>
      <w:pPr>
        <w:rPr>
          <w:vanish/>
        </w:rPr>
      </w:pPr>
    </w:p>
    <w:p>
      <w:pPr>
        <w:tabs>
          <w:tab w:val="left" w:pos="740"/>
        </w:tabs>
        <w:snapToGrid w:val="0"/>
        <w:spacing w:line="15" w:lineRule="auto"/>
        <w:jc w:val="left"/>
        <w:rPr>
          <w:vanish/>
        </w:rPr>
        <w:sectPr>
          <w:footerReference r:id="rId3" w:type="default"/>
          <w:pgSz w:w="11906" w:h="16838"/>
          <w:pgMar w:top="2098" w:right="1474" w:bottom="1984" w:left="1587" w:header="851" w:footer="992" w:gutter="0"/>
          <w:pgNumType w:fmt="numberInDash"/>
          <w:cols w:space="0" w:num="1"/>
          <w:formProt w:val="1"/>
          <w:docGrid w:type="lines" w:linePitch="315" w:charSpace="0"/>
        </w:sectPr>
      </w:pPr>
      <w:r>
        <w:rPr>
          <w:rFonts w:hint="eastAsia"/>
        </w:rPr>
        <w:tab/>
      </w:r>
    </w:p>
    <w:p>
      <w:pPr>
        <w:spacing w:line="600" w:lineRule="exact"/>
        <w:rPr>
          <w:rFonts w:eastAsia="方正仿宋_GBK"/>
          <w:vanish/>
          <w:sz w:val="32"/>
          <w:szCs w:val="32"/>
        </w:rPr>
      </w:pPr>
    </w:p>
    <w:sectPr>
      <w:pgSz w:w="11906" w:h="16838"/>
      <w:pgMar w:top="2098" w:right="1474" w:bottom="1984" w:left="1587" w:header="851" w:footer="992" w:gutter="0"/>
      <w:pgNumType w:fmt="numberInDash"/>
      <w:cols w:space="0" w:num="1"/>
      <w:formProt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defaultTabStop w:val="420"/>
  <w:drawingGridHorizontalSpacing w:val="210"/>
  <w:drawingGridVerticalSpacing w:val="158"/>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99"/>
    <w:rsid w:val="00013DD4"/>
    <w:rsid w:val="000156F6"/>
    <w:rsid w:val="00047A0F"/>
    <w:rsid w:val="000D3FA1"/>
    <w:rsid w:val="000F43BF"/>
    <w:rsid w:val="000F790C"/>
    <w:rsid w:val="00131325"/>
    <w:rsid w:val="0013697C"/>
    <w:rsid w:val="001454CD"/>
    <w:rsid w:val="001B6FDB"/>
    <w:rsid w:val="00244111"/>
    <w:rsid w:val="002D2309"/>
    <w:rsid w:val="0030320F"/>
    <w:rsid w:val="00314D4B"/>
    <w:rsid w:val="00393EBC"/>
    <w:rsid w:val="003A70C0"/>
    <w:rsid w:val="003C3EFA"/>
    <w:rsid w:val="003E542B"/>
    <w:rsid w:val="004455B3"/>
    <w:rsid w:val="004B7818"/>
    <w:rsid w:val="004D1FD8"/>
    <w:rsid w:val="005808BD"/>
    <w:rsid w:val="005F7886"/>
    <w:rsid w:val="0061688A"/>
    <w:rsid w:val="00654800"/>
    <w:rsid w:val="0068431A"/>
    <w:rsid w:val="006A22A3"/>
    <w:rsid w:val="007A2A6E"/>
    <w:rsid w:val="008063E5"/>
    <w:rsid w:val="008309C3"/>
    <w:rsid w:val="00837526"/>
    <w:rsid w:val="008C47AB"/>
    <w:rsid w:val="008F6099"/>
    <w:rsid w:val="0093391A"/>
    <w:rsid w:val="00965246"/>
    <w:rsid w:val="009E4309"/>
    <w:rsid w:val="009F0AC2"/>
    <w:rsid w:val="00A2421D"/>
    <w:rsid w:val="00A5238E"/>
    <w:rsid w:val="00B015C6"/>
    <w:rsid w:val="00B417CA"/>
    <w:rsid w:val="00B43248"/>
    <w:rsid w:val="00BA73A5"/>
    <w:rsid w:val="00BC18EA"/>
    <w:rsid w:val="00C31452"/>
    <w:rsid w:val="00C856FC"/>
    <w:rsid w:val="00C862DC"/>
    <w:rsid w:val="00D34AAB"/>
    <w:rsid w:val="00E211A1"/>
    <w:rsid w:val="00E27A49"/>
    <w:rsid w:val="00E70AFD"/>
    <w:rsid w:val="00FA62F8"/>
    <w:rsid w:val="00FF498D"/>
    <w:rsid w:val="00FF59D6"/>
    <w:rsid w:val="016124B5"/>
    <w:rsid w:val="02A65059"/>
    <w:rsid w:val="03E82E6B"/>
    <w:rsid w:val="04407B98"/>
    <w:rsid w:val="054E77FD"/>
    <w:rsid w:val="09CD4DF2"/>
    <w:rsid w:val="0A4F31F5"/>
    <w:rsid w:val="0C673DD6"/>
    <w:rsid w:val="0D955AEE"/>
    <w:rsid w:val="0E05378C"/>
    <w:rsid w:val="0FDD7A5A"/>
    <w:rsid w:val="12D92493"/>
    <w:rsid w:val="14381A69"/>
    <w:rsid w:val="16331AEA"/>
    <w:rsid w:val="16FF14D0"/>
    <w:rsid w:val="18D074C5"/>
    <w:rsid w:val="19445969"/>
    <w:rsid w:val="19453A70"/>
    <w:rsid w:val="1953102D"/>
    <w:rsid w:val="1AF33AE2"/>
    <w:rsid w:val="1C4025E4"/>
    <w:rsid w:val="1D204760"/>
    <w:rsid w:val="1DA15663"/>
    <w:rsid w:val="1DA63369"/>
    <w:rsid w:val="1E8A080C"/>
    <w:rsid w:val="22962381"/>
    <w:rsid w:val="24784EC7"/>
    <w:rsid w:val="251E6106"/>
    <w:rsid w:val="255C5B1D"/>
    <w:rsid w:val="27F863F4"/>
    <w:rsid w:val="28522CAE"/>
    <w:rsid w:val="2A7110EF"/>
    <w:rsid w:val="2B477A01"/>
    <w:rsid w:val="2CA17F86"/>
    <w:rsid w:val="2CD02A07"/>
    <w:rsid w:val="2E2B6093"/>
    <w:rsid w:val="2F203B17"/>
    <w:rsid w:val="2FB85A69"/>
    <w:rsid w:val="305B7B7D"/>
    <w:rsid w:val="31C863A7"/>
    <w:rsid w:val="320321A7"/>
    <w:rsid w:val="32095768"/>
    <w:rsid w:val="34883774"/>
    <w:rsid w:val="35A01ACC"/>
    <w:rsid w:val="360A5D53"/>
    <w:rsid w:val="3825115C"/>
    <w:rsid w:val="38F5302B"/>
    <w:rsid w:val="39B906A8"/>
    <w:rsid w:val="39FF3E06"/>
    <w:rsid w:val="3D272903"/>
    <w:rsid w:val="3DA72F0B"/>
    <w:rsid w:val="3E4D1E68"/>
    <w:rsid w:val="3EC475F8"/>
    <w:rsid w:val="3EC817E0"/>
    <w:rsid w:val="3FFD38E0"/>
    <w:rsid w:val="435D530D"/>
    <w:rsid w:val="44621EB3"/>
    <w:rsid w:val="482A63D0"/>
    <w:rsid w:val="48E735DE"/>
    <w:rsid w:val="49064FD4"/>
    <w:rsid w:val="49BC72CB"/>
    <w:rsid w:val="4C0C6F51"/>
    <w:rsid w:val="4C5F7764"/>
    <w:rsid w:val="4DD3414C"/>
    <w:rsid w:val="4F8172FD"/>
    <w:rsid w:val="4FBD5860"/>
    <w:rsid w:val="522F242A"/>
    <w:rsid w:val="533550C8"/>
    <w:rsid w:val="533E0514"/>
    <w:rsid w:val="53E671D1"/>
    <w:rsid w:val="53EF6F47"/>
    <w:rsid w:val="556A0C21"/>
    <w:rsid w:val="55F631F5"/>
    <w:rsid w:val="562C6CE8"/>
    <w:rsid w:val="56AC21F6"/>
    <w:rsid w:val="56B84E18"/>
    <w:rsid w:val="59E9737A"/>
    <w:rsid w:val="5B594B9A"/>
    <w:rsid w:val="5C9F21AC"/>
    <w:rsid w:val="5F9D6252"/>
    <w:rsid w:val="60EC5EE2"/>
    <w:rsid w:val="60F3283D"/>
    <w:rsid w:val="6152293F"/>
    <w:rsid w:val="623A19AB"/>
    <w:rsid w:val="62F02497"/>
    <w:rsid w:val="645E517F"/>
    <w:rsid w:val="64852BDF"/>
    <w:rsid w:val="65955F30"/>
    <w:rsid w:val="667577D3"/>
    <w:rsid w:val="67763D8F"/>
    <w:rsid w:val="68842644"/>
    <w:rsid w:val="68ED72CB"/>
    <w:rsid w:val="697A1F7E"/>
    <w:rsid w:val="69DF3ED1"/>
    <w:rsid w:val="6D9B1332"/>
    <w:rsid w:val="6F8331E2"/>
    <w:rsid w:val="70942D06"/>
    <w:rsid w:val="72D43B2F"/>
    <w:rsid w:val="72E315B5"/>
    <w:rsid w:val="73DE389D"/>
    <w:rsid w:val="74EC5C57"/>
    <w:rsid w:val="754929F9"/>
    <w:rsid w:val="75F36A58"/>
    <w:rsid w:val="77731458"/>
    <w:rsid w:val="79241571"/>
    <w:rsid w:val="79F33288"/>
    <w:rsid w:val="7A2D7381"/>
    <w:rsid w:val="7AD860B9"/>
    <w:rsid w:val="7C6F2306"/>
    <w:rsid w:val="7C8B3326"/>
    <w:rsid w:val="7CBB3BFD"/>
    <w:rsid w:val="7CF505D2"/>
    <w:rsid w:val="7DB80494"/>
    <w:rsid w:val="7DCE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rPr>
      <w:sz w:val="36"/>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customStyle="1" w:styleId="9">
    <w:name w:val="页脚 Char"/>
    <w:basedOn w:val="8"/>
    <w:link w:val="4"/>
    <w:qFormat/>
    <w:uiPriority w:val="0"/>
    <w:rPr>
      <w:rFonts w:ascii="Times New Roman" w:hAnsi="Times New Roman" w:eastAsia="宋体" w:cs="Times New Roman"/>
      <w:sz w:val="18"/>
      <w:szCs w:val="18"/>
    </w:rPr>
  </w:style>
  <w:style w:type="paragraph" w:customStyle="1" w:styleId="10">
    <w:name w:val="列出段落1"/>
    <w:basedOn w:val="1"/>
    <w:qFormat/>
    <w:uiPriority w:val="34"/>
    <w:pPr>
      <w:ind w:firstLine="420" w:firstLineChars="200"/>
    </w:pPr>
    <w:rPr>
      <w:rFonts w:eastAsia="仿宋_GB2312"/>
      <w:sz w:val="32"/>
      <w:szCs w:val="20"/>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font01"/>
    <w:basedOn w:val="8"/>
    <w:qFormat/>
    <w:uiPriority w:val="0"/>
    <w:rPr>
      <w:rFonts w:hint="eastAsia" w:ascii="方正小标宋_GBK" w:hAnsi="方正小标宋_GBK" w:eastAsia="方正小标宋_GBK" w:cs="方正小标宋_GBK"/>
      <w:color w:val="000000"/>
      <w:sz w:val="40"/>
      <w:szCs w:val="40"/>
      <w:u w:val="single"/>
    </w:rPr>
  </w:style>
  <w:style w:type="character" w:customStyle="1" w:styleId="13">
    <w:name w:val="font11"/>
    <w:basedOn w:val="8"/>
    <w:qFormat/>
    <w:uiPriority w:val="0"/>
    <w:rPr>
      <w:rFonts w:hint="eastAsia" w:ascii="方正小标宋_GBK" w:hAnsi="方正小标宋_GBK" w:eastAsia="方正小标宋_GBK" w:cs="方正小标宋_GBK"/>
      <w:color w:val="000000"/>
      <w:sz w:val="40"/>
      <w:szCs w:val="40"/>
      <w:u w:val="none"/>
    </w:rPr>
  </w:style>
  <w:style w:type="character" w:customStyle="1" w:styleId="14">
    <w:name w:val="font31"/>
    <w:basedOn w:val="8"/>
    <w:qFormat/>
    <w:uiPriority w:val="0"/>
    <w:rPr>
      <w:rFonts w:hint="eastAsia" w:ascii="方正小标宋_GBK" w:hAnsi="方正小标宋_GBK" w:eastAsia="方正小标宋_GBK" w:cs="方正小标宋_GBK"/>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584</Words>
  <Characters>3333</Characters>
  <Lines>27</Lines>
  <Paragraphs>7</Paragraphs>
  <TotalTime>5</TotalTime>
  <ScaleCrop>false</ScaleCrop>
  <LinksUpToDate>false</LinksUpToDate>
  <CharactersWithSpaces>3910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2021-03-02T09:26:00Z</dcterms:created>
  <dc:creator>Windows User</dc:creator>
  <cp:lastModifiedBy>周召林</cp:lastModifiedBy>
  <cp:lastPrinted>2021-03-15T02:06:00Z</cp:lastPrinted>
  <dcterms:modified xsi:type="dcterms:W3CDTF">2021-03-29T04:00:17Z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