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charts/chart1.xml" ContentType="application/vnd.openxmlformats-officedocument.drawingml.chart+xml"/>
  <Override PartName="/word/charts/colors1.xml" ContentType="application/vnd.ms-office.chartcolorstyle+xml"/>
  <Override PartName="/word/charts/style1.xml" ContentType="application/vnd.ms-office.chartstyle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7245C6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202</w:t>
      </w:r>
      <w:r>
        <w:rPr>
          <w:rFonts w:hint="default" w:ascii="Times New Roman" w:hAnsi="Times New Roman" w:eastAsia="方正小标宋_GBK" w:cs="Times New Roman"/>
          <w:sz w:val="44"/>
          <w:szCs w:val="44"/>
          <w:lang w:val="en-US" w:eastAsia="zh-CN"/>
        </w:rPr>
        <w:t>4</w:t>
      </w:r>
      <w:r>
        <w:rPr>
          <w:rFonts w:hint="default" w:ascii="Times New Roman" w:hAnsi="Times New Roman" w:eastAsia="方正小标宋_GBK" w:cs="Times New Roman"/>
          <w:sz w:val="44"/>
          <w:szCs w:val="44"/>
        </w:rPr>
        <w:t>年重庆市綦江区</w:t>
      </w:r>
    </w:p>
    <w:p w14:paraId="26857AC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小标宋_GBK" w:cs="Times New Roman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z w:val="44"/>
          <w:szCs w:val="44"/>
        </w:rPr>
        <w:t>国民经济和社会发展统计公报</w:t>
      </w:r>
    </w:p>
    <w:p w14:paraId="6EA5C954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cs="Times New Roman"/>
        </w:rPr>
      </w:pPr>
    </w:p>
    <w:p w14:paraId="48E7E48B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jc w:val="left"/>
        <w:textAlignment w:val="auto"/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202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全区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坚持以习近平新时代中国特色社会主义思想为指导，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全面贯彻落实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党的二十大和二十届二中、三中全会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精神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和习近平总书记视察重庆重要讲话重要指示精神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认真贯彻落实党中央、国务院各项决策部署，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在</w:t>
      </w:r>
      <w:r>
        <w:rPr>
          <w:rFonts w:hint="default" w:ascii="Times New Roman" w:hAnsi="Times New Roman" w:eastAsia="方正仿宋_GBK" w:cs="Times New Roman"/>
          <w:bCs/>
          <w:color w:val="auto"/>
          <w:sz w:val="32"/>
          <w:szCs w:val="32"/>
          <w:highlight w:val="none"/>
          <w:shd w:val="clear" w:color="auto" w:fill="FFFFFF"/>
        </w:rPr>
        <w:t>市委市政府科学指挥和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区委区政府坚强领导下，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32"/>
          <w:szCs w:val="32"/>
          <w:shd w:val="clear" w:fill="FFFFFF"/>
          <w:lang w:eastAsia="zh-CN"/>
        </w:rPr>
        <w:t>全区经济运行稳中有进，高质量发展扎实推进。</w:t>
      </w:r>
    </w:p>
    <w:p w14:paraId="544FC6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eastAsia="zh-CN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一、综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合</w:t>
      </w:r>
    </w:p>
    <w:p w14:paraId="2BA27B4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初步核算，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地区生产总值比上年增长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按产业分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，第一产业增加值增长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第二产业增加值增长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第三产业增加值增长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 w14:paraId="1570730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二、农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方正黑体_GBK" w:cs="Times New Roman"/>
          <w:color w:val="auto"/>
          <w:sz w:val="36"/>
          <w:szCs w:val="36"/>
          <w:highlight w:val="none"/>
        </w:rPr>
        <w:t>业</w:t>
      </w:r>
    </w:p>
    <w:p w14:paraId="2A2A1FA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农林牧渔业总产值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116.26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农业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87.02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%；林业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%；牧业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18.57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%；渔业2.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%；农林牧渔服务业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1.84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%。农林牧渔业增加值比上年增长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0.9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。</w:t>
      </w:r>
    </w:p>
    <w:p w14:paraId="0710959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全年粮食作物种植面积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87.32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亩，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夏收粮食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，秋收粮食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74.28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万亩。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蔬菜种植面积38.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万亩，增长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 w14:paraId="6BD8D88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年粮食总产量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35.79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万吨，比上年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增长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0.4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其中，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夏收粮食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2.96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吨，秋收粮食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32.83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吨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。小麦产量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709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减产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41.2%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；水稻产量15.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%；玉米产量8.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20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万吨，增产0.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%；马铃薯产量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2.99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1.7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%；甘薯产量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6.78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0.2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%。蔬菜产量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68.17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万吨，增产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2.8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%</w:t>
      </w:r>
      <w:r>
        <w:rPr>
          <w:rFonts w:hint="default" w:ascii="Times New Roman" w:hAnsi="Times New Roman" w:eastAsia="方正仿宋_GBK" w:cs="Times New Roman"/>
          <w:color w:val="000000" w:themeColor="text1"/>
          <w:sz w:val="32"/>
          <w:szCs w:val="32"/>
          <w:highlight w:val="none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 w14:paraId="37A59E8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全年猪牛羊禽肉产量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4.92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中，猪肉产量4.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9.9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%；牛肉产量0.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23.6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%；羊肉产量0.1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28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%；禽肉产量0.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21.1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禽蛋产量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1.05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%。牛奶产量0.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年末生猪存栏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24.70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万头，下降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23.5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%；出栏生猪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49.35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万头，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14.1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；出栏羊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8.02万只，下降33.1%；出栏牛0.65万头，下降27.9%；出栏家禽335.56万只，下降24.8%。</w:t>
      </w:r>
    </w:p>
    <w:p w14:paraId="36E00A6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表1   202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32"/>
          <w:highlight w:val="none"/>
        </w:rPr>
        <w:t>年主要农产品产量</w:t>
      </w:r>
    </w:p>
    <w:tbl>
      <w:tblPr>
        <w:tblStyle w:val="7"/>
        <w:tblW w:w="847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07"/>
        <w:gridCol w:w="2307"/>
        <w:gridCol w:w="2164"/>
      </w:tblGrid>
      <w:tr w14:paraId="5BD54D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4007" w:type="dxa"/>
            <w:vAlign w:val="center"/>
          </w:tcPr>
          <w:p w14:paraId="2044E3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产品名称</w:t>
            </w:r>
          </w:p>
        </w:tc>
        <w:tc>
          <w:tcPr>
            <w:tcW w:w="2307" w:type="dxa"/>
            <w:vAlign w:val="center"/>
          </w:tcPr>
          <w:p w14:paraId="092497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产量</w:t>
            </w:r>
          </w:p>
        </w:tc>
        <w:tc>
          <w:tcPr>
            <w:tcW w:w="2164" w:type="dxa"/>
            <w:vAlign w:val="center"/>
          </w:tcPr>
          <w:p w14:paraId="39E9609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576" w:lineRule="exact"/>
              <w:jc w:val="center"/>
              <w:textAlignment w:val="auto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±%</w:t>
            </w:r>
          </w:p>
        </w:tc>
      </w:tr>
      <w:tr w14:paraId="0CDF74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6ED2E7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粮  食(万吨)</w:t>
            </w:r>
          </w:p>
        </w:tc>
        <w:tc>
          <w:tcPr>
            <w:tcW w:w="2307" w:type="dxa"/>
          </w:tcPr>
          <w:p w14:paraId="123E2A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000000" w:themeColor="text1"/>
                <w:sz w:val="32"/>
                <w:szCs w:val="32"/>
                <w:highlight w:val="non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35.79</w:t>
            </w:r>
          </w:p>
        </w:tc>
        <w:tc>
          <w:tcPr>
            <w:tcW w:w="2164" w:type="dxa"/>
          </w:tcPr>
          <w:p w14:paraId="1EE1C7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0.4</w:t>
            </w:r>
          </w:p>
        </w:tc>
      </w:tr>
      <w:tr w14:paraId="387922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79D5186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油  菜(万吨)</w:t>
            </w:r>
          </w:p>
        </w:tc>
        <w:tc>
          <w:tcPr>
            <w:tcW w:w="2307" w:type="dxa"/>
          </w:tcPr>
          <w:p w14:paraId="252305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1.30</w:t>
            </w:r>
          </w:p>
        </w:tc>
        <w:tc>
          <w:tcPr>
            <w:tcW w:w="2164" w:type="dxa"/>
          </w:tcPr>
          <w:p w14:paraId="1E6695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2.4</w:t>
            </w:r>
          </w:p>
        </w:tc>
      </w:tr>
      <w:tr w14:paraId="0C4571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43E804C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蔬  菜(万吨)</w:t>
            </w:r>
          </w:p>
        </w:tc>
        <w:tc>
          <w:tcPr>
            <w:tcW w:w="2307" w:type="dxa"/>
          </w:tcPr>
          <w:p w14:paraId="7F093D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68.17</w:t>
            </w:r>
          </w:p>
        </w:tc>
        <w:tc>
          <w:tcPr>
            <w:tcW w:w="2164" w:type="dxa"/>
          </w:tcPr>
          <w:p w14:paraId="64BEEBC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2.8</w:t>
            </w:r>
          </w:p>
        </w:tc>
      </w:tr>
      <w:tr w14:paraId="78A654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6E818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出栏生猪(万头)</w:t>
            </w:r>
          </w:p>
        </w:tc>
        <w:tc>
          <w:tcPr>
            <w:tcW w:w="2307" w:type="dxa"/>
          </w:tcPr>
          <w:p w14:paraId="6344799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32"/>
                <w:highlight w:val="none"/>
                <w:lang w:val="en-US" w:eastAsia="zh-CN"/>
              </w:rPr>
              <w:t>49.35</w:t>
            </w:r>
          </w:p>
        </w:tc>
        <w:tc>
          <w:tcPr>
            <w:tcW w:w="2164" w:type="dxa"/>
          </w:tcPr>
          <w:p w14:paraId="46D6EB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-14.1</w:t>
            </w:r>
          </w:p>
        </w:tc>
      </w:tr>
      <w:tr w14:paraId="26AF6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04666E2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出栏羊(万只)</w:t>
            </w:r>
          </w:p>
        </w:tc>
        <w:tc>
          <w:tcPr>
            <w:tcW w:w="2307" w:type="dxa"/>
          </w:tcPr>
          <w:p w14:paraId="6114C2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8.02</w:t>
            </w:r>
          </w:p>
        </w:tc>
        <w:tc>
          <w:tcPr>
            <w:tcW w:w="2164" w:type="dxa"/>
          </w:tcPr>
          <w:p w14:paraId="6E2236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-33.1</w:t>
            </w:r>
          </w:p>
        </w:tc>
      </w:tr>
      <w:tr w14:paraId="511DDE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3FEA9E8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出栏牛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(万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  <w:lang w:eastAsia="zh-CN"/>
              </w:rPr>
              <w:t>头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)</w:t>
            </w:r>
          </w:p>
        </w:tc>
        <w:tc>
          <w:tcPr>
            <w:tcW w:w="2307" w:type="dxa"/>
          </w:tcPr>
          <w:p w14:paraId="73B583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0.65</w:t>
            </w:r>
          </w:p>
        </w:tc>
        <w:tc>
          <w:tcPr>
            <w:tcW w:w="2164" w:type="dxa"/>
          </w:tcPr>
          <w:p w14:paraId="79074E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-27.9</w:t>
            </w:r>
          </w:p>
        </w:tc>
      </w:tr>
      <w:tr w14:paraId="7C75C3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4007" w:type="dxa"/>
          </w:tcPr>
          <w:p w14:paraId="6722B2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出栏家禽(万只)</w:t>
            </w:r>
          </w:p>
        </w:tc>
        <w:tc>
          <w:tcPr>
            <w:tcW w:w="2307" w:type="dxa"/>
          </w:tcPr>
          <w:p w14:paraId="7C562AB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335.56</w:t>
            </w:r>
          </w:p>
        </w:tc>
        <w:tc>
          <w:tcPr>
            <w:tcW w:w="2164" w:type="dxa"/>
          </w:tcPr>
          <w:p w14:paraId="1D3A84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</w:rPr>
              <w:t>-</w:t>
            </w: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24.8</w:t>
            </w:r>
          </w:p>
        </w:tc>
      </w:tr>
      <w:tr w14:paraId="7A0BC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</w:trPr>
        <w:tc>
          <w:tcPr>
            <w:tcW w:w="4007" w:type="dxa"/>
          </w:tcPr>
          <w:p w14:paraId="03C9776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</w:rPr>
              <w:t>猪牛羊禽肉产量(万吨)</w:t>
            </w:r>
          </w:p>
        </w:tc>
        <w:tc>
          <w:tcPr>
            <w:tcW w:w="2307" w:type="dxa"/>
          </w:tcPr>
          <w:p w14:paraId="15911EC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4.92</w:t>
            </w:r>
          </w:p>
        </w:tc>
        <w:tc>
          <w:tcPr>
            <w:tcW w:w="2164" w:type="dxa"/>
          </w:tcPr>
          <w:p w14:paraId="775547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  <w:highlight w:val="none"/>
                <w:lang w:val="en-US" w:eastAsia="zh-CN"/>
              </w:rPr>
              <w:t>-12.2</w:t>
            </w:r>
          </w:p>
        </w:tc>
      </w:tr>
    </w:tbl>
    <w:p w14:paraId="3AADC70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</w:p>
    <w:p w14:paraId="7957A71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三、工业和建筑业</w:t>
      </w:r>
    </w:p>
    <w:p w14:paraId="42CA209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全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年工业增加值比上年增长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5.9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规模以上工业企业21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规模以上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工业总产值增长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，规模以上工业增加值增长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6.7%。</w:t>
      </w:r>
    </w:p>
    <w:p w14:paraId="09F9FFB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表2   202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年规模以上工业主要产品产量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  <w:t>增速</w:t>
      </w:r>
    </w:p>
    <w:tbl>
      <w:tblPr>
        <w:tblStyle w:val="7"/>
        <w:tblW w:w="695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0"/>
        <w:gridCol w:w="3384"/>
      </w:tblGrid>
      <w:tr w14:paraId="45FDD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3570" w:type="dxa"/>
          </w:tcPr>
          <w:p w14:paraId="0CF9079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产 品 名 称</w:t>
            </w:r>
          </w:p>
        </w:tc>
        <w:tc>
          <w:tcPr>
            <w:tcW w:w="3384" w:type="dxa"/>
            <w:vAlign w:val="center"/>
          </w:tcPr>
          <w:p w14:paraId="7C1E1F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±%</w:t>
            </w:r>
          </w:p>
        </w:tc>
      </w:tr>
      <w:tr w14:paraId="3248E2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1F30DC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  <w:t>发电量</w:t>
            </w:r>
          </w:p>
        </w:tc>
        <w:tc>
          <w:tcPr>
            <w:tcW w:w="3384" w:type="dxa"/>
            <w:vAlign w:val="center"/>
          </w:tcPr>
          <w:p w14:paraId="47762C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13.7</w:t>
            </w:r>
          </w:p>
        </w:tc>
      </w:tr>
      <w:tr w14:paraId="5E8DA1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4854A9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摩托车整车</w:t>
            </w:r>
          </w:p>
        </w:tc>
        <w:tc>
          <w:tcPr>
            <w:tcW w:w="3384" w:type="dxa"/>
            <w:vAlign w:val="center"/>
          </w:tcPr>
          <w:p w14:paraId="42FE247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28.7</w:t>
            </w:r>
          </w:p>
        </w:tc>
      </w:tr>
      <w:tr w14:paraId="26B1F4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57FC2D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石灰石</w:t>
            </w:r>
          </w:p>
        </w:tc>
        <w:tc>
          <w:tcPr>
            <w:tcW w:w="3384" w:type="dxa"/>
            <w:vAlign w:val="center"/>
          </w:tcPr>
          <w:p w14:paraId="76FDE8F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-76.1</w:t>
            </w:r>
          </w:p>
        </w:tc>
      </w:tr>
      <w:tr w14:paraId="59CCE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1697D8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水泥</w:t>
            </w:r>
          </w:p>
        </w:tc>
        <w:tc>
          <w:tcPr>
            <w:tcW w:w="3384" w:type="dxa"/>
            <w:vAlign w:val="center"/>
          </w:tcPr>
          <w:p w14:paraId="0A57E16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-18.8</w:t>
            </w:r>
          </w:p>
        </w:tc>
      </w:tr>
      <w:tr w14:paraId="545F80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4" w:hRule="atLeast"/>
          <w:jc w:val="center"/>
        </w:trPr>
        <w:tc>
          <w:tcPr>
            <w:tcW w:w="3570" w:type="dxa"/>
            <w:vAlign w:val="center"/>
          </w:tcPr>
          <w:p w14:paraId="5B9976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highlight w:val="none"/>
                <w:u w:val="none"/>
                <w:lang w:val="en-US" w:eastAsia="zh-CN" w:bidi="ar"/>
              </w:rPr>
              <w:t>铝合金</w:t>
            </w:r>
          </w:p>
        </w:tc>
        <w:tc>
          <w:tcPr>
            <w:tcW w:w="3384" w:type="dxa"/>
            <w:vAlign w:val="center"/>
          </w:tcPr>
          <w:p w14:paraId="5D37870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-35.9</w:t>
            </w:r>
          </w:p>
        </w:tc>
      </w:tr>
      <w:tr w14:paraId="593078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556DCA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32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铝材</w:t>
            </w:r>
          </w:p>
        </w:tc>
        <w:tc>
          <w:tcPr>
            <w:tcW w:w="3384" w:type="dxa"/>
            <w:vAlign w:val="center"/>
          </w:tcPr>
          <w:p w14:paraId="0FBAC4E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1.8</w:t>
            </w:r>
          </w:p>
        </w:tc>
      </w:tr>
      <w:tr w14:paraId="2B712C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2C5095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商品混凝土</w:t>
            </w:r>
          </w:p>
        </w:tc>
        <w:tc>
          <w:tcPr>
            <w:tcW w:w="3384" w:type="dxa"/>
            <w:vAlign w:val="center"/>
          </w:tcPr>
          <w:p w14:paraId="67FE6CB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-25.2</w:t>
            </w:r>
          </w:p>
        </w:tc>
      </w:tr>
      <w:tr w14:paraId="5839AC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3570" w:type="dxa"/>
            <w:vAlign w:val="center"/>
          </w:tcPr>
          <w:p w14:paraId="07DAB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both"/>
              <w:textAlignment w:val="center"/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十种有色金属</w:t>
            </w:r>
          </w:p>
        </w:tc>
        <w:tc>
          <w:tcPr>
            <w:tcW w:w="3384" w:type="dxa"/>
            <w:vAlign w:val="center"/>
          </w:tcPr>
          <w:p w14:paraId="2E69B3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28"/>
                <w:highlight w:val="none"/>
                <w:lang w:val="en-US" w:eastAsia="zh-CN"/>
              </w:rPr>
              <w:t>1.6</w:t>
            </w:r>
          </w:p>
        </w:tc>
      </w:tr>
    </w:tbl>
    <w:p w14:paraId="35C28CF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高新区共有规模以上工业企业1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家，总产值比上年增长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铝产业园增长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桥河工业园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食品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工业园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 w14:paraId="32F97A5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从三大支柱产业看，铝及铝精深加工增长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装配式建筑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汽摩整车及零部件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 w14:paraId="67F2436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从主要产品产量看，发电量增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13.7%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，石灰石下降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76.1%，水泥下降18.8%，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铝合金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铝材增长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，商品混凝土下降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25.2%，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十种有色金属增长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</w:p>
    <w:p w14:paraId="5558DE5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全年建筑业增加值比上年增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注册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地建筑业总产值比上年增长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10.1%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</w:t>
      </w:r>
    </w:p>
    <w:p w14:paraId="4A0C7B5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四、交通、邮电业</w:t>
      </w:r>
    </w:p>
    <w:p w14:paraId="67BA6D1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全年交通运输、仓储和邮政业增加值比上年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%。全年公路客运量4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%；公路货运量1.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公路客运周转量2.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；公路货运周转量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167.18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亿吨公里，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。全区公路里程（不含高速）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5706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等级公路里程5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876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公里，高速公路170公里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。全区拥有客运汽车（不含公交车）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辆，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(含公交车)315辆，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城市公交车2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辆，出租汽车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770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（其中巡游出租车260，网络预约出租车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民用货车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27986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辆。水运里程181公里，拥有船舶14艘，水运码头26个。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年末机动车保有量2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其中，摩托车1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1.33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%；汽车16.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%，其中小型汽车1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万辆，增长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 w14:paraId="38CE640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全年完成邮电业务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9.54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其中，邮政业务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1.87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；电信业务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 w14:paraId="4DE62F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五、国内贸易和对外开放</w:t>
      </w:r>
    </w:p>
    <w:p w14:paraId="23C2986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0000FF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全年社会消费品零售总额比上年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%。批发和零售业增加值增长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住宿和餐饮业增加值增长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</w:p>
    <w:p w14:paraId="765C8F8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社会商品销售总额分行业看，批发业销售额增长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1.2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零售业销售额增长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住宿业营业额增长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餐饮业营业额增长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。</w:t>
      </w:r>
    </w:p>
    <w:p w14:paraId="18BC3F4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在限额以上单位商品零售额中，粮油、食品类零售额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37.8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%，饮料类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%，烟酒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类下降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%，服装、鞋帽、针纺织品类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%，化妆品类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%，金银珠宝类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%，日用品类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%，家用电器和音像器材类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%，中西药品类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52.3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%，文化办公用品类增长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%，家具类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%，石油及制品类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%，汽车类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 w14:paraId="3762D99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cs="Times New Roman"/>
          <w:color w:val="auto"/>
          <w:sz w:val="2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全年外贸进出口总额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6.63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29.2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。当年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实际使用外资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万美元，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92.47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 w14:paraId="259B924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</w:rPr>
      </w:pPr>
      <w:r>
        <w:rPr>
          <w:rFonts w:hint="default" w:ascii="Times New Roman" w:hAnsi="Times New Roman" w:eastAsia="方正黑体_GBK" w:cs="Times New Roman"/>
          <w:sz w:val="36"/>
          <w:szCs w:val="36"/>
        </w:rPr>
        <w:t>六、固定资产投资和房地产业</w:t>
      </w:r>
    </w:p>
    <w:p w14:paraId="04BB5E2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全年固定资产投资比上年增长1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5.4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。按投资构成看，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建安投资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，设备工器具购置下降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41.0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，其他费用投资增长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49.3%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。按三次产业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看，第一产业投资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58.5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第二产业投资增长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第三产业投资增长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 w14:paraId="607D275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年末资质以上房地产企业4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家，房地产开发项目5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个。</w:t>
      </w:r>
    </w:p>
    <w:p w14:paraId="52042C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</w:pP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表3   202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</w:rPr>
        <w:t>年房地产开发和销售主要指标</w:t>
      </w:r>
      <w:r>
        <w:rPr>
          <w:rFonts w:hint="default" w:ascii="Times New Roman" w:hAnsi="Times New Roman" w:eastAsia="黑体" w:cs="Times New Roman"/>
          <w:sz w:val="32"/>
          <w:szCs w:val="28"/>
          <w:highlight w:val="none"/>
          <w:lang w:eastAsia="zh-CN"/>
        </w:rPr>
        <w:t>增速</w:t>
      </w:r>
    </w:p>
    <w:tbl>
      <w:tblPr>
        <w:tblStyle w:val="7"/>
        <w:tblW w:w="747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99"/>
        <w:gridCol w:w="3380"/>
      </w:tblGrid>
      <w:tr w14:paraId="706FD9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4099" w:type="dxa"/>
            <w:vAlign w:val="center"/>
          </w:tcPr>
          <w:p w14:paraId="717F799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指     标</w:t>
            </w:r>
          </w:p>
        </w:tc>
        <w:tc>
          <w:tcPr>
            <w:tcW w:w="3380" w:type="dxa"/>
            <w:vAlign w:val="center"/>
          </w:tcPr>
          <w:p w14:paraId="24C6C2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sz w:val="32"/>
                <w:szCs w:val="28"/>
                <w:highlight w:val="none"/>
              </w:rPr>
              <w:t>同比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±%</w:t>
            </w:r>
          </w:p>
        </w:tc>
      </w:tr>
      <w:tr w14:paraId="125C9D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7907B9C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商品房施工面积</w:t>
            </w:r>
          </w:p>
        </w:tc>
        <w:tc>
          <w:tcPr>
            <w:tcW w:w="3380" w:type="dxa"/>
            <w:vAlign w:val="center"/>
          </w:tcPr>
          <w:p w14:paraId="279056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-20.2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 w14:paraId="33BB1D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1EEFCA3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新开工面积</w:t>
            </w:r>
          </w:p>
        </w:tc>
        <w:tc>
          <w:tcPr>
            <w:tcW w:w="3380" w:type="dxa"/>
            <w:vAlign w:val="center"/>
          </w:tcPr>
          <w:p w14:paraId="19ED8DA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-26.4</w:t>
            </w:r>
          </w:p>
        </w:tc>
      </w:tr>
      <w:tr w14:paraId="2BF6F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50207E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商品房竣工面积</w:t>
            </w:r>
          </w:p>
        </w:tc>
        <w:tc>
          <w:tcPr>
            <w:tcW w:w="3380" w:type="dxa"/>
            <w:vAlign w:val="center"/>
          </w:tcPr>
          <w:p w14:paraId="1E525A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-80.9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 w14:paraId="29F67D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26D5BA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商品房销售面积</w:t>
            </w:r>
          </w:p>
        </w:tc>
        <w:tc>
          <w:tcPr>
            <w:tcW w:w="3380" w:type="dxa"/>
            <w:vAlign w:val="center"/>
          </w:tcPr>
          <w:p w14:paraId="01751D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 w14:paraId="5EAC1B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16C57A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商品房销售额</w:t>
            </w:r>
          </w:p>
        </w:tc>
        <w:tc>
          <w:tcPr>
            <w:tcW w:w="3380" w:type="dxa"/>
            <w:vAlign w:val="center"/>
          </w:tcPr>
          <w:p w14:paraId="76D578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-1.8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  <w:tr w14:paraId="14DE25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4099" w:type="dxa"/>
          </w:tcPr>
          <w:p w14:paraId="703103C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商品房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  <w:lang w:eastAsia="zh-CN"/>
              </w:rPr>
              <w:t>空置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  <w:t>面积</w:t>
            </w:r>
          </w:p>
        </w:tc>
        <w:tc>
          <w:tcPr>
            <w:tcW w:w="3380" w:type="dxa"/>
            <w:vAlign w:val="center"/>
          </w:tcPr>
          <w:p w14:paraId="1DEB77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beforeAutospacing="0" w:afterAutospacing="0" w:line="576" w:lineRule="exact"/>
              <w:jc w:val="right"/>
              <w:textAlignment w:val="center"/>
              <w:rPr>
                <w:rFonts w:hint="default" w:ascii="Times New Roman" w:hAnsi="Times New Roman" w:eastAsia="方正仿宋_GBK" w:cs="Times New Roman"/>
                <w:kern w:val="0"/>
                <w:sz w:val="32"/>
                <w:szCs w:val="28"/>
                <w:highlight w:val="none"/>
              </w:rPr>
            </w:pP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val="en-US" w:eastAsia="zh-CN" w:bidi="ar"/>
              </w:rPr>
              <w:t>40.7</w:t>
            </w:r>
            <w:r>
              <w:rPr>
                <w:rFonts w:hint="default" w:ascii="Times New Roman" w:hAnsi="Times New Roman" w:eastAsia="宋体" w:cs="Times New Roman"/>
                <w:color w:val="000000"/>
                <w:kern w:val="0"/>
                <w:sz w:val="32"/>
                <w:szCs w:val="28"/>
                <w:highlight w:val="none"/>
                <w:lang w:bidi="ar"/>
              </w:rPr>
              <w:t xml:space="preserve"> </w:t>
            </w:r>
          </w:p>
        </w:tc>
      </w:tr>
    </w:tbl>
    <w:p w14:paraId="2C08F39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  <w:lang w:eastAsia="zh-CN"/>
        </w:rPr>
        <w:t>七、</w:t>
      </w:r>
      <w:r>
        <w:rPr>
          <w:rFonts w:hint="default" w:ascii="Times New Roman" w:hAnsi="Times New Roman" w:eastAsia="方正黑体_GBK" w:cs="Times New Roman"/>
          <w:sz w:val="36"/>
          <w:szCs w:val="36"/>
          <w:highlight w:val="none"/>
        </w:rPr>
        <w:t>财政、金融和保险</w:t>
      </w:r>
    </w:p>
    <w:p w14:paraId="2CE264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5B9BD5" w:themeColor="accent1"/>
          <w:sz w:val="32"/>
          <w:szCs w:val="32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highlight w:val="none"/>
        </w:rPr>
        <w:t>綦江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highlight w:val="none"/>
          <w:lang w:eastAsia="zh-CN"/>
        </w:rPr>
        <w:t>区（含万盛经开区）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一般公共预算收入3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5.6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2.9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，其中，税收收入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19.59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%；非税收入1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6.0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亿元，增长</w:t>
      </w:r>
      <w:r>
        <w:rPr>
          <w:rFonts w:hint="eastAsia" w:ascii="Times New Roman" w:hAnsi="Times New Roman" w:eastAsia="方正仿宋_GBK" w:cs="Times New Roman"/>
          <w:snapToGrid w:val="0"/>
          <w:color w:val="auto"/>
          <w:kern w:val="0"/>
          <w:sz w:val="32"/>
          <w:szCs w:val="22"/>
          <w:lang w:val="en-US" w:eastAsia="zh-CN"/>
        </w:rPr>
        <w:t>2.3</w:t>
      </w:r>
      <w:r>
        <w:rPr>
          <w:rFonts w:hint="default" w:ascii="Times New Roman" w:hAnsi="Times New Roman" w:eastAsia="方正仿宋_GBK" w:cs="Times New Roman"/>
          <w:snapToGrid w:val="0"/>
          <w:color w:val="auto"/>
          <w:kern w:val="0"/>
          <w:sz w:val="32"/>
          <w:szCs w:val="22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一般公共预算支出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124.22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其中，一般公共服务支出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.8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%；公共安全支出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4.17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15.0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%；教育支出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%；科学技术支出1.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%；社会保障和就业支出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19.82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卫生健康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11.64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。</w:t>
      </w:r>
    </w:p>
    <w:p w14:paraId="7E4C74C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b/>
          <w:bCs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年末金融机构人民币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存贷款余额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1743.21亿元，增长10.2%，其中，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986.73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贷款余额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756.48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14.3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存贷比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76.7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个百分点。</w:t>
      </w:r>
    </w:p>
    <w:p w14:paraId="0EF0BE3D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保费收入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17.00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17.7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人身险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11.79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18.1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财产险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5.12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16.0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保险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理赔支出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35.2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人身险赔付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4.56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86.2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财产险赔付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3.65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亿元，增长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%。</w:t>
      </w:r>
    </w:p>
    <w:p w14:paraId="3A8E60C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八、城市建设和市政设施</w:t>
      </w:r>
    </w:p>
    <w:p w14:paraId="691F79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年末实有铺装道路面积44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万平方米。供水管道长度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436.76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公里，增长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%。全年供水总量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2638.12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增长6.6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1286.3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1.1%，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用水户数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20.7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气供气量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6623.55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万立方米，增长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其中生活用气3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506.71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万立方米，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气用户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12.09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0.1%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液化气供应量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495.9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0.8%，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其中生活用气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吨，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液化气用户1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400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户，下降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</w:p>
    <w:p w14:paraId="3C7525E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年末累计建成公租房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5893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套，面积3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已配租公租房5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646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套，面积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28.82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万平方米。</w:t>
      </w:r>
    </w:p>
    <w:p w14:paraId="4348ED7C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年末城区市政道路长度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97.9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公里，道路面积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155.2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万平方米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道面积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71.8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万平方米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全区园林绿地面积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1427.79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公顷，比上年增长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其中公园绿地面积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567.01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公顷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人均公园绿地面积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21.53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建成区绿化覆盖率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47.48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城市路灯年末总数250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年末拥有环卫专用车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辆，其中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洒水车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辆，洗扫车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辆。拥有城区公共厕所1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座，其中公园内公共厕所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座。公共垃圾站32座，街镇压缩式垃圾中转站3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座。城市生活垃圾粪便处理量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16.27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万吨，城镇生活垃圾处理率达100%。</w:t>
      </w:r>
    </w:p>
    <w:p w14:paraId="1B17920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九、教育</w:t>
      </w:r>
    </w:p>
    <w:p w14:paraId="33CC1C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73所，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所，普通中学2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所，中等专业学校2所，职业中学2所，大学2所。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幼儿园招生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在园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幼儿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15593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1410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6340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1651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7186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人；普通中学招生12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405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人；中等专业学校招生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1195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3423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497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人；职业中学招生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5616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人，毕业1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328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人；大学招生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10910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人，在校生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28713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，教师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学龄儿童入学率9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小学六年入学率、巩固率、毕业率均达到100%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初中阶段入学率、巩固率、毕业率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分别为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99.99%、100%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高中阶段入学率97.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三残儿童入学率9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9.41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脱盲儿童入学率100%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义务、中职教育生均办学条件标准达标率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</w:t>
      </w:r>
    </w:p>
    <w:p w14:paraId="48F799C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十、文化旅游、卫生健康和体育</w:t>
      </w:r>
    </w:p>
    <w:p w14:paraId="5482C50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5B9BD5" w:themeColor="accent1"/>
          <w:sz w:val="32"/>
          <w:szCs w:val="28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年末拥有文化事业机构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文化馆1个，博物馆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个，图书馆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全年开展各种群众文化活动1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879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场，其中文艺演出7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场。全年电影放映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23235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场，电影放映观众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万人次。开播公共频道电视节目121套，专业频道电视节目11套，高清数字电视节目79套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年末有线电视联网用户在册1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万户，其中开通数字电视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在线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万户，村村通喇叭1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有线广播电视入户率达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99.97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%。全年播出广播电视新闻4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730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其中央视上稿播出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新闻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条，重庆卫视上稿播出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新闻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条。</w:t>
      </w:r>
    </w:p>
    <w:p w14:paraId="75403B63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5B9BD5" w:themeColor="accent1"/>
          <w:sz w:val="32"/>
          <w:szCs w:val="28"/>
          <w:highlight w:val="none"/>
          <w14:textFill>
            <w14:solidFill>
              <w14:schemeClr w14:val="accent1"/>
            </w14:solidFill>
          </w14:textFill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年末已有挂牌四星级旅游（酒）饭店1家，具有三星级以上农家乐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家，星级旅游饭店床位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557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旅行社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家，重庆在綦江设立旅行门市部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家，旅游从业人员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1.90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万人。全年旅游业总收入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78.99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39.8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%。共接待国内外游客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532.08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其中国内游客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1531.97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万人次，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32.1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拥有各种体育场地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5561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体育场（馆）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个，游泳馆（池）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体育人口3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7.11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万人，成功举办运动会或比赛次数1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次。组织参加市级以上比赛获奖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469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项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，其中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金牌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枚，银牌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枚。等级运动员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453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人，等级裁判员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868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 w14:paraId="339554C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年末各类医疗卫生机构5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其中，医院、卫生院4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社区卫生服务中心5个</w:t>
      </w:r>
      <w:bookmarkStart w:id="0" w:name="_GoBack"/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）</w:t>
      </w:r>
      <w:bookmarkEnd w:id="0"/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，妇幼保健院1个，疾病预防控制中心1个，采供血机构1个，卫生健康综合行政执法支队1个，结核病防治所1个，血液透析中心1个，村卫生室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302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个。卫生机构床位数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张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其中医院、卫生院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6652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张。卫生机构实有在职人员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7004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人，执业医师、助理医师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2112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人，注册护士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2684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人。5岁以下儿童死亡率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6.32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‰，孕产妇死亡率0，新生儿死亡率为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2.84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‰，新生儿出生缺陷率为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12.29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‰。</w:t>
      </w:r>
    </w:p>
    <w:p w14:paraId="14E170C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十一、人口和就业</w:t>
      </w:r>
    </w:p>
    <w:p w14:paraId="5E7FDEB6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年末户籍总户数34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4730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户，减少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2024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户籍人口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892701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6696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413669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人，乡村人口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479032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总人口中18岁以下的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131137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人，18至34岁的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178327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人，35至59岁的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342583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人，60岁及以上的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240654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人。当年迁入人口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4627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人，其中省内迁入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3452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人；迁出人口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8163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人，其中迁往省内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6882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人。全年出生人口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4611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人，死亡人口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7771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 w14:paraId="09C6B5F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left"/>
        <w:rPr>
          <w:rFonts w:hint="default" w:ascii="Times New Roman" w:hAnsi="Times New Roman" w:eastAsia="方正仿宋_GBK" w:cs="Times New Roman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出生人口政策符合率99.3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%，出生人口性别比10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6.88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%，人口自然增长率为-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‰。</w:t>
      </w:r>
    </w:p>
    <w:p w14:paraId="7E4E3B77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全年各类就业培训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4924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城镇新增就业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10211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年末登记失业人员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6585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人，登记失业人员本年就业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5244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 w14:paraId="1911AFB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十二、居民收入消费和社会保障</w:t>
      </w:r>
      <w:r>
        <w:rPr>
          <w:rFonts w:hint="default" w:ascii="Times New Roman" w:hAnsi="Times New Roman" w:eastAsia="方正黑体_GBK" w:cs="Times New Roman"/>
          <w:sz w:val="36"/>
          <w:szCs w:val="36"/>
          <w:lang w:val="en-US" w:eastAsia="zh-CN"/>
        </w:rPr>
        <w:t xml:space="preserve">  </w:t>
      </w:r>
    </w:p>
    <w:p w14:paraId="017013A4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highlight w:val="none"/>
        </w:rPr>
        <w:t>根据城乡住户</w:t>
      </w:r>
      <w:r>
        <w:rPr>
          <w:rFonts w:hint="default" w:ascii="Times New Roman" w:hAnsi="Times New Roman" w:eastAsia="方正仿宋_GBK" w:cs="Times New Roman"/>
          <w:sz w:val="32"/>
          <w:highlight w:val="none"/>
          <w:lang w:eastAsia="zh-CN"/>
        </w:rPr>
        <w:t>收支</w:t>
      </w:r>
      <w:r>
        <w:rPr>
          <w:rFonts w:hint="default" w:ascii="Times New Roman" w:hAnsi="Times New Roman" w:eastAsia="方正仿宋_GBK" w:cs="Times New Roman"/>
          <w:sz w:val="32"/>
          <w:highlight w:val="none"/>
        </w:rPr>
        <w:t>一体化调查，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全体居民人均可支配收入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35885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其中，人均工资性收入1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9609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883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均转移净收入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9513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%。全体居民人均生活消费支出2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5142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%。全体居民恩格尔系数3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比上年减少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0.11个百分点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全体居民人均住房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面积4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4.25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平方米。</w:t>
      </w:r>
    </w:p>
    <w:p w14:paraId="03E32571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城镇常住居民人均可支配收入4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2847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人均工资性收入2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5479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997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606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%；人均转移净收入10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765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%。城镇常住居民人均生活消费支出2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9158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城镇常住居民恩格尔系数31.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0.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个百分点。城镇常住居民人均住房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面积3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8.64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平方米，比上年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减少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0.38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平方米。</w:t>
      </w:r>
    </w:p>
    <w:p w14:paraId="32E83070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农村常住居民人均可支配收入2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2060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3.3</w:t>
      </w:r>
      <w:r>
        <w:rPr>
          <w:rFonts w:hint="eastAsia" w:ascii="Times New Roman" w:hAnsi="Times New Roman" w:eastAsia="方正仿宋_GBK" w:cs="Times New Roman"/>
          <w:sz w:val="32"/>
          <w:szCs w:val="28"/>
          <w:highlight w:val="none"/>
          <w:lang w:eastAsia="zh-CN"/>
        </w:rPr>
        <w:t>%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其中，人均工资性收入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7950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%；人均经营净收入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6635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%；人均财产净收入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448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4.7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；人均转移净收入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7027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元，增长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%。农村常住居民人均生活消费支出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17167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元，比上年增长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农村常住居民恩格尔系数34.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%，比上年下降0.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个百分点。农村常住居民人均住房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建筑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面积5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5.41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平方米，比上年增加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3.16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平方米。</w:t>
      </w:r>
    </w:p>
    <w:p w14:paraId="380431CD">
      <w:pPr>
        <w:pStyle w:val="2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</w:p>
    <w:p w14:paraId="1FB47F8C">
      <w:pP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</w:p>
    <w:p w14:paraId="73822300">
      <w:pPr>
        <w:pStyle w:val="2"/>
        <w:rPr>
          <w:rFonts w:hint="default"/>
        </w:rPr>
      </w:pPr>
    </w:p>
    <w:p w14:paraId="588575A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jc w:val="center"/>
        <w:rPr>
          <w:rFonts w:hint="default" w:ascii="Times New Roman" w:hAnsi="Times New Roman" w:eastAsia="黑体" w:cs="Times New Roman"/>
          <w:sz w:val="28"/>
          <w:szCs w:val="28"/>
          <w:highlight w:val="none"/>
        </w:rPr>
      </w:pP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>图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  <w:lang w:val="en-US" w:eastAsia="zh-CN"/>
        </w:rPr>
        <w:t>1</w:t>
      </w:r>
      <w:r>
        <w:rPr>
          <w:rFonts w:hint="default" w:ascii="Times New Roman" w:hAnsi="Times New Roman" w:eastAsia="黑体" w:cs="Times New Roman"/>
          <w:sz w:val="28"/>
          <w:szCs w:val="28"/>
          <w:highlight w:val="none"/>
        </w:rPr>
        <w:t xml:space="preserve">   近五年城镇和农村常住居民人均可支配收入</w:t>
      </w:r>
    </w:p>
    <w:p w14:paraId="6F5F6E5A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299720</wp:posOffset>
            </wp:positionH>
            <wp:positionV relativeFrom="paragraph">
              <wp:posOffset>124460</wp:posOffset>
            </wp:positionV>
            <wp:extent cx="4826000" cy="2743200"/>
            <wp:effectExtent l="4445" t="4445" r="8255" b="14605"/>
            <wp:wrapTopAndBottom/>
            <wp:docPr id="1" name="图表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社会养老保险参保单位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4312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72.85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其中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在职参保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47.25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万人（城镇职工14.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万人、城乡居民3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0.80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1.6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退休2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5.61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万人（城镇职工1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2.26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万人、城乡居民1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2.28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1.06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万人）。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实征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养老保险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19.12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亿元（城镇职工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12.07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亿元、城乡居民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2.02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亿元、机关事业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5.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03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亿元）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，实拨养老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保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险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46.4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亿元（城镇职工3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5.39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亿元、城乡居民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3.04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亿元、机关事业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单位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8.03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亿元）。</w:t>
      </w:r>
    </w:p>
    <w:p w14:paraId="4B2C4CE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基本医疗保险参保人数7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6.2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（城镇职工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14.5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万人、城乡居民61.</w:t>
      </w:r>
      <w:r>
        <w:rPr>
          <w:rFonts w:hint="eastAsia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万人）。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应征医疗保险金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实征医疗保险金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10.42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；应拨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10.21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，实拨医疗保险金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10.21亿元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。</w:t>
      </w:r>
    </w:p>
    <w:p w14:paraId="7E9CA970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失业保险参保单位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3941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7.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征收失业保险金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3515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万元，发放失业保险待遇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12054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万元，惠及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8640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人。</w:t>
      </w:r>
    </w:p>
    <w:p w14:paraId="5EAB72A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工伤保险参保单位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4714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个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参保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职工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12.93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万人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完成征收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eastAsia="zh-CN"/>
        </w:rPr>
        <w:t>保险金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5520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万元，发放工伤保险金9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  <w:lang w:val="en-US" w:eastAsia="zh-CN"/>
        </w:rPr>
        <w:t>677</w:t>
      </w:r>
      <w:r>
        <w:rPr>
          <w:rFonts w:hint="default" w:ascii="Times New Roman" w:hAnsi="Times New Roman" w:eastAsia="方正仿宋_GBK" w:cs="Times New Roman"/>
          <w:sz w:val="32"/>
          <w:szCs w:val="28"/>
          <w:highlight w:val="none"/>
        </w:rPr>
        <w:t>万元。</w:t>
      </w:r>
    </w:p>
    <w:p w14:paraId="054AABD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yellow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全年6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038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人享受城镇最低生活保障，1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3351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人享受农村最低生活保障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低保资金支出12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489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万元，比上年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增加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%。特困供养人员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7060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人，特困供养资金支出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8997.5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万元。城乡低保标准分别提高到7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元/月和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610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元/月，比上年分别增长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2.0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%和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1.7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%。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eastAsia="zh-CN"/>
        </w:rPr>
        <w:t>年末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社会福利收养单位3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个，床位数3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940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张，收养人数1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  <w:lang w:val="en-US" w:eastAsia="zh-CN"/>
        </w:rPr>
        <w:t>362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28"/>
          <w:highlight w:val="none"/>
        </w:rPr>
        <w:t>人。</w:t>
      </w:r>
    </w:p>
    <w:p w14:paraId="2BAD575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jc w:val="center"/>
        <w:textAlignment w:val="auto"/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</w:pPr>
      <w:r>
        <w:rPr>
          <w:rFonts w:hint="default" w:ascii="Times New Roman" w:hAnsi="Times New Roman" w:eastAsia="方正黑体_GBK" w:cs="Times New Roman"/>
          <w:sz w:val="36"/>
          <w:szCs w:val="36"/>
          <w:lang w:eastAsia="zh-CN"/>
        </w:rPr>
        <w:t>十三、资源、环境和应急管理</w:t>
      </w:r>
    </w:p>
    <w:p w14:paraId="7B81B63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年末大中型水库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座，蓄水总量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4514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万立方米。全年平均气温1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摄氏度，最高气温（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42.4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摄氏度，最低气温（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月）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1.3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摄氏度。全年降雨量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1063.6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毫米，无霜期3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  <w:lang w:val="en-US" w:eastAsia="zh-CN"/>
        </w:rPr>
        <w:t>66</w:t>
      </w:r>
      <w:r>
        <w:rPr>
          <w:rFonts w:hint="default" w:ascii="Times New Roman" w:hAnsi="Times New Roman" w:eastAsia="方正仿宋_GBK" w:cs="Times New Roman"/>
          <w:color w:val="auto"/>
          <w:sz w:val="32"/>
          <w:szCs w:val="32"/>
          <w:highlight w:val="none"/>
        </w:rPr>
        <w:t>天。</w:t>
      </w:r>
    </w:p>
    <w:p w14:paraId="299E749B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全年城区环境空气质量二级以上天数3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13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天，达标率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85.52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%。</w:t>
      </w:r>
    </w:p>
    <w:p w14:paraId="73BF9CA6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76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全年工矿商贸企业(含在綦央企和市属企业)发生生产安全事故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人；煤矿企业安全事故0起，死亡0人；</w:t>
      </w:r>
      <w:r>
        <w:rPr>
          <w:rFonts w:hint="eastAsia" w:ascii="Times New Roman" w:hAnsi="Times New Roman" w:eastAsia="方正仿宋_GBK" w:cs="Times New Roman"/>
          <w:sz w:val="32"/>
          <w:szCs w:val="32"/>
          <w:highlight w:val="none"/>
          <w:lang w:eastAsia="zh-CN"/>
        </w:rPr>
        <w:t>发生道路运输事故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起，死亡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</w:rPr>
        <w:t>人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eastAsia="zh-CN"/>
        </w:rPr>
        <w:t>；建筑施工安全事故</w:t>
      </w:r>
      <w:r>
        <w:rPr>
          <w:rFonts w:hint="default" w:ascii="Times New Roman" w:hAnsi="Times New Roman" w:eastAsia="方正仿宋_GBK" w:cs="Times New Roman"/>
          <w:sz w:val="32"/>
          <w:szCs w:val="32"/>
          <w:highlight w:val="none"/>
          <w:lang w:val="en-US" w:eastAsia="zh-CN"/>
        </w:rPr>
        <w:t>2起，死亡2人。</w:t>
      </w:r>
    </w:p>
    <w:p w14:paraId="341BCB8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default" w:ascii="Times New Roman" w:hAnsi="Times New Roman" w:cs="Times New Roman"/>
        </w:rPr>
      </w:pPr>
    </w:p>
    <w:p w14:paraId="3DE7DB60"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line="576" w:lineRule="exact"/>
        <w:textAlignment w:val="auto"/>
        <w:rPr>
          <w:rFonts w:hint="default" w:ascii="Times New Roman" w:hAnsi="Times New Roman" w:eastAsia="方正仿宋_GBK" w:cs="Times New Roman"/>
          <w:b/>
          <w:bCs/>
          <w:szCs w:val="21"/>
        </w:rPr>
      </w:pPr>
    </w:p>
    <w:p w14:paraId="74AC8F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b/>
          <w:bCs/>
          <w:szCs w:val="21"/>
        </w:rPr>
        <w:t>注</w:t>
      </w:r>
      <w:r>
        <w:rPr>
          <w:rFonts w:hint="default" w:ascii="Times New Roman" w:hAnsi="Times New Roman" w:eastAsia="方正仿宋_GBK" w:cs="Times New Roman"/>
          <w:szCs w:val="21"/>
        </w:rPr>
        <w:t>：[1]以上数据七财政、金融和保险数据含万盛经开区，其他数据不含万盛经开区。</w:t>
      </w:r>
    </w:p>
    <w:p w14:paraId="5BB6D16A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default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eastAsia" w:ascii="Times New Roman" w:hAnsi="Times New Roman" w:eastAsia="方正仿宋_GBK" w:cs="Times New Roman"/>
          <w:szCs w:val="21"/>
          <w:lang w:eastAsia="zh-CN"/>
        </w:rPr>
        <w:t>“五、国内贸易和对外开放”中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社会消费品零售总额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增速、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批发业销售额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增速、零售业销售额增速、住宿业营业额增速、餐饮业营业额增速是根据五经普修订后的数据。</w:t>
      </w:r>
    </w:p>
    <w:p w14:paraId="59BC582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Cs w:val="21"/>
        </w:rPr>
        <w:t>]部分数据因四舍五入的原因，存在总计与分项合计不等的情况。</w:t>
      </w:r>
    </w:p>
    <w:p w14:paraId="77C5F239"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[</w:t>
      </w:r>
      <w:r>
        <w:rPr>
          <w:rFonts w:hint="eastAsia" w:ascii="Times New Roman" w:hAnsi="Times New Roman" w:eastAsia="方正仿宋_GBK" w:cs="Times New Roman"/>
          <w:b w:val="0"/>
          <w:bCs/>
          <w:sz w:val="24"/>
          <w:szCs w:val="24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</w:rPr>
        <w:t>]</w:t>
      </w:r>
      <w:r>
        <w:rPr>
          <w:rFonts w:hint="default" w:ascii="Times New Roman" w:hAnsi="Times New Roman" w:eastAsia="方正仿宋_GBK" w:cs="Times New Roman"/>
          <w:b w:val="0"/>
          <w:bCs/>
          <w:sz w:val="24"/>
          <w:szCs w:val="24"/>
          <w:lang w:eastAsia="zh-CN"/>
        </w:rPr>
        <w:t>本公报所列各项数据除统计部门直接统计核算外，其余相关数据由相应部门提供。</w:t>
      </w:r>
    </w:p>
    <w:p w14:paraId="49F9AB08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lang w:val="en-US" w:eastAsia="zh-CN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本公报中</w:t>
      </w:r>
      <w:r>
        <w:rPr>
          <w:rFonts w:hint="default" w:ascii="Times New Roman" w:hAnsi="Times New Roman" w:eastAsia="方正仿宋_GBK" w:cs="Times New Roman"/>
          <w:szCs w:val="21"/>
          <w:lang w:val="en-US" w:eastAsia="zh-CN"/>
        </w:rPr>
        <w:t>2024年数据均为初步统计数，如与后期编辑出版的《綦江统计年鉴-2025》不一致，请以统计年鉴数据为准。</w:t>
      </w:r>
    </w:p>
    <w:p w14:paraId="4D6FD81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szCs w:val="21"/>
        </w:rPr>
        <w:t>]地区生产总值</w:t>
      </w:r>
      <w:r>
        <w:rPr>
          <w:rFonts w:hint="default" w:ascii="Times New Roman" w:hAnsi="Times New Roman" w:eastAsia="方正仿宋_GBK" w:cs="Times New Roman"/>
          <w:szCs w:val="21"/>
          <w:lang w:eastAsia="zh-CN"/>
        </w:rPr>
        <w:t>、</w:t>
      </w:r>
      <w:r>
        <w:rPr>
          <w:rFonts w:hint="default" w:ascii="Times New Roman" w:hAnsi="Times New Roman" w:eastAsia="方正仿宋_GBK" w:cs="Times New Roman"/>
          <w:szCs w:val="21"/>
        </w:rPr>
        <w:t>三次产业及相关行业增加值绝对数按现价计算，增长速度按不变价格计算。</w:t>
      </w:r>
    </w:p>
    <w:p w14:paraId="1367741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textAlignment w:val="auto"/>
        <w:rPr>
          <w:rFonts w:hint="default" w:ascii="Times New Roman" w:hAnsi="Times New Roman" w:eastAsia="方正仿宋_GBK" w:cs="Times New Roman"/>
          <w:szCs w:val="21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7</w:t>
      </w:r>
      <w:r>
        <w:rPr>
          <w:rFonts w:hint="default" w:ascii="Times New Roman" w:hAnsi="Times New Roman" w:eastAsia="方正仿宋_GBK" w:cs="Times New Roman"/>
          <w:szCs w:val="21"/>
        </w:rPr>
        <w:t>]行业统计标准：</w:t>
      </w:r>
    </w:p>
    <w:p w14:paraId="6A5F562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规模以上工业：年主营业务收入2000万元及以上的工业法人单位。</w:t>
      </w:r>
    </w:p>
    <w:p w14:paraId="1584298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有资质的建筑业：有总承包和专业承包资质的建筑业法人单位。</w:t>
      </w:r>
    </w:p>
    <w:p w14:paraId="6BCD9E4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限额以上批发和零售业：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年主营业务收入2000万元及以上的批发业、年主营业务收入500万元及以上的零售业单位。</w:t>
      </w:r>
    </w:p>
    <w:p w14:paraId="1770468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限额以上住宿和餐饮业：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24"/>
          <w:szCs w:val="24"/>
          <w:highlight w:val="none"/>
          <w:shd w:val="clear" w:color="auto" w:fill="FFFFFF"/>
          <w:lang w:val="en-US" w:eastAsia="zh-CN" w:bidi="ar"/>
        </w:rPr>
        <w:t>年主营业务收入200万元及以上的住宿和餐饮业单位。</w:t>
      </w:r>
    </w:p>
    <w:p w14:paraId="4A27203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szCs w:val="21"/>
          <w:highlight w:val="none"/>
        </w:rPr>
      </w:pPr>
      <w:r>
        <w:rPr>
          <w:rFonts w:hint="default" w:ascii="Times New Roman" w:hAnsi="Times New Roman" w:eastAsia="方正仿宋_GBK" w:cs="Times New Roman"/>
          <w:szCs w:val="21"/>
          <w:highlight w:val="none"/>
        </w:rPr>
        <w:t>房地产开发经营业：有开发经营活动的全部房地产开发经营业法人单位。</w:t>
      </w:r>
    </w:p>
    <w:p w14:paraId="4416133F">
      <w:pPr>
        <w:pStyle w:val="3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 w:val="0"/>
        <w:spacing w:beforeAutospacing="0" w:afterAutospacing="0" w:line="576" w:lineRule="exact"/>
        <w:ind w:firstLine="480" w:firstLineChars="200"/>
        <w:jc w:val="both"/>
        <w:textAlignment w:val="auto"/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</w:rPr>
      </w:pPr>
      <w:r>
        <w:rPr>
          <w:rFonts w:hint="default" w:ascii="Times New Roman" w:hAnsi="Times New Roman" w:eastAsia="方正仿宋_GBK" w:cs="Times New Roman"/>
          <w:b w:val="0"/>
          <w:bCs/>
          <w:color w:val="auto"/>
          <w:sz w:val="24"/>
          <w:szCs w:val="24"/>
          <w:highlight w:val="none"/>
        </w:rPr>
        <w:t>规模以上服务业：年营业收入2000万元及以上的服务业法人单位，包括：交通运输、仓储和邮政业，信息传输、软件和信息技术服务业，水利、环境和公共设施管理业，卫生；年营业收入1000万元及以上的服务业法人单位，包括：租赁和商务服务业，科学研究和技术服务业，教育，以及物业管理、房地产中介服务、房地产租赁经营和其他房地产业；年营业收入500万元及以上的服务业法人单位，包括：居民服务、修理和其他服务业，文化、体育和娱乐业，社会工作。</w:t>
      </w:r>
    </w:p>
    <w:p w14:paraId="6BBDD6B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default" w:ascii="Times New Roman" w:hAnsi="Times New Roman" w:eastAsia="方正仿宋_GBK" w:cs="Times New Roman"/>
          <w:sz w:val="24"/>
          <w:szCs w:val="24"/>
        </w:rPr>
      </w:pPr>
      <w:r>
        <w:rPr>
          <w:rFonts w:hint="default" w:ascii="Times New Roman" w:hAnsi="Times New Roman" w:eastAsia="方正仿宋_GBK" w:cs="Times New Roman"/>
          <w:szCs w:val="21"/>
        </w:rPr>
        <w:t>[</w:t>
      </w:r>
      <w:r>
        <w:rPr>
          <w:rFonts w:hint="eastAsia" w:ascii="Times New Roman" w:hAnsi="Times New Roman" w:eastAsia="方正仿宋_GBK" w:cs="Times New Roman"/>
          <w:szCs w:val="21"/>
          <w:lang w:val="en-US" w:eastAsia="zh-CN"/>
        </w:rPr>
        <w:t>8</w:t>
      </w:r>
      <w:r>
        <w:rPr>
          <w:rFonts w:hint="default" w:ascii="Times New Roman" w:hAnsi="Times New Roman" w:eastAsia="方正仿宋_GBK" w:cs="Times New Roman"/>
          <w:szCs w:val="21"/>
        </w:rPr>
        <w:t>]</w:t>
      </w:r>
      <w:r>
        <w:rPr>
          <w:rFonts w:hint="default" w:ascii="Times New Roman" w:hAnsi="Times New Roman" w:eastAsia="方正仿宋_GBK" w:cs="Times New Roman"/>
          <w:sz w:val="24"/>
          <w:szCs w:val="24"/>
          <w:lang w:eastAsia="zh-CN"/>
        </w:rPr>
        <w:t>资</w:t>
      </w:r>
      <w:r>
        <w:rPr>
          <w:rFonts w:hint="default" w:ascii="Times New Roman" w:hAnsi="Times New Roman" w:eastAsia="方正仿宋_GBK" w:cs="Times New Roman"/>
          <w:sz w:val="24"/>
          <w:szCs w:val="24"/>
        </w:rPr>
        <w:t>料来源（以文中数据为序）：</w:t>
      </w:r>
    </w:p>
    <w:p w14:paraId="2D538752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pacing w:before="0" w:beforeAutospacing="0" w:after="0" w:afterAutospacing="0" w:line="576" w:lineRule="exact"/>
        <w:ind w:left="0" w:right="0" w:firstLine="420"/>
        <w:jc w:val="both"/>
        <w:textAlignment w:val="auto"/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val="en-US" w:eastAsia="zh-CN"/>
        </w:rPr>
      </w:pP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本公报中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交通数据来自区交通局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和区公安局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；邮政数据来自中国邮政集团有限公司重庆市綦江区分公司；通信数据来自区经济信息委；进出口数据来自区商务委；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财政数据来自区财政局；金融数据来自人民银行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巴南中心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</w:rPr>
        <w:t>支行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和</w:t>
      </w:r>
      <w:r>
        <w:rPr>
          <w:rFonts w:hint="eastAsia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区国资委</w:t>
      </w:r>
      <w:r>
        <w:rPr>
          <w:rFonts w:hint="default" w:ascii="Times New Roman" w:hAnsi="Times New Roman" w:eastAsia="方正仿宋_GBK" w:cs="Times New Roman"/>
          <w:color w:val="auto"/>
          <w:sz w:val="24"/>
          <w:szCs w:val="24"/>
          <w:highlight w:val="none"/>
          <w:lang w:eastAsia="zh-CN"/>
        </w:rPr>
        <w:t>；保险数据来自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</w:rPr>
        <w:t>中国银行保险监督管理委员会巴南监管分局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；城市建设数据来自区住房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城乡建委</w:t>
      </w:r>
      <w:r>
        <w:rPr>
          <w:rFonts w:hint="default" w:ascii="Times New Roman" w:hAnsi="Times New Roman" w:eastAsia="方正仿宋_GBK" w:cs="Times New Roman"/>
          <w:i w:val="0"/>
          <w:iCs w:val="0"/>
          <w:caps w:val="0"/>
          <w:color w:val="auto"/>
          <w:spacing w:val="0"/>
          <w:sz w:val="24"/>
          <w:szCs w:val="24"/>
          <w:highlight w:val="none"/>
          <w:shd w:val="clear" w:fill="FFFFFF"/>
          <w:lang w:eastAsia="zh-CN"/>
        </w:rPr>
        <w:t>；市政设施数据来自区城管局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；教育数据来自区教委；科技数据来自区科技局；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文化、旅游、体育数据来自区文化旅游委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医疗卫生数据来自区卫生健康委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人口数据来自区公安局和区卫生健康委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社会保障数据来自区人力社保局；医疗保险数据来自区医保局；城乡低保、城乡特困人员救助数据来自区民政局；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水资源数据来自区水利局；气温数据来自气象局；环境数据来自区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生态环境局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森林数据来自区林业局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生产安全事故数据来自区应急局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；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</w:rPr>
        <w:t>其他数据来自区统计局、</w:t>
      </w:r>
      <w:r>
        <w:rPr>
          <w:rFonts w:hint="default" w:ascii="Times New Roman" w:hAnsi="Times New Roman" w:eastAsia="方正仿宋_GBK" w:cs="Times New Roman"/>
          <w:sz w:val="24"/>
          <w:szCs w:val="24"/>
          <w:highlight w:val="none"/>
          <w:lang w:eastAsia="zh-CN"/>
        </w:rPr>
        <w:t>区社会经济调查队</w:t>
      </w:r>
      <w:r>
        <w:rPr>
          <w:rFonts w:hint="eastAsia" w:ascii="Times New Roman" w:hAnsi="Times New Roman" w:eastAsia="方正仿宋_GBK" w:cs="Times New Roman"/>
          <w:sz w:val="24"/>
          <w:szCs w:val="24"/>
          <w:highlight w:val="none"/>
          <w:lang w:eastAsia="zh-CN"/>
        </w:rPr>
        <w:t>。</w:t>
      </w:r>
    </w:p>
    <w:p w14:paraId="3BBFF3F2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76" w:lineRule="exact"/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E36E1C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E02277A">
                          <w:pPr>
                            <w:pStyle w:val="2"/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 w:eastAsiaTheme="minorEastAsia"/>
                              <w:b w:val="0"/>
                              <w:bCs w:val="0"/>
                              <w:sz w:val="24"/>
                              <w:szCs w:val="24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uow4Kz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E02277A">
                    <w:pPr>
                      <w:pStyle w:val="2"/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</w:pP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 w:eastAsiaTheme="minorEastAsia"/>
                        <w:b w:val="0"/>
                        <w:bCs w:val="0"/>
                        <w:sz w:val="24"/>
                        <w:szCs w:val="24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czZjU2M2YzZDBkZWVlMDA5OGMxNTVkNmM3OGY1ZmIifQ=="/>
  </w:docVars>
  <w:rsids>
    <w:rsidRoot w:val="008D41E9"/>
    <w:rsid w:val="00000609"/>
    <w:rsid w:val="00000ABC"/>
    <w:rsid w:val="00002CBC"/>
    <w:rsid w:val="000033E9"/>
    <w:rsid w:val="00005006"/>
    <w:rsid w:val="00010BD9"/>
    <w:rsid w:val="00011305"/>
    <w:rsid w:val="00011DE5"/>
    <w:rsid w:val="00023488"/>
    <w:rsid w:val="000355FD"/>
    <w:rsid w:val="00036D44"/>
    <w:rsid w:val="00044EF2"/>
    <w:rsid w:val="00054693"/>
    <w:rsid w:val="00056EA1"/>
    <w:rsid w:val="00056FF2"/>
    <w:rsid w:val="00062E44"/>
    <w:rsid w:val="00065017"/>
    <w:rsid w:val="000673CD"/>
    <w:rsid w:val="00073405"/>
    <w:rsid w:val="00074049"/>
    <w:rsid w:val="0007564E"/>
    <w:rsid w:val="000808D4"/>
    <w:rsid w:val="000936EA"/>
    <w:rsid w:val="00096E80"/>
    <w:rsid w:val="000A0D59"/>
    <w:rsid w:val="000A0E7D"/>
    <w:rsid w:val="000A679B"/>
    <w:rsid w:val="000A7094"/>
    <w:rsid w:val="000B3488"/>
    <w:rsid w:val="000B71CF"/>
    <w:rsid w:val="000C5FE5"/>
    <w:rsid w:val="000D2D2B"/>
    <w:rsid w:val="000E0A46"/>
    <w:rsid w:val="000E39BA"/>
    <w:rsid w:val="000E3EE8"/>
    <w:rsid w:val="000E481A"/>
    <w:rsid w:val="000E4EA6"/>
    <w:rsid w:val="000E539A"/>
    <w:rsid w:val="00103FF5"/>
    <w:rsid w:val="001068F0"/>
    <w:rsid w:val="00114FFD"/>
    <w:rsid w:val="00116351"/>
    <w:rsid w:val="00123B61"/>
    <w:rsid w:val="001276D7"/>
    <w:rsid w:val="00152187"/>
    <w:rsid w:val="00155028"/>
    <w:rsid w:val="00156D6A"/>
    <w:rsid w:val="0016141B"/>
    <w:rsid w:val="00164A99"/>
    <w:rsid w:val="00165556"/>
    <w:rsid w:val="001663D7"/>
    <w:rsid w:val="00170E58"/>
    <w:rsid w:val="0017646E"/>
    <w:rsid w:val="00185CDF"/>
    <w:rsid w:val="00187EFD"/>
    <w:rsid w:val="0019554C"/>
    <w:rsid w:val="001A4A53"/>
    <w:rsid w:val="001A5086"/>
    <w:rsid w:val="001A5630"/>
    <w:rsid w:val="001B215B"/>
    <w:rsid w:val="001B6E12"/>
    <w:rsid w:val="001D79D5"/>
    <w:rsid w:val="001F1A1B"/>
    <w:rsid w:val="002125CE"/>
    <w:rsid w:val="002230C9"/>
    <w:rsid w:val="00224494"/>
    <w:rsid w:val="002273F9"/>
    <w:rsid w:val="002347A7"/>
    <w:rsid w:val="002348C9"/>
    <w:rsid w:val="00236B3E"/>
    <w:rsid w:val="00237404"/>
    <w:rsid w:val="00240FBF"/>
    <w:rsid w:val="0026523F"/>
    <w:rsid w:val="002725FD"/>
    <w:rsid w:val="0027346C"/>
    <w:rsid w:val="002811C2"/>
    <w:rsid w:val="00282FC1"/>
    <w:rsid w:val="002860DE"/>
    <w:rsid w:val="00293904"/>
    <w:rsid w:val="002962F1"/>
    <w:rsid w:val="00296406"/>
    <w:rsid w:val="002A36C4"/>
    <w:rsid w:val="002A6468"/>
    <w:rsid w:val="002A6F98"/>
    <w:rsid w:val="002A7CC8"/>
    <w:rsid w:val="002B04C0"/>
    <w:rsid w:val="002B20C0"/>
    <w:rsid w:val="002B7B98"/>
    <w:rsid w:val="002C211F"/>
    <w:rsid w:val="002D31A4"/>
    <w:rsid w:val="002D39BD"/>
    <w:rsid w:val="002D7343"/>
    <w:rsid w:val="002E189F"/>
    <w:rsid w:val="002E4BA3"/>
    <w:rsid w:val="002E4F2E"/>
    <w:rsid w:val="002F5469"/>
    <w:rsid w:val="002F57D5"/>
    <w:rsid w:val="003019D1"/>
    <w:rsid w:val="00305FC2"/>
    <w:rsid w:val="003121C7"/>
    <w:rsid w:val="00313991"/>
    <w:rsid w:val="00320126"/>
    <w:rsid w:val="0032085C"/>
    <w:rsid w:val="0032295B"/>
    <w:rsid w:val="00325DF6"/>
    <w:rsid w:val="00332E8B"/>
    <w:rsid w:val="00334758"/>
    <w:rsid w:val="00335493"/>
    <w:rsid w:val="003379B6"/>
    <w:rsid w:val="00341EC2"/>
    <w:rsid w:val="003438E5"/>
    <w:rsid w:val="00344557"/>
    <w:rsid w:val="0035295A"/>
    <w:rsid w:val="00354551"/>
    <w:rsid w:val="0035580B"/>
    <w:rsid w:val="00360795"/>
    <w:rsid w:val="003661C1"/>
    <w:rsid w:val="00374168"/>
    <w:rsid w:val="00374B39"/>
    <w:rsid w:val="00376472"/>
    <w:rsid w:val="00376ACC"/>
    <w:rsid w:val="00377964"/>
    <w:rsid w:val="00380CC3"/>
    <w:rsid w:val="00387AD9"/>
    <w:rsid w:val="00387C69"/>
    <w:rsid w:val="00391CB1"/>
    <w:rsid w:val="003A00FB"/>
    <w:rsid w:val="003B3403"/>
    <w:rsid w:val="003C5755"/>
    <w:rsid w:val="003C76FF"/>
    <w:rsid w:val="003D10CA"/>
    <w:rsid w:val="003D35B1"/>
    <w:rsid w:val="003D7E28"/>
    <w:rsid w:val="003F0432"/>
    <w:rsid w:val="003F2619"/>
    <w:rsid w:val="003F7E80"/>
    <w:rsid w:val="00421219"/>
    <w:rsid w:val="004247D1"/>
    <w:rsid w:val="00430C3A"/>
    <w:rsid w:val="00443D19"/>
    <w:rsid w:val="00454F20"/>
    <w:rsid w:val="004555EE"/>
    <w:rsid w:val="00456728"/>
    <w:rsid w:val="00456B2C"/>
    <w:rsid w:val="00474DCB"/>
    <w:rsid w:val="00481595"/>
    <w:rsid w:val="00495474"/>
    <w:rsid w:val="004B229D"/>
    <w:rsid w:val="004B309A"/>
    <w:rsid w:val="004B79A4"/>
    <w:rsid w:val="004D1CF5"/>
    <w:rsid w:val="004D30A8"/>
    <w:rsid w:val="004E68B0"/>
    <w:rsid w:val="00503550"/>
    <w:rsid w:val="00506E94"/>
    <w:rsid w:val="0050764C"/>
    <w:rsid w:val="0052318B"/>
    <w:rsid w:val="0053329F"/>
    <w:rsid w:val="00536FEA"/>
    <w:rsid w:val="00543429"/>
    <w:rsid w:val="00544CB8"/>
    <w:rsid w:val="00555ED9"/>
    <w:rsid w:val="00565934"/>
    <w:rsid w:val="00570592"/>
    <w:rsid w:val="0057677E"/>
    <w:rsid w:val="005803CD"/>
    <w:rsid w:val="0058083E"/>
    <w:rsid w:val="005825C7"/>
    <w:rsid w:val="005844AE"/>
    <w:rsid w:val="00590D67"/>
    <w:rsid w:val="005931F7"/>
    <w:rsid w:val="005955CA"/>
    <w:rsid w:val="00597CB7"/>
    <w:rsid w:val="005C428E"/>
    <w:rsid w:val="005C6E26"/>
    <w:rsid w:val="005E0D2C"/>
    <w:rsid w:val="005E4DCC"/>
    <w:rsid w:val="00603EC1"/>
    <w:rsid w:val="00611917"/>
    <w:rsid w:val="00612E78"/>
    <w:rsid w:val="006168EE"/>
    <w:rsid w:val="0062196C"/>
    <w:rsid w:val="0062293B"/>
    <w:rsid w:val="006235B0"/>
    <w:rsid w:val="006263AF"/>
    <w:rsid w:val="00632AE8"/>
    <w:rsid w:val="006376BD"/>
    <w:rsid w:val="0064241E"/>
    <w:rsid w:val="00652C2D"/>
    <w:rsid w:val="00653A30"/>
    <w:rsid w:val="006550A0"/>
    <w:rsid w:val="00655F46"/>
    <w:rsid w:val="00665EF9"/>
    <w:rsid w:val="00680A52"/>
    <w:rsid w:val="0068200B"/>
    <w:rsid w:val="00682FD0"/>
    <w:rsid w:val="006870E1"/>
    <w:rsid w:val="00697A7F"/>
    <w:rsid w:val="006A1A6C"/>
    <w:rsid w:val="006A2577"/>
    <w:rsid w:val="006A2812"/>
    <w:rsid w:val="006C0548"/>
    <w:rsid w:val="006C076B"/>
    <w:rsid w:val="006D33CA"/>
    <w:rsid w:val="006D7F2F"/>
    <w:rsid w:val="00702EBB"/>
    <w:rsid w:val="007073E6"/>
    <w:rsid w:val="007120EE"/>
    <w:rsid w:val="00713ACC"/>
    <w:rsid w:val="007151A9"/>
    <w:rsid w:val="00723BAE"/>
    <w:rsid w:val="00724EAF"/>
    <w:rsid w:val="00752284"/>
    <w:rsid w:val="00754205"/>
    <w:rsid w:val="007545D1"/>
    <w:rsid w:val="0075538F"/>
    <w:rsid w:val="007578AA"/>
    <w:rsid w:val="007621A1"/>
    <w:rsid w:val="00763BFD"/>
    <w:rsid w:val="007659AB"/>
    <w:rsid w:val="0077320D"/>
    <w:rsid w:val="00773647"/>
    <w:rsid w:val="007815F6"/>
    <w:rsid w:val="007863AA"/>
    <w:rsid w:val="00790A75"/>
    <w:rsid w:val="00791D25"/>
    <w:rsid w:val="0079669C"/>
    <w:rsid w:val="007A7148"/>
    <w:rsid w:val="007B1C46"/>
    <w:rsid w:val="007B50D1"/>
    <w:rsid w:val="007B5E1D"/>
    <w:rsid w:val="007B7912"/>
    <w:rsid w:val="007C1794"/>
    <w:rsid w:val="007D0222"/>
    <w:rsid w:val="007D0264"/>
    <w:rsid w:val="007D058A"/>
    <w:rsid w:val="007D09E5"/>
    <w:rsid w:val="007D3650"/>
    <w:rsid w:val="007D3C4A"/>
    <w:rsid w:val="007D5482"/>
    <w:rsid w:val="007D6C96"/>
    <w:rsid w:val="007E1976"/>
    <w:rsid w:val="007E30B1"/>
    <w:rsid w:val="007E37CB"/>
    <w:rsid w:val="0081275A"/>
    <w:rsid w:val="00814F79"/>
    <w:rsid w:val="00816BD2"/>
    <w:rsid w:val="00822888"/>
    <w:rsid w:val="008339BF"/>
    <w:rsid w:val="00833A64"/>
    <w:rsid w:val="008343B7"/>
    <w:rsid w:val="00847660"/>
    <w:rsid w:val="00863110"/>
    <w:rsid w:val="00864B0A"/>
    <w:rsid w:val="00865BC7"/>
    <w:rsid w:val="00883A97"/>
    <w:rsid w:val="008909C5"/>
    <w:rsid w:val="00891C63"/>
    <w:rsid w:val="00895A96"/>
    <w:rsid w:val="00896517"/>
    <w:rsid w:val="008A469A"/>
    <w:rsid w:val="008B063E"/>
    <w:rsid w:val="008B3D55"/>
    <w:rsid w:val="008B5C24"/>
    <w:rsid w:val="008C16BC"/>
    <w:rsid w:val="008C7C02"/>
    <w:rsid w:val="008D41E9"/>
    <w:rsid w:val="008D4AFE"/>
    <w:rsid w:val="008D76A5"/>
    <w:rsid w:val="008E2496"/>
    <w:rsid w:val="008F6FFD"/>
    <w:rsid w:val="009017F4"/>
    <w:rsid w:val="00904374"/>
    <w:rsid w:val="00914F65"/>
    <w:rsid w:val="009203A8"/>
    <w:rsid w:val="00926C52"/>
    <w:rsid w:val="00936A4E"/>
    <w:rsid w:val="009437AE"/>
    <w:rsid w:val="00950782"/>
    <w:rsid w:val="009645E2"/>
    <w:rsid w:val="00975C28"/>
    <w:rsid w:val="00976273"/>
    <w:rsid w:val="00976FCE"/>
    <w:rsid w:val="009842A5"/>
    <w:rsid w:val="009845E6"/>
    <w:rsid w:val="00986298"/>
    <w:rsid w:val="00992A17"/>
    <w:rsid w:val="009A5577"/>
    <w:rsid w:val="009A5950"/>
    <w:rsid w:val="009B10A7"/>
    <w:rsid w:val="009B313D"/>
    <w:rsid w:val="009C3874"/>
    <w:rsid w:val="009C4BD4"/>
    <w:rsid w:val="009C504D"/>
    <w:rsid w:val="009C6BF3"/>
    <w:rsid w:val="009C6BF9"/>
    <w:rsid w:val="009D33D2"/>
    <w:rsid w:val="009D6C9A"/>
    <w:rsid w:val="009D74D6"/>
    <w:rsid w:val="009E1EEC"/>
    <w:rsid w:val="009F2156"/>
    <w:rsid w:val="00A14A48"/>
    <w:rsid w:val="00A16304"/>
    <w:rsid w:val="00A22EFE"/>
    <w:rsid w:val="00A2464B"/>
    <w:rsid w:val="00A25686"/>
    <w:rsid w:val="00A30DD3"/>
    <w:rsid w:val="00A33B34"/>
    <w:rsid w:val="00A3467B"/>
    <w:rsid w:val="00A37C4F"/>
    <w:rsid w:val="00A37DC8"/>
    <w:rsid w:val="00A40ABF"/>
    <w:rsid w:val="00A4576F"/>
    <w:rsid w:val="00A50AA9"/>
    <w:rsid w:val="00A53BBB"/>
    <w:rsid w:val="00A5671D"/>
    <w:rsid w:val="00A60611"/>
    <w:rsid w:val="00A65540"/>
    <w:rsid w:val="00A71512"/>
    <w:rsid w:val="00A7283B"/>
    <w:rsid w:val="00A72DAF"/>
    <w:rsid w:val="00A7436A"/>
    <w:rsid w:val="00A75832"/>
    <w:rsid w:val="00A81C22"/>
    <w:rsid w:val="00A95909"/>
    <w:rsid w:val="00AA43DB"/>
    <w:rsid w:val="00AA65BE"/>
    <w:rsid w:val="00AA6CA1"/>
    <w:rsid w:val="00AB3A6C"/>
    <w:rsid w:val="00AC1306"/>
    <w:rsid w:val="00AD1211"/>
    <w:rsid w:val="00AE5147"/>
    <w:rsid w:val="00AE5A2F"/>
    <w:rsid w:val="00AF4C52"/>
    <w:rsid w:val="00B04969"/>
    <w:rsid w:val="00B114A7"/>
    <w:rsid w:val="00B165BB"/>
    <w:rsid w:val="00B23946"/>
    <w:rsid w:val="00B24FBD"/>
    <w:rsid w:val="00B27317"/>
    <w:rsid w:val="00B31824"/>
    <w:rsid w:val="00B36868"/>
    <w:rsid w:val="00B407C8"/>
    <w:rsid w:val="00B42A00"/>
    <w:rsid w:val="00B462C9"/>
    <w:rsid w:val="00B52149"/>
    <w:rsid w:val="00B554C8"/>
    <w:rsid w:val="00B57489"/>
    <w:rsid w:val="00B65FF2"/>
    <w:rsid w:val="00B666E3"/>
    <w:rsid w:val="00B77214"/>
    <w:rsid w:val="00B83F14"/>
    <w:rsid w:val="00B8708A"/>
    <w:rsid w:val="00BA2391"/>
    <w:rsid w:val="00BA34BB"/>
    <w:rsid w:val="00BA5233"/>
    <w:rsid w:val="00BA7B32"/>
    <w:rsid w:val="00BB63CA"/>
    <w:rsid w:val="00BB7981"/>
    <w:rsid w:val="00BC1734"/>
    <w:rsid w:val="00BC19D0"/>
    <w:rsid w:val="00BE4657"/>
    <w:rsid w:val="00BF284F"/>
    <w:rsid w:val="00C1284B"/>
    <w:rsid w:val="00C2302C"/>
    <w:rsid w:val="00C25FF2"/>
    <w:rsid w:val="00C304D8"/>
    <w:rsid w:val="00C30740"/>
    <w:rsid w:val="00C41FED"/>
    <w:rsid w:val="00C43CBA"/>
    <w:rsid w:val="00C50035"/>
    <w:rsid w:val="00C51FA8"/>
    <w:rsid w:val="00C542E7"/>
    <w:rsid w:val="00C56EB6"/>
    <w:rsid w:val="00C743C3"/>
    <w:rsid w:val="00C74E59"/>
    <w:rsid w:val="00C75827"/>
    <w:rsid w:val="00C7628A"/>
    <w:rsid w:val="00C909BD"/>
    <w:rsid w:val="00CA5E67"/>
    <w:rsid w:val="00CA613C"/>
    <w:rsid w:val="00CA7A11"/>
    <w:rsid w:val="00CB4955"/>
    <w:rsid w:val="00CB64EE"/>
    <w:rsid w:val="00CC481F"/>
    <w:rsid w:val="00CC560C"/>
    <w:rsid w:val="00CE3467"/>
    <w:rsid w:val="00CF0322"/>
    <w:rsid w:val="00CF1F55"/>
    <w:rsid w:val="00CF38CC"/>
    <w:rsid w:val="00D00C35"/>
    <w:rsid w:val="00D01AB4"/>
    <w:rsid w:val="00D0446D"/>
    <w:rsid w:val="00D260E6"/>
    <w:rsid w:val="00D27D2E"/>
    <w:rsid w:val="00D30343"/>
    <w:rsid w:val="00D36FC5"/>
    <w:rsid w:val="00D442CF"/>
    <w:rsid w:val="00D51645"/>
    <w:rsid w:val="00D53DE2"/>
    <w:rsid w:val="00D55D3B"/>
    <w:rsid w:val="00D629ED"/>
    <w:rsid w:val="00D661F4"/>
    <w:rsid w:val="00D72F4E"/>
    <w:rsid w:val="00D73B94"/>
    <w:rsid w:val="00D74EB4"/>
    <w:rsid w:val="00D7589F"/>
    <w:rsid w:val="00D76936"/>
    <w:rsid w:val="00D769A0"/>
    <w:rsid w:val="00D77EEC"/>
    <w:rsid w:val="00D8592B"/>
    <w:rsid w:val="00D941E1"/>
    <w:rsid w:val="00D97127"/>
    <w:rsid w:val="00DA5B44"/>
    <w:rsid w:val="00DC042A"/>
    <w:rsid w:val="00DC74D9"/>
    <w:rsid w:val="00DD0CCB"/>
    <w:rsid w:val="00DD10EF"/>
    <w:rsid w:val="00DE548E"/>
    <w:rsid w:val="00E035EB"/>
    <w:rsid w:val="00E145F4"/>
    <w:rsid w:val="00E15B6D"/>
    <w:rsid w:val="00E16AA2"/>
    <w:rsid w:val="00E16DA6"/>
    <w:rsid w:val="00E233AB"/>
    <w:rsid w:val="00E26196"/>
    <w:rsid w:val="00E26CD8"/>
    <w:rsid w:val="00E27E51"/>
    <w:rsid w:val="00E30FAC"/>
    <w:rsid w:val="00E318B1"/>
    <w:rsid w:val="00E31CC5"/>
    <w:rsid w:val="00E360D9"/>
    <w:rsid w:val="00E43040"/>
    <w:rsid w:val="00E53BA0"/>
    <w:rsid w:val="00E55D3B"/>
    <w:rsid w:val="00E5723B"/>
    <w:rsid w:val="00E736B5"/>
    <w:rsid w:val="00E76DA6"/>
    <w:rsid w:val="00E77D94"/>
    <w:rsid w:val="00E83925"/>
    <w:rsid w:val="00E84BA6"/>
    <w:rsid w:val="00E92E9E"/>
    <w:rsid w:val="00E96D0A"/>
    <w:rsid w:val="00EA1636"/>
    <w:rsid w:val="00EA1B66"/>
    <w:rsid w:val="00EA5CD0"/>
    <w:rsid w:val="00EB2099"/>
    <w:rsid w:val="00EB2584"/>
    <w:rsid w:val="00EB3121"/>
    <w:rsid w:val="00EB38EB"/>
    <w:rsid w:val="00EB6E8B"/>
    <w:rsid w:val="00EC510F"/>
    <w:rsid w:val="00EC5D9E"/>
    <w:rsid w:val="00ED3ECC"/>
    <w:rsid w:val="00ED7189"/>
    <w:rsid w:val="00F01ABE"/>
    <w:rsid w:val="00F03A6F"/>
    <w:rsid w:val="00F157B7"/>
    <w:rsid w:val="00F2257E"/>
    <w:rsid w:val="00F22C6A"/>
    <w:rsid w:val="00F32841"/>
    <w:rsid w:val="00F34420"/>
    <w:rsid w:val="00F41994"/>
    <w:rsid w:val="00F443E6"/>
    <w:rsid w:val="00F53971"/>
    <w:rsid w:val="00F66AE7"/>
    <w:rsid w:val="00F75C4E"/>
    <w:rsid w:val="00F774D2"/>
    <w:rsid w:val="00F81198"/>
    <w:rsid w:val="00F82008"/>
    <w:rsid w:val="00F857EF"/>
    <w:rsid w:val="00F9432B"/>
    <w:rsid w:val="00F94FB3"/>
    <w:rsid w:val="00FA6AF7"/>
    <w:rsid w:val="00FB1B38"/>
    <w:rsid w:val="00FB4834"/>
    <w:rsid w:val="00FB7495"/>
    <w:rsid w:val="00FC2801"/>
    <w:rsid w:val="00FC4EF8"/>
    <w:rsid w:val="00FC5081"/>
    <w:rsid w:val="00FC6C9E"/>
    <w:rsid w:val="00FD5A38"/>
    <w:rsid w:val="00FE044B"/>
    <w:rsid w:val="00FE0E13"/>
    <w:rsid w:val="00FE5059"/>
    <w:rsid w:val="00FF3861"/>
    <w:rsid w:val="00FF3B65"/>
    <w:rsid w:val="00FF4294"/>
    <w:rsid w:val="00FF62E4"/>
    <w:rsid w:val="00FF765C"/>
    <w:rsid w:val="010B0AA2"/>
    <w:rsid w:val="012B61B1"/>
    <w:rsid w:val="012D39BD"/>
    <w:rsid w:val="014B5A6A"/>
    <w:rsid w:val="01657C13"/>
    <w:rsid w:val="01CE57B8"/>
    <w:rsid w:val="020829AF"/>
    <w:rsid w:val="021F6013"/>
    <w:rsid w:val="02594F3F"/>
    <w:rsid w:val="03010466"/>
    <w:rsid w:val="03205FDB"/>
    <w:rsid w:val="0333397C"/>
    <w:rsid w:val="03351867"/>
    <w:rsid w:val="035241C7"/>
    <w:rsid w:val="036A0E72"/>
    <w:rsid w:val="03793528"/>
    <w:rsid w:val="03B730D1"/>
    <w:rsid w:val="043A7135"/>
    <w:rsid w:val="0472769F"/>
    <w:rsid w:val="04E723E0"/>
    <w:rsid w:val="0543421B"/>
    <w:rsid w:val="055350E8"/>
    <w:rsid w:val="05812B41"/>
    <w:rsid w:val="05B20F4D"/>
    <w:rsid w:val="064047AA"/>
    <w:rsid w:val="067D77AC"/>
    <w:rsid w:val="06B807E5"/>
    <w:rsid w:val="06C76C7A"/>
    <w:rsid w:val="06F61486"/>
    <w:rsid w:val="07023F74"/>
    <w:rsid w:val="07177C01"/>
    <w:rsid w:val="071F2612"/>
    <w:rsid w:val="07256D45"/>
    <w:rsid w:val="0793532D"/>
    <w:rsid w:val="07BE007D"/>
    <w:rsid w:val="07C87C3B"/>
    <w:rsid w:val="083228E6"/>
    <w:rsid w:val="08407215"/>
    <w:rsid w:val="086B2743"/>
    <w:rsid w:val="08946088"/>
    <w:rsid w:val="08C57079"/>
    <w:rsid w:val="092C7268"/>
    <w:rsid w:val="09312B2E"/>
    <w:rsid w:val="09734E97"/>
    <w:rsid w:val="0A154728"/>
    <w:rsid w:val="0A7F0D34"/>
    <w:rsid w:val="0AAA48E8"/>
    <w:rsid w:val="0AAD010A"/>
    <w:rsid w:val="0ACC485F"/>
    <w:rsid w:val="0ADB7197"/>
    <w:rsid w:val="0B3F7726"/>
    <w:rsid w:val="0B7F7B23"/>
    <w:rsid w:val="0B9A65DD"/>
    <w:rsid w:val="0BD16A8C"/>
    <w:rsid w:val="0C136521"/>
    <w:rsid w:val="0CAA6B75"/>
    <w:rsid w:val="0D42705A"/>
    <w:rsid w:val="0D796E2B"/>
    <w:rsid w:val="0D86163D"/>
    <w:rsid w:val="0DCB1672"/>
    <w:rsid w:val="0E552DBD"/>
    <w:rsid w:val="0E6D6359"/>
    <w:rsid w:val="0E7E366C"/>
    <w:rsid w:val="0E8F2773"/>
    <w:rsid w:val="0E947D89"/>
    <w:rsid w:val="0EBE0962"/>
    <w:rsid w:val="0ED62150"/>
    <w:rsid w:val="0F39623B"/>
    <w:rsid w:val="0F3E448E"/>
    <w:rsid w:val="0F9B0CA3"/>
    <w:rsid w:val="0FB96D88"/>
    <w:rsid w:val="0FBC1DCD"/>
    <w:rsid w:val="100A5EF4"/>
    <w:rsid w:val="10263C15"/>
    <w:rsid w:val="103402B9"/>
    <w:rsid w:val="104A2BCE"/>
    <w:rsid w:val="106966E2"/>
    <w:rsid w:val="10920C49"/>
    <w:rsid w:val="10BA3678"/>
    <w:rsid w:val="10DF3468"/>
    <w:rsid w:val="119A56B6"/>
    <w:rsid w:val="11EB6DA4"/>
    <w:rsid w:val="11F12DFD"/>
    <w:rsid w:val="121216F1"/>
    <w:rsid w:val="12232209"/>
    <w:rsid w:val="125C7F72"/>
    <w:rsid w:val="12FB2185"/>
    <w:rsid w:val="132E4338"/>
    <w:rsid w:val="134B726E"/>
    <w:rsid w:val="1351678A"/>
    <w:rsid w:val="135F6376"/>
    <w:rsid w:val="13633B1B"/>
    <w:rsid w:val="1367781A"/>
    <w:rsid w:val="136F1BF7"/>
    <w:rsid w:val="13854D45"/>
    <w:rsid w:val="13897791"/>
    <w:rsid w:val="13BA0895"/>
    <w:rsid w:val="13C62793"/>
    <w:rsid w:val="142B4CEC"/>
    <w:rsid w:val="14524026"/>
    <w:rsid w:val="14ED662C"/>
    <w:rsid w:val="1504525C"/>
    <w:rsid w:val="154A7752"/>
    <w:rsid w:val="15610299"/>
    <w:rsid w:val="157B75AD"/>
    <w:rsid w:val="15E338E5"/>
    <w:rsid w:val="16182CA7"/>
    <w:rsid w:val="161B7A15"/>
    <w:rsid w:val="162157D8"/>
    <w:rsid w:val="16493CC3"/>
    <w:rsid w:val="16640041"/>
    <w:rsid w:val="166A38C9"/>
    <w:rsid w:val="166B7621"/>
    <w:rsid w:val="16D4569A"/>
    <w:rsid w:val="16FC471D"/>
    <w:rsid w:val="179356B0"/>
    <w:rsid w:val="17F453F5"/>
    <w:rsid w:val="180440DF"/>
    <w:rsid w:val="180477AA"/>
    <w:rsid w:val="182B4F64"/>
    <w:rsid w:val="1837038F"/>
    <w:rsid w:val="187F3411"/>
    <w:rsid w:val="18AE7C99"/>
    <w:rsid w:val="18B30EF0"/>
    <w:rsid w:val="18B43089"/>
    <w:rsid w:val="18BC5F12"/>
    <w:rsid w:val="18C268C5"/>
    <w:rsid w:val="18DF1843"/>
    <w:rsid w:val="18F90F15"/>
    <w:rsid w:val="19725CF8"/>
    <w:rsid w:val="19851D64"/>
    <w:rsid w:val="19EA4143"/>
    <w:rsid w:val="1A622AE9"/>
    <w:rsid w:val="1AC22BDD"/>
    <w:rsid w:val="1AEB4D0D"/>
    <w:rsid w:val="1B157B5C"/>
    <w:rsid w:val="1B334486"/>
    <w:rsid w:val="1B8C20A0"/>
    <w:rsid w:val="1B9969DF"/>
    <w:rsid w:val="1BF71070"/>
    <w:rsid w:val="1BFB31F6"/>
    <w:rsid w:val="1C1D10C6"/>
    <w:rsid w:val="1C2C7853"/>
    <w:rsid w:val="1C4A1A87"/>
    <w:rsid w:val="1C9F78B3"/>
    <w:rsid w:val="1CA05B4B"/>
    <w:rsid w:val="1D102CD1"/>
    <w:rsid w:val="1D4806BC"/>
    <w:rsid w:val="1D6848BB"/>
    <w:rsid w:val="1D8D2292"/>
    <w:rsid w:val="1DA5166B"/>
    <w:rsid w:val="1DBC0763"/>
    <w:rsid w:val="1E075E82"/>
    <w:rsid w:val="1E7620C0"/>
    <w:rsid w:val="1E796654"/>
    <w:rsid w:val="1E7B5ED7"/>
    <w:rsid w:val="1E875215"/>
    <w:rsid w:val="1E90231B"/>
    <w:rsid w:val="1EE00481"/>
    <w:rsid w:val="1F57306A"/>
    <w:rsid w:val="1F5A0233"/>
    <w:rsid w:val="1F6D633E"/>
    <w:rsid w:val="1FAC6571"/>
    <w:rsid w:val="1FC66798"/>
    <w:rsid w:val="1FEA0867"/>
    <w:rsid w:val="2015021A"/>
    <w:rsid w:val="20174376"/>
    <w:rsid w:val="20611216"/>
    <w:rsid w:val="20646970"/>
    <w:rsid w:val="20947F4A"/>
    <w:rsid w:val="20B10159"/>
    <w:rsid w:val="20EE4C30"/>
    <w:rsid w:val="21246D4B"/>
    <w:rsid w:val="21333432"/>
    <w:rsid w:val="21480718"/>
    <w:rsid w:val="21DE339D"/>
    <w:rsid w:val="21F726B1"/>
    <w:rsid w:val="22066450"/>
    <w:rsid w:val="22495B04"/>
    <w:rsid w:val="22851A6B"/>
    <w:rsid w:val="229F1790"/>
    <w:rsid w:val="22B211CF"/>
    <w:rsid w:val="22E83DA8"/>
    <w:rsid w:val="23087FB7"/>
    <w:rsid w:val="23367732"/>
    <w:rsid w:val="235651B5"/>
    <w:rsid w:val="237D1F14"/>
    <w:rsid w:val="23E131D1"/>
    <w:rsid w:val="23FF2A4A"/>
    <w:rsid w:val="242D23BA"/>
    <w:rsid w:val="2432319D"/>
    <w:rsid w:val="24397A54"/>
    <w:rsid w:val="246B6A3F"/>
    <w:rsid w:val="249B3D44"/>
    <w:rsid w:val="24EC3809"/>
    <w:rsid w:val="25291773"/>
    <w:rsid w:val="254623A4"/>
    <w:rsid w:val="25891872"/>
    <w:rsid w:val="25D074A1"/>
    <w:rsid w:val="26920B56"/>
    <w:rsid w:val="26E10E4C"/>
    <w:rsid w:val="26E6017E"/>
    <w:rsid w:val="26F85C43"/>
    <w:rsid w:val="26FB054E"/>
    <w:rsid w:val="270513CC"/>
    <w:rsid w:val="27790766"/>
    <w:rsid w:val="278B7B24"/>
    <w:rsid w:val="27914A0E"/>
    <w:rsid w:val="27937C44"/>
    <w:rsid w:val="27C22E19"/>
    <w:rsid w:val="28A614CC"/>
    <w:rsid w:val="28BC1F5F"/>
    <w:rsid w:val="29103E5D"/>
    <w:rsid w:val="291377BD"/>
    <w:rsid w:val="295959FF"/>
    <w:rsid w:val="298011DE"/>
    <w:rsid w:val="29BD4E21"/>
    <w:rsid w:val="29C046BD"/>
    <w:rsid w:val="2A043BBD"/>
    <w:rsid w:val="2A491993"/>
    <w:rsid w:val="2A5B42B5"/>
    <w:rsid w:val="2A862824"/>
    <w:rsid w:val="2A8F792B"/>
    <w:rsid w:val="2AAB228B"/>
    <w:rsid w:val="2AE5558D"/>
    <w:rsid w:val="2B272E80"/>
    <w:rsid w:val="2B4104F9"/>
    <w:rsid w:val="2B8667EE"/>
    <w:rsid w:val="2B9156E9"/>
    <w:rsid w:val="2BA967B1"/>
    <w:rsid w:val="2BBC523C"/>
    <w:rsid w:val="2C02237E"/>
    <w:rsid w:val="2C333637"/>
    <w:rsid w:val="2C3A697B"/>
    <w:rsid w:val="2CEF306A"/>
    <w:rsid w:val="2DA57465"/>
    <w:rsid w:val="2DA63E50"/>
    <w:rsid w:val="2DD415A5"/>
    <w:rsid w:val="2E023992"/>
    <w:rsid w:val="2E1B3283"/>
    <w:rsid w:val="2E4E3659"/>
    <w:rsid w:val="2E9A0A66"/>
    <w:rsid w:val="2F08082A"/>
    <w:rsid w:val="2F0D0FB7"/>
    <w:rsid w:val="2F12674F"/>
    <w:rsid w:val="2F2E7B10"/>
    <w:rsid w:val="2F5B70A6"/>
    <w:rsid w:val="2F7A1C1D"/>
    <w:rsid w:val="2F7E1D1C"/>
    <w:rsid w:val="2FAF0178"/>
    <w:rsid w:val="2FB86117"/>
    <w:rsid w:val="2FBB19B3"/>
    <w:rsid w:val="2FCE2CA3"/>
    <w:rsid w:val="2FE853E7"/>
    <w:rsid w:val="301B5CE7"/>
    <w:rsid w:val="3041658E"/>
    <w:rsid w:val="30875C7B"/>
    <w:rsid w:val="308E5F8F"/>
    <w:rsid w:val="309335A5"/>
    <w:rsid w:val="30B30E71"/>
    <w:rsid w:val="30B5421D"/>
    <w:rsid w:val="30D53FF2"/>
    <w:rsid w:val="30FF1A9C"/>
    <w:rsid w:val="311F7AB1"/>
    <w:rsid w:val="31C70909"/>
    <w:rsid w:val="31CD63C9"/>
    <w:rsid w:val="31E22A36"/>
    <w:rsid w:val="31FB42D0"/>
    <w:rsid w:val="32085CA7"/>
    <w:rsid w:val="325B42F0"/>
    <w:rsid w:val="32D424E3"/>
    <w:rsid w:val="33004A7E"/>
    <w:rsid w:val="331A1E93"/>
    <w:rsid w:val="332A2C37"/>
    <w:rsid w:val="33426FED"/>
    <w:rsid w:val="334358FC"/>
    <w:rsid w:val="334B0167"/>
    <w:rsid w:val="335214F5"/>
    <w:rsid w:val="338A3F4D"/>
    <w:rsid w:val="340071A3"/>
    <w:rsid w:val="34012F1B"/>
    <w:rsid w:val="341F2AAA"/>
    <w:rsid w:val="34316ACF"/>
    <w:rsid w:val="344E4D7F"/>
    <w:rsid w:val="345055EB"/>
    <w:rsid w:val="34645984"/>
    <w:rsid w:val="34B828D0"/>
    <w:rsid w:val="34E33DBA"/>
    <w:rsid w:val="350D65F0"/>
    <w:rsid w:val="3537548D"/>
    <w:rsid w:val="354F1C51"/>
    <w:rsid w:val="35610116"/>
    <w:rsid w:val="35875FAE"/>
    <w:rsid w:val="35A95BC9"/>
    <w:rsid w:val="35FA5E74"/>
    <w:rsid w:val="36080591"/>
    <w:rsid w:val="361E1B63"/>
    <w:rsid w:val="364A6DFC"/>
    <w:rsid w:val="36801996"/>
    <w:rsid w:val="369E54F7"/>
    <w:rsid w:val="36A317A5"/>
    <w:rsid w:val="36F164FB"/>
    <w:rsid w:val="36FB1DA9"/>
    <w:rsid w:val="3700643F"/>
    <w:rsid w:val="37021484"/>
    <w:rsid w:val="37160A8C"/>
    <w:rsid w:val="376D1F6F"/>
    <w:rsid w:val="37850760"/>
    <w:rsid w:val="379E11AD"/>
    <w:rsid w:val="37B54749"/>
    <w:rsid w:val="37EB016A"/>
    <w:rsid w:val="3810197F"/>
    <w:rsid w:val="38176374"/>
    <w:rsid w:val="386203B6"/>
    <w:rsid w:val="38E70932"/>
    <w:rsid w:val="39274DF7"/>
    <w:rsid w:val="39455658"/>
    <w:rsid w:val="39766BE5"/>
    <w:rsid w:val="398D772B"/>
    <w:rsid w:val="39904B26"/>
    <w:rsid w:val="39C14A43"/>
    <w:rsid w:val="39DF3CFF"/>
    <w:rsid w:val="39E26F2E"/>
    <w:rsid w:val="3A127C30"/>
    <w:rsid w:val="3A145757"/>
    <w:rsid w:val="3A720513"/>
    <w:rsid w:val="3A7D77A0"/>
    <w:rsid w:val="3AC84A1B"/>
    <w:rsid w:val="3AE32579"/>
    <w:rsid w:val="3AF01909"/>
    <w:rsid w:val="3B122C0F"/>
    <w:rsid w:val="3B1A0DCD"/>
    <w:rsid w:val="3B1C691C"/>
    <w:rsid w:val="3B9E5263"/>
    <w:rsid w:val="3BB15227"/>
    <w:rsid w:val="3BBB7E54"/>
    <w:rsid w:val="3C3C0EF6"/>
    <w:rsid w:val="3C4B1FA8"/>
    <w:rsid w:val="3C5C5193"/>
    <w:rsid w:val="3C746980"/>
    <w:rsid w:val="3CEF4259"/>
    <w:rsid w:val="3D0B0CA3"/>
    <w:rsid w:val="3D323E6D"/>
    <w:rsid w:val="3D424389"/>
    <w:rsid w:val="3D4A6B6C"/>
    <w:rsid w:val="3D804F9E"/>
    <w:rsid w:val="3D9B7864"/>
    <w:rsid w:val="3DBA1008"/>
    <w:rsid w:val="3DD05E38"/>
    <w:rsid w:val="3DF17B5D"/>
    <w:rsid w:val="3DFD6502"/>
    <w:rsid w:val="3E13537A"/>
    <w:rsid w:val="3E41473A"/>
    <w:rsid w:val="3E5052AB"/>
    <w:rsid w:val="3E90655A"/>
    <w:rsid w:val="3E9E7CE5"/>
    <w:rsid w:val="3EB275B0"/>
    <w:rsid w:val="3ED731F7"/>
    <w:rsid w:val="3EEA4CD8"/>
    <w:rsid w:val="3F1D6540"/>
    <w:rsid w:val="3F2521B4"/>
    <w:rsid w:val="3F352F9D"/>
    <w:rsid w:val="3F43263A"/>
    <w:rsid w:val="3F4E03C3"/>
    <w:rsid w:val="40133775"/>
    <w:rsid w:val="404D19C2"/>
    <w:rsid w:val="40583EC3"/>
    <w:rsid w:val="405A40DF"/>
    <w:rsid w:val="40D774DE"/>
    <w:rsid w:val="41152016"/>
    <w:rsid w:val="411900B3"/>
    <w:rsid w:val="412A0E76"/>
    <w:rsid w:val="41374AB5"/>
    <w:rsid w:val="418C1C1A"/>
    <w:rsid w:val="41903339"/>
    <w:rsid w:val="4194717D"/>
    <w:rsid w:val="41B810BD"/>
    <w:rsid w:val="41BF069E"/>
    <w:rsid w:val="41D55F5E"/>
    <w:rsid w:val="41DC535C"/>
    <w:rsid w:val="41FD2F74"/>
    <w:rsid w:val="420936C7"/>
    <w:rsid w:val="423475E2"/>
    <w:rsid w:val="424211B6"/>
    <w:rsid w:val="42472441"/>
    <w:rsid w:val="4253528A"/>
    <w:rsid w:val="427C658F"/>
    <w:rsid w:val="428442BD"/>
    <w:rsid w:val="42B31885"/>
    <w:rsid w:val="42D37855"/>
    <w:rsid w:val="42E3364D"/>
    <w:rsid w:val="42EA6E97"/>
    <w:rsid w:val="43187533"/>
    <w:rsid w:val="43604C70"/>
    <w:rsid w:val="43B620A2"/>
    <w:rsid w:val="43C20EE5"/>
    <w:rsid w:val="43D23F8D"/>
    <w:rsid w:val="446217B4"/>
    <w:rsid w:val="4472350F"/>
    <w:rsid w:val="44735770"/>
    <w:rsid w:val="44843094"/>
    <w:rsid w:val="44A45929"/>
    <w:rsid w:val="44FA0309"/>
    <w:rsid w:val="452F5B3A"/>
    <w:rsid w:val="45637592"/>
    <w:rsid w:val="45AA4F9A"/>
    <w:rsid w:val="45B3465E"/>
    <w:rsid w:val="45C83899"/>
    <w:rsid w:val="463E3B5B"/>
    <w:rsid w:val="46496788"/>
    <w:rsid w:val="464F1A25"/>
    <w:rsid w:val="46592743"/>
    <w:rsid w:val="465A4A0E"/>
    <w:rsid w:val="465B5898"/>
    <w:rsid w:val="46701E69"/>
    <w:rsid w:val="467F03FC"/>
    <w:rsid w:val="4680118C"/>
    <w:rsid w:val="46971BE9"/>
    <w:rsid w:val="469D2F78"/>
    <w:rsid w:val="46AC31BB"/>
    <w:rsid w:val="46B75DE7"/>
    <w:rsid w:val="46C308DB"/>
    <w:rsid w:val="46D36999"/>
    <w:rsid w:val="46F94056"/>
    <w:rsid w:val="473632F0"/>
    <w:rsid w:val="47887784"/>
    <w:rsid w:val="47932131"/>
    <w:rsid w:val="47CB0C1F"/>
    <w:rsid w:val="47CF53B3"/>
    <w:rsid w:val="47D604EF"/>
    <w:rsid w:val="47F6649C"/>
    <w:rsid w:val="48455D66"/>
    <w:rsid w:val="485A7DB7"/>
    <w:rsid w:val="48A00AFD"/>
    <w:rsid w:val="491C3609"/>
    <w:rsid w:val="491E285E"/>
    <w:rsid w:val="493354CD"/>
    <w:rsid w:val="49635DB3"/>
    <w:rsid w:val="49DA3B9B"/>
    <w:rsid w:val="49EB1754"/>
    <w:rsid w:val="4A372D9B"/>
    <w:rsid w:val="4A7F5CBF"/>
    <w:rsid w:val="4AB26AE1"/>
    <w:rsid w:val="4ABC090E"/>
    <w:rsid w:val="4AC705C3"/>
    <w:rsid w:val="4AFC64BF"/>
    <w:rsid w:val="4B3A6FE7"/>
    <w:rsid w:val="4B9D0115"/>
    <w:rsid w:val="4BA95F1B"/>
    <w:rsid w:val="4BB70638"/>
    <w:rsid w:val="4BC32B39"/>
    <w:rsid w:val="4BE64A79"/>
    <w:rsid w:val="4C082C41"/>
    <w:rsid w:val="4C612351"/>
    <w:rsid w:val="4C714C8A"/>
    <w:rsid w:val="4C7A24D7"/>
    <w:rsid w:val="4C7E4CB1"/>
    <w:rsid w:val="4CA54934"/>
    <w:rsid w:val="4D0619FF"/>
    <w:rsid w:val="4D665E71"/>
    <w:rsid w:val="4DB02E78"/>
    <w:rsid w:val="4DE316FC"/>
    <w:rsid w:val="4E225854"/>
    <w:rsid w:val="4E233B70"/>
    <w:rsid w:val="4E257ADB"/>
    <w:rsid w:val="4E6A7ED2"/>
    <w:rsid w:val="4E6B6CEB"/>
    <w:rsid w:val="4EAD2877"/>
    <w:rsid w:val="4EE85A2E"/>
    <w:rsid w:val="4F4A0C56"/>
    <w:rsid w:val="4F6E54B1"/>
    <w:rsid w:val="4F9D18F3"/>
    <w:rsid w:val="4FE71AAE"/>
    <w:rsid w:val="5003209D"/>
    <w:rsid w:val="500D481B"/>
    <w:rsid w:val="50504BB7"/>
    <w:rsid w:val="50884351"/>
    <w:rsid w:val="50A13664"/>
    <w:rsid w:val="50B52C6C"/>
    <w:rsid w:val="50E517A3"/>
    <w:rsid w:val="510A0B6D"/>
    <w:rsid w:val="51204302"/>
    <w:rsid w:val="515B6DB3"/>
    <w:rsid w:val="5167660A"/>
    <w:rsid w:val="51944027"/>
    <w:rsid w:val="51F6606D"/>
    <w:rsid w:val="520774F7"/>
    <w:rsid w:val="52512C23"/>
    <w:rsid w:val="526D37FE"/>
    <w:rsid w:val="52815D19"/>
    <w:rsid w:val="528A2602"/>
    <w:rsid w:val="5299540E"/>
    <w:rsid w:val="52A7138E"/>
    <w:rsid w:val="52D928C3"/>
    <w:rsid w:val="533D58C6"/>
    <w:rsid w:val="537F5EDF"/>
    <w:rsid w:val="53B94FAF"/>
    <w:rsid w:val="53BD59C8"/>
    <w:rsid w:val="53C953AC"/>
    <w:rsid w:val="53E7310B"/>
    <w:rsid w:val="53F65A75"/>
    <w:rsid w:val="54047867"/>
    <w:rsid w:val="54166630"/>
    <w:rsid w:val="54287F00"/>
    <w:rsid w:val="5459613F"/>
    <w:rsid w:val="547F6E9B"/>
    <w:rsid w:val="54AE2F26"/>
    <w:rsid w:val="54FD72FB"/>
    <w:rsid w:val="551366CC"/>
    <w:rsid w:val="55172147"/>
    <w:rsid w:val="55307D8F"/>
    <w:rsid w:val="55442D10"/>
    <w:rsid w:val="55ED6F99"/>
    <w:rsid w:val="55FE41C5"/>
    <w:rsid w:val="561647A5"/>
    <w:rsid w:val="56663625"/>
    <w:rsid w:val="56763D1A"/>
    <w:rsid w:val="569C6DA8"/>
    <w:rsid w:val="56C02C5D"/>
    <w:rsid w:val="56E22110"/>
    <w:rsid w:val="56EB5639"/>
    <w:rsid w:val="56F95FA8"/>
    <w:rsid w:val="570D1A54"/>
    <w:rsid w:val="572A7F10"/>
    <w:rsid w:val="57340D8E"/>
    <w:rsid w:val="577052FD"/>
    <w:rsid w:val="57792C45"/>
    <w:rsid w:val="5785380D"/>
    <w:rsid w:val="57C33EC0"/>
    <w:rsid w:val="57EC78BB"/>
    <w:rsid w:val="586B613F"/>
    <w:rsid w:val="58935F89"/>
    <w:rsid w:val="58A9755A"/>
    <w:rsid w:val="58BB59C6"/>
    <w:rsid w:val="58C76182"/>
    <w:rsid w:val="58CE6FC1"/>
    <w:rsid w:val="593908DE"/>
    <w:rsid w:val="59462FFB"/>
    <w:rsid w:val="59562455"/>
    <w:rsid w:val="596E06BD"/>
    <w:rsid w:val="59D14FBA"/>
    <w:rsid w:val="59DB3743"/>
    <w:rsid w:val="5A107ABE"/>
    <w:rsid w:val="5A533C21"/>
    <w:rsid w:val="5A671459"/>
    <w:rsid w:val="5AC92574"/>
    <w:rsid w:val="5AF26F96"/>
    <w:rsid w:val="5B6559BA"/>
    <w:rsid w:val="5B743E4F"/>
    <w:rsid w:val="5B791F6C"/>
    <w:rsid w:val="5B9B7E81"/>
    <w:rsid w:val="5BA04C44"/>
    <w:rsid w:val="5BBE331C"/>
    <w:rsid w:val="5BCC2BA6"/>
    <w:rsid w:val="5BE72156"/>
    <w:rsid w:val="5C045F2C"/>
    <w:rsid w:val="5C0F5EF4"/>
    <w:rsid w:val="5C25302A"/>
    <w:rsid w:val="5C2D395E"/>
    <w:rsid w:val="5C500E18"/>
    <w:rsid w:val="5D101373"/>
    <w:rsid w:val="5D2E2AB3"/>
    <w:rsid w:val="5D5C6EA0"/>
    <w:rsid w:val="5D927755"/>
    <w:rsid w:val="5DA56542"/>
    <w:rsid w:val="5DBC7D30"/>
    <w:rsid w:val="5DBF280D"/>
    <w:rsid w:val="5E103A38"/>
    <w:rsid w:val="5E251431"/>
    <w:rsid w:val="5E3F3656"/>
    <w:rsid w:val="5E4F2952"/>
    <w:rsid w:val="5E924E96"/>
    <w:rsid w:val="5EA0719C"/>
    <w:rsid w:val="5EF332DD"/>
    <w:rsid w:val="5F0945C6"/>
    <w:rsid w:val="5F0A7D5E"/>
    <w:rsid w:val="5F106135"/>
    <w:rsid w:val="5F274E0F"/>
    <w:rsid w:val="5F27742B"/>
    <w:rsid w:val="5F3D6D4F"/>
    <w:rsid w:val="5F3F3886"/>
    <w:rsid w:val="5F840273"/>
    <w:rsid w:val="5FB07420"/>
    <w:rsid w:val="5FC829BC"/>
    <w:rsid w:val="5FCA6734"/>
    <w:rsid w:val="5FCB1F0B"/>
    <w:rsid w:val="601D2D07"/>
    <w:rsid w:val="60870181"/>
    <w:rsid w:val="611213AC"/>
    <w:rsid w:val="611C352E"/>
    <w:rsid w:val="61573FF7"/>
    <w:rsid w:val="61711506"/>
    <w:rsid w:val="61AB3132"/>
    <w:rsid w:val="61D7107D"/>
    <w:rsid w:val="625146AA"/>
    <w:rsid w:val="625B4B63"/>
    <w:rsid w:val="628626EB"/>
    <w:rsid w:val="6291178B"/>
    <w:rsid w:val="63283FAB"/>
    <w:rsid w:val="63416268"/>
    <w:rsid w:val="63660ED6"/>
    <w:rsid w:val="636C365E"/>
    <w:rsid w:val="63B23767"/>
    <w:rsid w:val="63DD1A3B"/>
    <w:rsid w:val="63EF49BB"/>
    <w:rsid w:val="63FC70D8"/>
    <w:rsid w:val="63FF1893"/>
    <w:rsid w:val="64195594"/>
    <w:rsid w:val="644E6E76"/>
    <w:rsid w:val="64706165"/>
    <w:rsid w:val="64760C38"/>
    <w:rsid w:val="64784173"/>
    <w:rsid w:val="64DE249A"/>
    <w:rsid w:val="65326791"/>
    <w:rsid w:val="65393A14"/>
    <w:rsid w:val="65556AA0"/>
    <w:rsid w:val="6583711E"/>
    <w:rsid w:val="65A156F8"/>
    <w:rsid w:val="66134265"/>
    <w:rsid w:val="661C580F"/>
    <w:rsid w:val="662B0FC4"/>
    <w:rsid w:val="6635242D"/>
    <w:rsid w:val="66462745"/>
    <w:rsid w:val="66616A16"/>
    <w:rsid w:val="66833654"/>
    <w:rsid w:val="668D2F14"/>
    <w:rsid w:val="66B07D06"/>
    <w:rsid w:val="66FE5F4E"/>
    <w:rsid w:val="67050051"/>
    <w:rsid w:val="67054E8A"/>
    <w:rsid w:val="67BA52E0"/>
    <w:rsid w:val="681A7B2C"/>
    <w:rsid w:val="68357F4B"/>
    <w:rsid w:val="6844781F"/>
    <w:rsid w:val="68566A92"/>
    <w:rsid w:val="68695812"/>
    <w:rsid w:val="68B941BE"/>
    <w:rsid w:val="69270753"/>
    <w:rsid w:val="694454FA"/>
    <w:rsid w:val="694E7C28"/>
    <w:rsid w:val="69644BC7"/>
    <w:rsid w:val="69792801"/>
    <w:rsid w:val="697F014E"/>
    <w:rsid w:val="69D16D33"/>
    <w:rsid w:val="69D97BBF"/>
    <w:rsid w:val="6A7554EE"/>
    <w:rsid w:val="6A82613C"/>
    <w:rsid w:val="6AA23FC4"/>
    <w:rsid w:val="6AEB3A02"/>
    <w:rsid w:val="6B534B73"/>
    <w:rsid w:val="6B811C71"/>
    <w:rsid w:val="6BA8544F"/>
    <w:rsid w:val="6C0C3C30"/>
    <w:rsid w:val="6C2D2E8D"/>
    <w:rsid w:val="6C920E9E"/>
    <w:rsid w:val="6C922387"/>
    <w:rsid w:val="6CD96208"/>
    <w:rsid w:val="6CDD5DEE"/>
    <w:rsid w:val="6D0A25E7"/>
    <w:rsid w:val="6D640B63"/>
    <w:rsid w:val="6D6B12A5"/>
    <w:rsid w:val="6D777848"/>
    <w:rsid w:val="6E0F65D2"/>
    <w:rsid w:val="6E1B015A"/>
    <w:rsid w:val="6E284B2A"/>
    <w:rsid w:val="6E2B3D65"/>
    <w:rsid w:val="6E482840"/>
    <w:rsid w:val="6E5A1693"/>
    <w:rsid w:val="6E5C0E9F"/>
    <w:rsid w:val="6E645FA5"/>
    <w:rsid w:val="6E66587A"/>
    <w:rsid w:val="6F4656AB"/>
    <w:rsid w:val="6F6113BD"/>
    <w:rsid w:val="6F9D2740"/>
    <w:rsid w:val="6FD27A67"/>
    <w:rsid w:val="6FE74798"/>
    <w:rsid w:val="70173916"/>
    <w:rsid w:val="708727AC"/>
    <w:rsid w:val="70914D07"/>
    <w:rsid w:val="70C82DB5"/>
    <w:rsid w:val="70DC4523"/>
    <w:rsid w:val="70F03B20"/>
    <w:rsid w:val="70F2323A"/>
    <w:rsid w:val="71110CB5"/>
    <w:rsid w:val="71264330"/>
    <w:rsid w:val="714472D8"/>
    <w:rsid w:val="714E6086"/>
    <w:rsid w:val="715F2A54"/>
    <w:rsid w:val="718F3339"/>
    <w:rsid w:val="71B11988"/>
    <w:rsid w:val="71BE25F8"/>
    <w:rsid w:val="71BE59CD"/>
    <w:rsid w:val="71CA0C7A"/>
    <w:rsid w:val="71DA1844"/>
    <w:rsid w:val="7210336D"/>
    <w:rsid w:val="727F515C"/>
    <w:rsid w:val="728F1117"/>
    <w:rsid w:val="72A663F7"/>
    <w:rsid w:val="72B15531"/>
    <w:rsid w:val="72CB03A1"/>
    <w:rsid w:val="72CC1287"/>
    <w:rsid w:val="72E108C9"/>
    <w:rsid w:val="72EC6569"/>
    <w:rsid w:val="72EF520A"/>
    <w:rsid w:val="735655C9"/>
    <w:rsid w:val="738549F4"/>
    <w:rsid w:val="739B617F"/>
    <w:rsid w:val="73A40CBA"/>
    <w:rsid w:val="74000DE6"/>
    <w:rsid w:val="745462E6"/>
    <w:rsid w:val="74B706C6"/>
    <w:rsid w:val="74C94DB4"/>
    <w:rsid w:val="74CB28DA"/>
    <w:rsid w:val="74ED6C9C"/>
    <w:rsid w:val="755C1947"/>
    <w:rsid w:val="756F67BD"/>
    <w:rsid w:val="75904206"/>
    <w:rsid w:val="75D237F5"/>
    <w:rsid w:val="76337A8E"/>
    <w:rsid w:val="76360227"/>
    <w:rsid w:val="764C7A4B"/>
    <w:rsid w:val="766034F6"/>
    <w:rsid w:val="76824F01"/>
    <w:rsid w:val="768A6E49"/>
    <w:rsid w:val="76FD5574"/>
    <w:rsid w:val="77316977"/>
    <w:rsid w:val="774A7CF9"/>
    <w:rsid w:val="774F0B38"/>
    <w:rsid w:val="778921AB"/>
    <w:rsid w:val="779A2A38"/>
    <w:rsid w:val="77B7489D"/>
    <w:rsid w:val="78487104"/>
    <w:rsid w:val="78B10039"/>
    <w:rsid w:val="78C91F37"/>
    <w:rsid w:val="78E82CD2"/>
    <w:rsid w:val="78F35090"/>
    <w:rsid w:val="78F671A8"/>
    <w:rsid w:val="78FB3062"/>
    <w:rsid w:val="78FE532A"/>
    <w:rsid w:val="792D5214"/>
    <w:rsid w:val="793F73F3"/>
    <w:rsid w:val="79B272E6"/>
    <w:rsid w:val="79BD656A"/>
    <w:rsid w:val="79E461EC"/>
    <w:rsid w:val="7A044199"/>
    <w:rsid w:val="7A0E55E5"/>
    <w:rsid w:val="7A5D0D88"/>
    <w:rsid w:val="7A5D5B91"/>
    <w:rsid w:val="7A8A3888"/>
    <w:rsid w:val="7ABE2CD8"/>
    <w:rsid w:val="7ABE4F14"/>
    <w:rsid w:val="7B187CA2"/>
    <w:rsid w:val="7B2B6CA8"/>
    <w:rsid w:val="7B4B2B46"/>
    <w:rsid w:val="7B6C4724"/>
    <w:rsid w:val="7B8D6062"/>
    <w:rsid w:val="7B95779E"/>
    <w:rsid w:val="7C0617D3"/>
    <w:rsid w:val="7C341B9C"/>
    <w:rsid w:val="7C393E92"/>
    <w:rsid w:val="7C484810"/>
    <w:rsid w:val="7C8C53E6"/>
    <w:rsid w:val="7CB579CC"/>
    <w:rsid w:val="7CB77FE2"/>
    <w:rsid w:val="7CBB3234"/>
    <w:rsid w:val="7CD04806"/>
    <w:rsid w:val="7CD82038"/>
    <w:rsid w:val="7CFB253F"/>
    <w:rsid w:val="7D9B5A00"/>
    <w:rsid w:val="7DC205F3"/>
    <w:rsid w:val="7DD520D4"/>
    <w:rsid w:val="7E133CB7"/>
    <w:rsid w:val="7E1F482F"/>
    <w:rsid w:val="7E302C38"/>
    <w:rsid w:val="7E320D2E"/>
    <w:rsid w:val="7E437985"/>
    <w:rsid w:val="7E8E33DF"/>
    <w:rsid w:val="7E967ADF"/>
    <w:rsid w:val="7F021F7A"/>
    <w:rsid w:val="7F0A54E4"/>
    <w:rsid w:val="7F1F1563"/>
    <w:rsid w:val="7F7D6EC7"/>
    <w:rsid w:val="7F9B2EB0"/>
    <w:rsid w:val="7FC03DE0"/>
    <w:rsid w:val="7FC05006"/>
    <w:rsid w:val="7FC26CFA"/>
    <w:rsid w:val="7FD810E5"/>
    <w:rsid w:val="7FFF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jc w:val="left"/>
    </w:pPr>
    <w:rPr>
      <w:rFonts w:asciiTheme="minorHAnsi" w:hAnsiTheme="minorHAnsi" w:eastAsiaTheme="minorEastAsia" w:cstheme="minorBidi"/>
      <w:kern w:val="0"/>
      <w:sz w:val="24"/>
      <w:szCs w:val="24"/>
      <w:lang w:val="en-US" w:eastAsia="zh-CN" w:bidi="ar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 w:cs="Times New Roman"/>
      <w:b/>
      <w:kern w:val="44"/>
      <w:sz w:val="48"/>
      <w:szCs w:val="48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Balloon Text"/>
    <w:basedOn w:val="1"/>
    <w:link w:val="11"/>
    <w:autoRedefine/>
    <w:qFormat/>
    <w:uiPriority w:val="0"/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6">
    <w:name w:val="Normal (Web)"/>
    <w:basedOn w:val="1"/>
    <w:autoRedefine/>
    <w:qFormat/>
    <w:uiPriority w:val="0"/>
    <w:pPr>
      <w:jc w:val="left"/>
    </w:pPr>
    <w:rPr>
      <w:rFonts w:cs="Times New Roman"/>
      <w:kern w:val="0"/>
      <w:sz w:val="24"/>
    </w:rPr>
  </w:style>
  <w:style w:type="character" w:customStyle="1" w:styleId="9">
    <w:name w:val="NormalCharacter"/>
    <w:link w:val="10"/>
    <w:autoRedefine/>
    <w:qFormat/>
    <w:uiPriority w:val="0"/>
    <w:rPr>
      <w:rFonts w:ascii="Arial" w:hAnsi="Arial" w:eastAsia="仿宋_GB2312"/>
      <w:sz w:val="20"/>
    </w:rPr>
  </w:style>
  <w:style w:type="paragraph" w:customStyle="1" w:styleId="10">
    <w:name w:val="UserStyle_0"/>
    <w:basedOn w:val="1"/>
    <w:link w:val="9"/>
    <w:autoRedefine/>
    <w:qFormat/>
    <w:uiPriority w:val="0"/>
    <w:pPr>
      <w:textAlignment w:val="baseline"/>
    </w:pPr>
    <w:rPr>
      <w:rFonts w:ascii="Arial" w:hAnsi="Arial" w:eastAsia="仿宋_GB2312"/>
      <w:sz w:val="20"/>
    </w:rPr>
  </w:style>
  <w:style w:type="character" w:customStyle="1" w:styleId="11">
    <w:name w:val="批注框文本 字符"/>
    <w:basedOn w:val="8"/>
    <w:link w:val="4"/>
    <w:autoRedefine/>
    <w:qFormat/>
    <w:uiPriority w:val="0"/>
    <w:rPr>
      <w:kern w:val="2"/>
      <w:sz w:val="18"/>
      <w:szCs w:val="18"/>
    </w:rPr>
  </w:style>
  <w:style w:type="paragraph" w:styleId="12">
    <w:name w:val="List Paragraph"/>
    <w:basedOn w:val="1"/>
    <w:autoRedefine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chart" Target="charts/chart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charts/_rels/chart1.xml.rels><?xml version="1.0" encoding="UTF-8" standalone="yes"?>
<Relationships xmlns="http://schemas.openxmlformats.org/package/2006/relationships"><Relationship Id="rId3" Type="http://schemas.microsoft.com/office/2011/relationships/chartColorStyle" Target="colors1.xml"/><Relationship Id="rId2" Type="http://schemas.microsoft.com/office/2011/relationships/chartStyle" Target="style1.xml"/><Relationship Id="rId1" Type="http://schemas.openxmlformats.org/officeDocument/2006/relationships/oleObject" Target="file:///E:\&#32599;&#29577;&#29854;\&#32508;&#21512;&#31185;\&#32479;&#35745;&#20844;&#25253;\2024\&#36130;&#25919;&#21547;&#19975;&#30427;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zh-C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[财政含万盛.xlsx]Sheet1!$A$2</c:f>
              <c:strCache>
                <c:ptCount val="1"/>
                <c:pt idx="0">
                  <c:v>城镇居民人均可支配收入（元）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[财政含万盛.xlsx]Sheet1!$B$1:$F$1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[财政含万盛.xlsx]Sheet1!$B$2:$F$2</c:f>
              <c:numCache>
                <c:formatCode>General</c:formatCode>
                <c:ptCount val="5"/>
                <c:pt idx="0">
                  <c:v>36610</c:v>
                </c:pt>
                <c:pt idx="1">
                  <c:v>39539</c:v>
                </c:pt>
                <c:pt idx="2">
                  <c:v>40172</c:v>
                </c:pt>
                <c:pt idx="3">
                  <c:v>41498</c:v>
                </c:pt>
                <c:pt idx="4">
                  <c:v>42847</c:v>
                </c:pt>
              </c:numCache>
            </c:numRef>
          </c:val>
        </c:ser>
        <c:ser>
          <c:idx val="1"/>
          <c:order val="1"/>
          <c:tx>
            <c:strRef>
              <c:f>[财政含万盛.xlsx]Sheet1!$A$3</c:f>
              <c:strCache>
                <c:ptCount val="1"/>
                <c:pt idx="0">
                  <c:v>农村居民人均可支配收入（元）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dLbl>
              <c:idx val="0"/>
              <c:layout>
                <c:manualLayout>
                  <c:x val="0.00631578947368421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1"/>
              <c:layout>
                <c:manualLayout>
                  <c:x val="0.00631578947368421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2"/>
              <c:layout>
                <c:manualLayout>
                  <c:x val="0.0126315789473684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3"/>
              <c:layout>
                <c:manualLayout>
                  <c:x val="0.0157894736842105"/>
                  <c:y val="0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dLbl>
              <c:idx val="4"/>
              <c:layout>
                <c:manualLayout>
                  <c:x val="0.00947368421052632"/>
                  <c:y val="0.0138888888888889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0" vertOverflow="ellipsis" vert="horz" wrap="square" lIns="38100" tIns="19050" rIns="38100" bIns="19050" anchor="ctr" anchorCtr="1"/>
              <a:lstStyle/>
              <a:p>
                <a:pPr>
                  <a:defRPr lang="zh-CN" sz="1000" b="0" i="0" u="none" strike="noStrike" kern="1200" baseline="0">
                    <a:solidFill>
                      <a:schemeClr val="tx1"/>
                    </a:solidFill>
                    <a:latin typeface="+mn-lt"/>
                    <a:ea typeface="+mn-ea"/>
                    <a:cs typeface="+mn-cs"/>
                  </a:defRPr>
                </a:pPr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[财政含万盛.xlsx]Sheet1!$B$1:$F$1</c:f>
              <c:strCache>
                <c:ptCount val="5"/>
                <c:pt idx="0">
                  <c:v>2020年</c:v>
                </c:pt>
                <c:pt idx="1">
                  <c:v>2021年</c:v>
                </c:pt>
                <c:pt idx="2">
                  <c:v>2022年</c:v>
                </c:pt>
                <c:pt idx="3">
                  <c:v>2023年</c:v>
                </c:pt>
                <c:pt idx="4">
                  <c:v>2024年</c:v>
                </c:pt>
              </c:strCache>
            </c:strRef>
          </c:cat>
          <c:val>
            <c:numRef>
              <c:f>[财政含万盛.xlsx]Sheet1!$B$3:$F$3</c:f>
              <c:numCache>
                <c:formatCode>General</c:formatCode>
                <c:ptCount val="5"/>
                <c:pt idx="0">
                  <c:v>17475</c:v>
                </c:pt>
                <c:pt idx="1">
                  <c:v>19223</c:v>
                </c:pt>
                <c:pt idx="2">
                  <c:v>20165</c:v>
                </c:pt>
                <c:pt idx="3">
                  <c:v>21355</c:v>
                </c:pt>
                <c:pt idx="4">
                  <c:v>22060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246"/>
        <c:overlap val="-28"/>
        <c:axId val="13923025"/>
        <c:axId val="171126676"/>
      </c:barChart>
      <c:catAx>
        <c:axId val="13923025"/>
        <c:scaling>
          <c:orientation val="minMax"/>
        </c:scaling>
        <c:delete val="0"/>
        <c:axPos val="b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71126676"/>
        <c:crosses val="autoZero"/>
        <c:auto val="1"/>
        <c:lblAlgn val="ctr"/>
        <c:lblOffset val="100"/>
        <c:noMultiLvlLbl val="0"/>
      </c:catAx>
      <c:valAx>
        <c:axId val="17112667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lt1">
                  <a:lumMod val="902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  <c:crossAx val="13923025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0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egendEntry>
        <c:idx val="1"/>
        <c:txPr>
          <a:bodyPr rot="0" spcFirstLastPara="0" vertOverflow="ellipsis" vert="horz" wrap="square" anchor="ctr" anchorCtr="1"/>
          <a:lstStyle/>
          <a:p>
            <a:pPr>
              <a:defRPr lang="zh-CN" sz="9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</a:p>
        </c:txPr>
      </c:legendEntry>
      <c:layout/>
      <c:overlay val="0"/>
      <c:spPr>
        <a:noFill/>
        <a:ln>
          <a:noFill/>
        </a:ln>
        <a:effectLst/>
      </c:spPr>
      <c:txPr>
        <a:bodyPr rot="0" spcFirstLastPara="0" vertOverflow="ellipsis" vert="horz" wrap="square" anchor="ctr" anchorCtr="1"/>
        <a:lstStyle/>
        <a:p>
          <a:pPr>
            <a:defRPr lang="zh-CN" sz="9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</a:p>
      </c:txPr>
    </c:legend>
    <c:plotVisOnly val="0"/>
    <c:dispBlanksAs val="gap"/>
    <c:showDLblsOverMax val="0"/>
    <c:extLst>
      <c:ext uri="{0b15fc19-7d7d-44ad-8c2d-2c3a37ce22c3}">
        <chartProps xmlns="https://web.wps.cn/et/2018/main" chartId="{f0dd72a3-618c-4703-8f03-ac55ad32e186}"/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lang="zh-CN">
          <a:solidFill>
            <a:schemeClr val="tx1"/>
          </a:solidFill>
        </a:defRPr>
      </a:pPr>
    </a:p>
  </c:txPr>
  <c:externalData r:id="rId1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100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10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10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>
      <cs:styleClr val="auto"/>
    </cs:lnRef>
    <cs:fillRef idx="1">
      <cs:styleClr val="auto"/>
    </cs:fillRef>
    <cs:effectRef idx="0"/>
    <cs:fontRef idx="minor">
      <a:schemeClr val="dk1"/>
    </cs:fontRef>
    <cs:spPr>
      <a:ln>
        <a:noFill/>
      </a:ln>
      <a:effectLst/>
    </cs:spPr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lt1">
            <a:lumMod val="902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75000"/>
        <a:lumOff val="25000"/>
      </a:schemeClr>
    </cs:fontRef>
    <cs:defRPr sz="1400" b="1" kern="120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TJJ</Company>
  <Pages>14</Pages>
  <Words>5864</Words>
  <Characters>7490</Characters>
  <Lines>66</Lines>
  <Paragraphs>18</Paragraphs>
  <TotalTime>0</TotalTime>
  <ScaleCrop>false</ScaleCrop>
  <LinksUpToDate>false</LinksUpToDate>
  <CharactersWithSpaces>7527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2025-03-07T06:36:00Z</cp:lastPrinted>
  <dcterms:modified xsi:type="dcterms:W3CDTF">2025-04-11T02:08:07Z</dcterms:modified>
  <cp:revision>410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KSOSaveFontToCloudKey">
    <vt:lpwstr>533652956_btnclosed</vt:lpwstr>
  </property>
  <property fmtid="{D5CDD505-2E9C-101B-9397-08002B2CF9AE}" pid="4" name="ICV">
    <vt:lpwstr>DD26162CB50C4DF98F8BFE734A8102DA_13</vt:lpwstr>
  </property>
  <property fmtid="{D5CDD505-2E9C-101B-9397-08002B2CF9AE}" pid="5" name="KSOTemplateDocerSaveRecord">
    <vt:lpwstr>eyJoZGlkIjoiNjczZjU2M2YzZDBkZWVlMDA5OGMxNTVkNmM3OGY1ZmIifQ==</vt:lpwstr>
  </property>
</Properties>
</file>