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jc w:val="center"/>
        <w:rPr>
          <w:rFonts w:hint="default" w:ascii="Times New Roman" w:hAnsi="Times New Roman" w:eastAsia="宋体" w:cs="Times New Roman"/>
          <w:b/>
          <w:szCs w:val="2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重庆市綦江区普法工作办公室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关于开展綦江区</w:t>
      </w: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年全民国家安全教育日普法宣传活动的通知</w:t>
      </w:r>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rPr>
      </w:pPr>
      <w:r>
        <w:rPr>
          <w:rFonts w:hint="eastAsia" w:ascii="Times New Roman" w:hAnsi="Times New Roman" w:eastAsia="方正仿宋_GBK" w:cs="Times New Roman"/>
        </w:rPr>
        <w:t>各街道办事处、各镇人民政府，区委各部委办局，区级各部门，各人民团体，在綦市管单位：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今年是习近平总书记提出总体国家安全观10周年，4月15日是第九个全民国家安全教育日。为深入贯彻落实习近平总书记关于全面加强国家安全教育的重要指示批示精神，推动国家安全法治宣传教育走深走实，增强全民国家安全意识和法治意识，根据《重庆市司法局  重庆市普法工作办公室关于转发&lt;司法部 全国普法办关于开展2024年全民国家安全教育日普法宣传活动的通知&gt;的通知》（渝普法办〔2024〕4号）要求，綦江区决定在全区开展2024年全民国家安全教育日普法宣传活动。现就有关事项通知如下。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坚持以习近平新时代中国特色社会主义思想为指导，全面贯彻落实党的二十大和二十届二中全会精神，深入学习贯彻习近平法治思想，深刻领悟“两个确立”的决定性意义，增强“四个意识”、坚定“四个自信”、做到“两个维护”，以总体国家安全观为引领，全面加强国家安全法治宣传教育，推动国家安全法律法规进农村、进社区、进校园、进机关、进企业、进军营、进网络，推动大安全理念深入人心、落地生根，为推进中国式现代化营造良好法治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二、活动主题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总体国家安全观·创新引领10周年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三、重点内容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方正楷体_GBK" w:hAnsi="方正楷体_GBK" w:eastAsia="方正楷体_GBK" w:cs="方正楷体_GBK"/>
        </w:rPr>
        <w:t>（一）</w:t>
      </w:r>
      <w:r>
        <w:rPr>
          <w:rFonts w:hint="eastAsia" w:ascii="Times New Roman" w:hAnsi="Times New Roman" w:eastAsia="方正仿宋_GBK" w:cs="Times New Roman"/>
        </w:rPr>
        <w:t>大力宣传新时代国家安全发生的历史性变革、取得的历史性成就、积累的宝贵经验；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方正楷体_GBK" w:hAnsi="方正楷体_GBK" w:eastAsia="方正楷体_GBK" w:cs="方正楷体_GBK"/>
        </w:rPr>
        <w:t>（二）</w:t>
      </w:r>
      <w:r>
        <w:rPr>
          <w:rFonts w:hint="eastAsia" w:ascii="Times New Roman" w:hAnsi="Times New Roman" w:eastAsia="方正仿宋_GBK" w:cs="Times New Roman"/>
        </w:rPr>
        <w:t>大力宣传习近平法治思想，深入学习领会习近平法治思想的重大意义、丰富内涵、精神实质和实践要求；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方正楷体_GBK" w:hAnsi="方正楷体_GBK" w:eastAsia="方正楷体_GBK" w:cs="方正楷体_GBK"/>
        </w:rPr>
        <w:t>（三）</w:t>
      </w:r>
      <w:r>
        <w:rPr>
          <w:rFonts w:hint="eastAsia" w:ascii="Times New Roman" w:hAnsi="Times New Roman" w:eastAsia="方正仿宋_GBK" w:cs="Times New Roman"/>
        </w:rPr>
        <w:t>大力宣传总体国家安全观，深入学习领会习近平总书记关于总体国家安全观的重要论述；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方正楷体_GBK" w:hAnsi="方正楷体_GBK" w:eastAsia="方正楷体_GBK" w:cs="方正楷体_GBK"/>
        </w:rPr>
        <w:t>（四）</w:t>
      </w:r>
      <w:r>
        <w:rPr>
          <w:rFonts w:hint="eastAsia" w:ascii="Times New Roman" w:hAnsi="Times New Roman" w:eastAsia="方正仿宋_GBK" w:cs="Times New Roman"/>
        </w:rPr>
        <w:t>大力宣传国家安全法、反分裂国家法、国防法、反恐怖主义法、反间谍法、数据安全法、生物安全法、网络安全法、爱国主义教育法等国家安全法律法规。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方正楷体_GBK" w:hAnsi="方正楷体_GBK" w:eastAsia="方正楷体_GBK" w:cs="方正楷体_GBK"/>
        </w:rPr>
        <w:t>（一）开展集中宣传活动。</w:t>
      </w:r>
      <w:r>
        <w:rPr>
          <w:rFonts w:hint="eastAsia" w:ascii="Times New Roman" w:hAnsi="Times New Roman" w:eastAsia="方正仿宋_GBK" w:cs="Times New Roman"/>
        </w:rPr>
        <w:t>各街镇各部门要结合实际，通过多种形式，面向广大群众宣讲国家安全法律法规。充分利用以国家安全为主题的法治宣传教育基地以及爱国主义教育基地，举办国家安全主题展览、法治讲座、法治文艺巡演等丰富多样的集中宣传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方正楷体_GBK" w:hAnsi="方正楷体_GBK" w:eastAsia="方正楷体_GBK" w:cs="方正楷体_GBK"/>
        </w:rPr>
        <w:t>（二）加强重点群体宣传。</w:t>
      </w:r>
      <w:r>
        <w:rPr>
          <w:rFonts w:hint="eastAsia" w:ascii="Times New Roman" w:hAnsi="Times New Roman" w:eastAsia="方正仿宋_GBK" w:cs="Times New Roman"/>
        </w:rPr>
        <w:t>认真落实领导干部应知应会党内法规和国家法律清单制度，利用党委（党组）理论学习中心组学习、政府常务会议会前学法等形式，推动各级领导干部学习掌握国家安全法律法规，提高运用法律手段防范化解重大风险的能力。提高青少年国家安全法治宣传教育质效，支持大中小学校组织开展国家安全法律法规案例教学和国家安全法律知识竞赛、主题征文、辩论赛等生动有趣的活动，用好大学生普法志愿者，充分发挥青少年法治教育实践基地等“第二课堂”作用，引导青少年曾庆国家安全意识和法治观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方正楷体_GBK" w:hAnsi="方正楷体_GBK" w:eastAsia="方正楷体_GBK" w:cs="方正楷体_GBK"/>
        </w:rPr>
        <w:t>（三）广泛开展网络宣传。</w:t>
      </w:r>
      <w:r>
        <w:rPr>
          <w:rFonts w:hint="eastAsia" w:ascii="Times New Roman" w:hAnsi="Times New Roman" w:eastAsia="方正仿宋_GBK" w:cs="Times New Roman"/>
        </w:rPr>
        <w:t>利用各类普法网站、微信公众号、微博、客户端和“学习强国”学习平台等，开设学习总体国家安全观专栏，发布短视频、微电影、动漫、宣传片、图解等优秀国家安全普法作品。积极转载使用司法部、普法办设计制作的全民国家安全教育日宣传挂图；组织引导广大群众积极参与中国普法微信公众号推出的全民国家安全教育日专项答题，营造依法维护国家安全的浓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方正楷体_GBK" w:hAnsi="方正楷体_GBK" w:eastAsia="方正楷体_GBK" w:cs="方正楷体_GBK"/>
        </w:rPr>
        <w:t>（四）发动社会力量参与宣传。</w:t>
      </w:r>
      <w:r>
        <w:rPr>
          <w:rFonts w:hint="eastAsia" w:ascii="Times New Roman" w:hAnsi="Times New Roman" w:eastAsia="方正仿宋_GBK" w:cs="Times New Roman"/>
        </w:rPr>
        <w:t>围绕“让人民群众的安全感更有保障”目标，充分发挥“法律明白人”、普法讲师团等社会力量作用，深入农村、社区、学校、企业等开展国家安全法律法规宣讲。鼓励电视、报刊、电台等媒体积极履行公益普法责任，运用自身平台开展国家安全法治宣传教育。广泛开展以国家安全为主题的群众性法治文化活动，筑牢国家安全人民防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五、组织实施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方正仿宋_GBK"/>
        </w:rPr>
      </w:pPr>
      <w:r>
        <w:rPr>
          <w:rFonts w:hint="eastAsia" w:ascii="Times New Roman" w:hAnsi="Times New Roman" w:eastAsia="方正仿宋_GBK" w:cs="Times New Roman"/>
        </w:rPr>
        <w:t>要加强组织领导，充分认识国家安全法治宣传教育的重要性，把2024年全民国家安全教育日普法宣传活动列入重要日程，精心组织实施。牢牢把握正确政治方向和舆论导向，严格落实意识形态工作责任制，积极稳妥开展宣传，严守保密安全底线。全面落实“谁执法谁普法”普法责任制，加强统筹协调，推动国家安全法治宣传教育常态化开展，形成国家安全法治宣传教育长效机制。要创新方式手段，注重运用新媒体新技术开展普法，综合运用“报、网、端、微、屏”等资源和平台，增强普法针对性和精准性，积极利用国家安全典型案例讲解法律规定，加大以案普法和警示教育力度，用身边事教育身边人。要增强工作实效，紧贴人民群众法治需求，坚持“小快灵”普法，多开展让群众喜欢参与、学有所得的普法活动，多创作让群众听得懂、记得住的普法作品，增强群众的获得感和满意度，坚决防止形式主义。规范使用全民国家安全教育日活动标识，准确宣传解读国家安全法律法规，弘扬法治正能量</w:t>
      </w:r>
      <w:r>
        <w:rPr>
          <w:rFonts w:eastAsia="方正仿宋_GBK"/>
        </w:rPr>
        <w:t>。</w:t>
      </w:r>
    </w:p>
    <w:p>
      <w:pPr>
        <w:pStyle w:val="2"/>
        <w:wordWrap/>
        <w:rPr>
          <w:rFonts w:hint="default" w:ascii="Times New Roman" w:hAnsi="Times New Roman" w:eastAsia="方正仿宋_GBK" w:cs="Times New Roman"/>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 xml:space="preserve"> </w:t>
      </w:r>
      <w:r>
        <w:rPr>
          <w:rFonts w:hint="default" w:ascii="Times New Roman" w:hAnsi="Times New Roman" w:eastAsia="方正仿宋_GBK" w:cs="Times New Roman"/>
          <w:w w:val="100"/>
          <w:sz w:val="32"/>
          <w:szCs w:val="32"/>
        </w:rPr>
        <w:t>重庆市綦江区普法工作办公室</w:t>
      </w:r>
      <w:r>
        <w:rPr>
          <w:rFonts w:hint="default" w:ascii="Times New Roman" w:hAnsi="Times New Roman" w:eastAsia="方正仿宋_GBK" w:cs="Times New Roman"/>
          <w:w w:val="1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eastAsia"/>
          <w:lang w:val="en-US" w:eastAsia="zh-CN"/>
        </w:rPr>
      </w:pPr>
      <w:r>
        <w:rPr>
          <w:rFonts w:hint="eastAsia" w:eastAsia="方正仿宋_GBK" w:cs="Times New Roman"/>
          <w:w w:val="100"/>
          <w:sz w:val="32"/>
          <w:szCs w:val="32"/>
          <w:lang w:val="en-US" w:eastAsia="zh-CN"/>
        </w:rPr>
        <w:t xml:space="preserve">                           </w:t>
      </w:r>
      <w:r>
        <w:rPr>
          <w:rFonts w:hint="default" w:ascii="Times New Roman" w:hAnsi="Times New Roman" w:eastAsia="方正仿宋_GBK" w:cs="Times New Roman"/>
          <w:w w:val="100"/>
          <w:sz w:val="32"/>
          <w:szCs w:val="32"/>
        </w:rPr>
        <w:t>20</w:t>
      </w:r>
      <w:r>
        <w:rPr>
          <w:rFonts w:hint="eastAsia" w:ascii="Times New Roman" w:hAnsi="Times New Roman" w:eastAsia="方正仿宋_GBK" w:cs="Times New Roman"/>
          <w:w w:val="100"/>
          <w:sz w:val="32"/>
          <w:szCs w:val="32"/>
          <w:lang w:val="en-US" w:eastAsia="zh-CN"/>
        </w:rPr>
        <w:t>24</w:t>
      </w:r>
      <w:r>
        <w:rPr>
          <w:rFonts w:hint="default" w:ascii="Times New Roman" w:hAnsi="Times New Roman" w:eastAsia="方正仿宋_GBK" w:cs="Times New Roman"/>
          <w:w w:val="100"/>
          <w:sz w:val="32"/>
          <w:szCs w:val="32"/>
        </w:rPr>
        <w:t>年</w:t>
      </w:r>
      <w:r>
        <w:rPr>
          <w:rFonts w:hint="eastAsia" w:eastAsia="方正仿宋_GBK" w:cs="Times New Roman"/>
          <w:w w:val="100"/>
          <w:sz w:val="32"/>
          <w:szCs w:val="32"/>
          <w:lang w:val="en-US" w:eastAsia="zh-CN"/>
        </w:rPr>
        <w:t>4</w:t>
      </w:r>
      <w:r>
        <w:rPr>
          <w:rFonts w:hint="default" w:ascii="Times New Roman" w:hAnsi="Times New Roman" w:eastAsia="方正仿宋_GBK" w:cs="Times New Roman"/>
          <w:w w:val="100"/>
          <w:sz w:val="32"/>
          <w:szCs w:val="32"/>
        </w:rPr>
        <w:t>月</w:t>
      </w:r>
      <w:r>
        <w:rPr>
          <w:rFonts w:hint="eastAsia" w:ascii="Times New Roman" w:hAnsi="Times New Roman" w:eastAsia="方正仿宋_GBK" w:cs="Times New Roman"/>
          <w:w w:val="100"/>
          <w:sz w:val="32"/>
          <w:szCs w:val="32"/>
          <w:lang w:val="en-US" w:eastAsia="zh-CN"/>
        </w:rPr>
        <w:t>1</w:t>
      </w:r>
      <w:r>
        <w:rPr>
          <w:rFonts w:hint="eastAsia" w:eastAsia="方正仿宋_GBK" w:cs="Times New Roman"/>
          <w:w w:val="100"/>
          <w:sz w:val="32"/>
          <w:szCs w:val="32"/>
          <w:lang w:val="en-US" w:eastAsia="zh-CN"/>
        </w:rPr>
        <w:t>2</w:t>
      </w:r>
      <w:r>
        <w:rPr>
          <w:rFonts w:hint="default" w:ascii="Times New Roman" w:hAnsi="Times New Roman" w:eastAsia="方正仿宋_GBK" w:cs="Times New Roman"/>
          <w:w w:val="100"/>
          <w:sz w:val="32"/>
          <w:szCs w:val="32"/>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-393700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pt;height:144pt;width:144pt;mso-position-horizontal:outside;mso-position-horizontal-relative:margin;mso-wrap-style:none;z-index:251658240;mso-width-relative:page;mso-height-relative:page;" filled="f" stroked="f" coordsize="21600,21600" o:gfxdata="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CLsKv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JkNWY4MDk5NDU2MzY5ZjBkYzc1ZDhiMmM5ZTgifQ=="/>
  </w:docVars>
  <w:rsids>
    <w:rsidRoot w:val="00000000"/>
    <w:rsid w:val="029570F9"/>
    <w:rsid w:val="07C27926"/>
    <w:rsid w:val="0C3A57F1"/>
    <w:rsid w:val="0FDF2165"/>
    <w:rsid w:val="17A304DA"/>
    <w:rsid w:val="1F462277"/>
    <w:rsid w:val="6E5F7D45"/>
    <w:rsid w:val="762506C3"/>
    <w:rsid w:val="7D771379"/>
    <w:rsid w:val="7FF3C35C"/>
    <w:rsid w:val="FFFEE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pPr>
    <w:rPr>
      <w:rFonts w:ascii="Calibri" w:hAnsi="Calibri"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2024-01-05T22:50:00Z</dcterms:created>
  <dc:creator>Administrator</dc:creator>
  <cp:lastModifiedBy>Administrator</cp:lastModifiedBy>
  <cp:lastPrinted>2024-01-12T01:28:00Z</cp:lastPrinted>
  <dcterms:modified xsi:type="dcterms:W3CDTF">2024-10-28T04:32:50Z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400474A7DE994FB8B81B1ABB23C6DCCE_12</vt:lpwstr>
  </property>
</Properties>
</file>