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Times New Roman" w:hAnsi="Times New Roman" w:eastAsia="方正仿宋_GBK" w:cs="Times New Roman"/>
          <w:sz w:val="32"/>
          <w:szCs w:val="20"/>
        </w:rPr>
      </w:pPr>
    </w:p>
    <w:p>
      <w:pPr>
        <w:spacing w:line="576" w:lineRule="exact"/>
        <w:rPr>
          <w:rFonts w:ascii="Times New Roman" w:hAnsi="Times New Roman" w:eastAsia="方正仿宋_GBK" w:cs="Times New Roman"/>
          <w:sz w:val="32"/>
          <w:szCs w:val="20"/>
        </w:rPr>
      </w:pPr>
    </w:p>
    <w:p>
      <w:pPr>
        <w:spacing w:line="576" w:lineRule="exact"/>
        <w:rPr>
          <w:rFonts w:ascii="Times New Roman" w:hAnsi="Times New Roman" w:eastAsia="方正仿宋_GBK" w:cs="Times New Roman"/>
          <w:sz w:val="32"/>
          <w:szCs w:val="20"/>
        </w:rPr>
      </w:pPr>
    </w:p>
    <w:p>
      <w:pPr>
        <w:spacing w:line="576" w:lineRule="exact"/>
        <w:rPr>
          <w:rFonts w:ascii="Times New Roman" w:hAnsi="Times New Roman" w:eastAsia="方正仿宋_GBK" w:cs="Times New Roman"/>
          <w:sz w:val="32"/>
          <w:szCs w:val="20"/>
        </w:rPr>
      </w:pPr>
    </w:p>
    <w:p>
      <w:pPr>
        <w:spacing w:line="576" w:lineRule="exact"/>
        <w:rPr>
          <w:rFonts w:ascii="Times New Roman" w:hAnsi="Times New Roman" w:eastAsia="方正仿宋_GBK" w:cs="Times New Roman"/>
          <w:sz w:val="32"/>
          <w:szCs w:val="20"/>
        </w:rPr>
      </w:pPr>
    </w:p>
    <w:p>
      <w:pPr>
        <w:spacing w:line="576" w:lineRule="exact"/>
        <w:rPr>
          <w:rFonts w:ascii="Times New Roman" w:hAnsi="Times New Roman" w:eastAsia="方正仿宋_GBK" w:cs="Times New Roman"/>
          <w:sz w:val="10"/>
          <w:szCs w:val="10"/>
        </w:rPr>
      </w:pPr>
    </w:p>
    <w:p>
      <w:pPr>
        <w:spacing w:line="576" w:lineRule="exact"/>
        <w:jc w:val="center"/>
        <w:rPr>
          <w:rFonts w:ascii="Times New Roman" w:hAnsi="Times New Roman" w:eastAsia="方正仿宋_GBK" w:cs="Times New Roman"/>
          <w:sz w:val="32"/>
          <w:szCs w:val="20"/>
        </w:rPr>
      </w:pPr>
      <w:r>
        <w:rPr>
          <w:rFonts w:ascii="Times New Roman" w:hAnsi="Times New Roman" w:eastAsia="方正仿宋_GBK" w:cs="Times New Roman"/>
          <w:color w:val="000000"/>
          <w:spacing w:val="20"/>
          <w:sz w:val="32"/>
          <w:szCs w:val="32"/>
        </w:rPr>
        <w:t>綦农委〔</w:t>
      </w:r>
      <w:r>
        <w:rPr>
          <w:rFonts w:hint="default" w:ascii="Times New Roman" w:hAnsi="Times New Roman" w:eastAsia="方正仿宋_GBK" w:cs="Times New Roman"/>
          <w:color w:val="000000"/>
          <w:spacing w:val="20"/>
          <w:sz w:val="32"/>
          <w:szCs w:val="32"/>
        </w:rPr>
        <w:t>202</w:t>
      </w:r>
      <w:r>
        <w:rPr>
          <w:rFonts w:hint="eastAsia" w:ascii="Times New Roman" w:hAnsi="Times New Roman" w:eastAsia="方正仿宋_GBK" w:cs="Times New Roman"/>
          <w:color w:val="000000"/>
          <w:spacing w:val="20"/>
          <w:sz w:val="32"/>
          <w:szCs w:val="32"/>
          <w:lang w:val="en-US" w:eastAsia="zh-CN"/>
        </w:rPr>
        <w:t>5</w:t>
      </w:r>
      <w:r>
        <w:rPr>
          <w:rFonts w:ascii="Times New Roman" w:hAnsi="Times New Roman" w:eastAsia="方正仿宋_GBK" w:cs="Times New Roman"/>
          <w:color w:val="000000"/>
          <w:spacing w:val="20"/>
          <w:sz w:val="32"/>
          <w:szCs w:val="32"/>
        </w:rPr>
        <w:t>〕</w:t>
      </w:r>
      <w:r>
        <w:rPr>
          <w:rFonts w:hint="eastAsia" w:ascii="Times New Roman" w:hAnsi="Times New Roman" w:eastAsia="方正仿宋_GBK" w:cs="Times New Roman"/>
          <w:color w:val="000000"/>
          <w:spacing w:val="20"/>
          <w:sz w:val="32"/>
          <w:szCs w:val="32"/>
          <w:lang w:val="en-US" w:eastAsia="zh-CN"/>
        </w:rPr>
        <w:t>6</w:t>
      </w:r>
      <w:bookmarkStart w:id="0" w:name="_GoBack"/>
      <w:bookmarkEnd w:id="0"/>
      <w:r>
        <w:rPr>
          <w:rFonts w:ascii="Times New Roman" w:hAnsi="Times New Roman" w:eastAsia="方正仿宋_GBK" w:cs="Times New Roman"/>
          <w:color w:val="000000"/>
          <w:spacing w:val="20"/>
          <w:sz w:val="32"/>
          <w:szCs w:val="20"/>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宋体" w:cs="Times New Roman"/>
        </w:rPr>
      </w:pPr>
      <w:r>
        <w:rPr>
          <w:rFonts w:hint="default" w:ascii="Times New Roman" w:hAnsi="Times New Roman" w:eastAsia="方正小标宋_GBK" w:cs="Times New Roman"/>
          <w:sz w:val="44"/>
          <w:szCs w:val="52"/>
          <w:lang w:val="en-US" w:eastAsia="zh-CN"/>
        </w:rPr>
        <w:t>重庆市綦江区</w:t>
      </w:r>
      <w:r>
        <w:rPr>
          <w:rFonts w:hint="default" w:ascii="Times New Roman" w:hAnsi="Times New Roman" w:eastAsia="方正小标宋_GBK" w:cs="Times New Roman"/>
          <w:sz w:val="44"/>
          <w:szCs w:val="52"/>
        </w:rPr>
        <w:t>农业农村委员会</w:t>
      </w:r>
    </w:p>
    <w:p>
      <w:pPr>
        <w:pStyle w:val="2"/>
        <w:keepNext w:val="0"/>
        <w:keepLines w:val="0"/>
        <w:pageBreakBefore w:val="0"/>
        <w:widowControl w:val="0"/>
        <w:kinsoku/>
        <w:wordWrap/>
        <w:overflowPunct/>
        <w:topLinePunct w:val="0"/>
        <w:autoSpaceDE/>
        <w:autoSpaceDN/>
        <w:bidi w:val="0"/>
        <w:adjustRightInd/>
        <w:spacing w:line="720" w:lineRule="exact"/>
        <w:jc w:val="center"/>
        <w:textAlignment w:val="auto"/>
        <w:rPr>
          <w:rFonts w:hint="eastAsia" w:ascii="Times New Roman" w:hAnsi="Times New Roman" w:eastAsia="方正小标宋_GBK" w:cs="Times New Roman"/>
          <w:sz w:val="44"/>
          <w:szCs w:val="52"/>
          <w:lang w:val="en-US" w:eastAsia="zh-CN"/>
        </w:rPr>
      </w:pPr>
      <w:r>
        <w:rPr>
          <w:rFonts w:hint="eastAsia" w:ascii="Times New Roman" w:hAnsi="Times New Roman" w:eastAsia="方正小标宋_GBK" w:cs="Times New Roman"/>
          <w:sz w:val="44"/>
          <w:szCs w:val="52"/>
          <w:lang w:val="en-US" w:eastAsia="zh-CN"/>
        </w:rPr>
        <w:t>关于变更调整2023年度中央农业产业发展资金部分项目(渔业发展支持方向）的通知</w:t>
      </w:r>
    </w:p>
    <w:p>
      <w:pPr>
        <w:pStyle w:val="2"/>
        <w:rPr>
          <w:rFonts w:hint="eastAsia" w:ascii="Times New Roman" w:hAnsi="Times New Roman" w:eastAsia="宋体" w:cs="Times New Roman"/>
          <w:lang w:eastAsia="zh-C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新盛街道、石壕镇及相关项目实施单位：</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进一步规范和优化2023年度中央农业产业发展资金的使用，确保渔业发展支持方向项目的顺利实施，根据《重庆市农业农村委员会重庆市财政局关于做好2023年中央粮油生产保障等项目实施工作的通知》（渝农发〔2023〕102号）、重庆市綦江区农业农村委员会重庆市綦江区财政局关于2023年度中央农业产业发展资金项目(渔业发展支持方向）的通知綦农委〔2024〕23号及相关文件精神，结合我区渔业发展实际情况，经研究决定，对 2023 年度中央农业产业发展资金部分项目（渔业发展支持方向）进行变更调整。现将有关事项通知如下：</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一、项目变更调整背景</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原定项目名称为“重庆市綦江区锦燊生态农业股份合作社渔业养殖设施升级项目”，该项目计划投入中央农业产业发展资金45万元，用于建设现代化渔业养殖设施，包括养殖池塘标准化改造、水质监测系统安装、养殖设备购置等内容。然而，在项目推进过程中，由于锦燊生态农业股份合作社内部管理工作出现问题，导致项目资金筹集不足，项目进度严重滞后，难以按照原定计划完成建设任务。鉴于此情况，为确保资金使用的有效性和项目的可持续性，经新盛街道申请，并结合其他渔业经营主体的主动申报情况，区农业农村委员会研究决定，对部分渔业发展支持方向的项目进行变更调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二、变更调整内容</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（一）项目实施主体变更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将原项目实施主体新盛街道“重庆市綦江区锦燊生态农业股份合作社”变更为石壕镇“重庆市綦江区金祖利家庭农场”，该家庭农场具备丰富的渔业养殖经验和良好的经营管理能力，能够确保项目顺利实施。</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（二）项目建设内容调整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经过变更调整，项目建设内容主要包括以下三个方面：</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1、土建改造：投入资金33.38万元，针对家庭农场45亩鱼塘区域，进行成鱼样品展示池建造、混凝土桥及场内道路修建、排水工程和进水管道铺设等土建工程，以改善鱼塘基础设施条件。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智能化渔业设备安装：投入资金9.68万元，为金祖利家庭农场安装网络设备、养殖水域环境监测系统、视频监控系统、精准投料系统和增氧系统等智能化渔业设备，实现渔业养殖的精准管理与监控，提升养殖效率。</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3、电力保障设施升级：投入资金3.48万元，对金祖利家庭农场现有的供电线路进行全面检查评估，更换老化破损的电线电缆，并新增2.4KW发电机1台，确保电力稳定供应，满足渔业养殖设备的用电需求。</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（三）资金预算调整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原项目“重庆市綦江区锦燊生态农业股份合作社池塘标准化鱼塘改造项目”总投资额为45万元，其中业主自筹15万元，财政补助资金30万元。现变更为“重庆市綦江区金祖利家庭农场标准化鱼塘改造项目”，总投资额为46.54万元。其中，业主自筹资金调整为16.54万元，申请财政补助资金仍为30万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三、变更调整后项目实施要求</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（一）项目实施时间：调整后的项目实施时间为2025年 1 月至2025年3月。</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项目管理与监督：由于项目资金使用期限即将到期，请各相关镇人民政府要加强对项目实施的监督管理，督促项目实施主体严格按照调整后的项目建设内容和时间节点推进项目实施。区农业农村委将定期组织项目检查，确保项目质量和资金使用安全。</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资金拨付与使用：项目资金按“先建后补”拨付，即项目实施主体先自筹资金启动项目，验收合格并按要求完善竣工资料后申请补助资金。项目实施主体须严格依资金使用规定安排款项，专款专用，严禁挪作他用，全程接受审计监督并出具相应的审计报告，保障项目顺利推进、高质量完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项目验收与绩效评价：项目实施主体在项目建设完工并自验合格后，及时向街镇申请验收。单个实施主体单个项目财政投资在30万元以上的，街镇验收合格后向区农业农村委申请区级验收。并开展绩效评价，确保项目达到预期目标。</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四、公示与反馈</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本次项目变更调整公示时间为2025年1月16日至2025年1月23日（共5个工作日）。公示期间，欢迎社会各界监督，如有异议，请以电话或书面形式向区农业农村委员会反映。监督举报电话：023-85880918。</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附件：2023年度中央农业产业发展资金项目（渔业发展支持方向）变更调整实施主体及项目内容汇总表</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此页无正文</w:t>
      </w: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2312" w:hAnsi="方正仿宋_GB2312" w:eastAsia="方正仿宋_GB2312" w:cs="方正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ind w:firstLine="4160" w:firstLineChars="13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重庆市綦江区农业农村委</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4800" w:firstLineChars="15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2025年1年15日</w:t>
      </w:r>
    </w:p>
    <w:p>
      <w:pPr>
        <w:pStyle w:val="2"/>
        <w:ind w:firstLine="4800" w:firstLineChars="1500"/>
        <w:rPr>
          <w:rFonts w:hint="eastAsia" w:ascii="方正仿宋_GB2312" w:hAnsi="方正仿宋_GB2312" w:eastAsia="方正仿宋_GB2312" w:cs="方正仿宋_GB2312"/>
          <w:sz w:val="32"/>
          <w:szCs w:val="32"/>
          <w:lang w:val="en-US" w:eastAsia="zh-CN"/>
        </w:rPr>
      </w:pPr>
    </w:p>
    <w:p>
      <w:pPr>
        <w:pStyle w:val="2"/>
        <w:ind w:firstLine="4800" w:firstLineChars="1500"/>
        <w:rPr>
          <w:rFonts w:hint="default" w:ascii="方正仿宋_GB2312" w:hAnsi="方正仿宋_GB2312" w:eastAsia="方正仿宋_GB2312" w:cs="方正仿宋_GB2312"/>
          <w:sz w:val="32"/>
          <w:szCs w:val="32"/>
          <w:lang w:val="en-US" w:eastAsia="zh-CN"/>
        </w:rPr>
      </w:pPr>
    </w:p>
    <w:p>
      <w:pPr>
        <w:pStyle w:val="2"/>
        <w:ind w:firstLine="4800" w:firstLineChars="1500"/>
        <w:rPr>
          <w:rFonts w:hint="default" w:ascii="方正仿宋_GB2312" w:hAnsi="方正仿宋_GB2312" w:eastAsia="方正仿宋_GB2312" w:cs="方正仿宋_GB2312"/>
          <w:sz w:val="32"/>
          <w:szCs w:val="32"/>
          <w:lang w:val="en-US" w:eastAsia="zh-CN"/>
        </w:rPr>
      </w:pPr>
    </w:p>
    <w:tbl>
      <w:tblPr>
        <w:tblStyle w:val="8"/>
        <w:tblpPr w:leftFromText="180" w:rightFromText="180" w:vertAnchor="text" w:horzAnchor="page" w:tblpX="1661" w:tblpY="153"/>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9" w:type="dxa"/>
          </w:tcPr>
          <w:p>
            <w:pPr>
              <w:spacing w:line="576" w:lineRule="exact"/>
              <w:rPr>
                <w:rFonts w:ascii="Times New Roman" w:hAnsi="Times New Roman" w:eastAsia="方正仿宋_GBK" w:cs="Times New Roman"/>
                <w:color w:val="000000"/>
                <w:sz w:val="28"/>
                <w:szCs w:val="28"/>
              </w:rPr>
            </w:pPr>
            <w:r>
              <w:rPr>
                <w:rFonts w:ascii="Times New Roman" w:hAnsi="Times New Roman" w:eastAsia="方正仿宋_GBK" w:cs="Times New Roman"/>
                <w:sz w:val="28"/>
                <w:szCs w:val="28"/>
              </w:rPr>
              <w:t xml:space="preserve">重庆市綦江区农业农村委员会办公室     </w:t>
            </w:r>
            <w:r>
              <w:rPr>
                <w:rFonts w:hint="eastAsia"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2024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15</w:t>
            </w:r>
            <w:r>
              <w:rPr>
                <w:rFonts w:ascii="Times New Roman" w:hAnsi="Times New Roman" w:eastAsia="方正仿宋_GBK" w:cs="Times New Roman"/>
                <w:sz w:val="28"/>
                <w:szCs w:val="28"/>
              </w:rPr>
              <w:t>日印发</w:t>
            </w:r>
          </w:p>
        </w:tc>
      </w:tr>
    </w:tbl>
    <w:p>
      <w:pPr>
        <w:pStyle w:val="2"/>
        <w:rPr>
          <w:rFonts w:hint="default" w:ascii="Times New Roman" w:hAnsi="Times New Roman" w:cs="Times New Roman"/>
          <w:sz w:val="21"/>
          <w:szCs w:val="21"/>
          <w:lang w:val="en-US" w:eastAsia="zh-CN"/>
        </w:rPr>
      </w:pPr>
    </w:p>
    <w:p>
      <w:pPr>
        <w:pStyle w:val="2"/>
        <w:rPr>
          <w:rFonts w:hint="default" w:ascii="Times New Roman" w:hAnsi="Times New Roman" w:cs="Times New Roman"/>
          <w:sz w:val="21"/>
          <w:szCs w:val="21"/>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8"/>
        <w:tblW w:w="16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325"/>
        <w:gridCol w:w="818"/>
        <w:gridCol w:w="646"/>
        <w:gridCol w:w="850"/>
        <w:gridCol w:w="618"/>
        <w:gridCol w:w="984"/>
        <w:gridCol w:w="3120"/>
        <w:gridCol w:w="3151"/>
        <w:gridCol w:w="3766"/>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63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663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2023年度中央农业产业发展资金项目（渔业发展支持方向）变更调整实施主体及项目内容汇总表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项目实施单位</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项目总投资(万元）</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财政资金</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建设地点</w:t>
            </w:r>
          </w:p>
        </w:tc>
        <w:tc>
          <w:tcPr>
            <w:tcW w:w="3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建设内容</w:t>
            </w:r>
          </w:p>
        </w:tc>
        <w:tc>
          <w:tcPr>
            <w:tcW w:w="3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申请财政补助环节</w:t>
            </w:r>
          </w:p>
        </w:tc>
        <w:tc>
          <w:tcPr>
            <w:tcW w:w="3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资金文号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补助金额(万元）</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jc w:val="center"/>
        </w:trPr>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金祖利家庭农场标准化鱼塘改造项目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重庆市綦江区金祖利家庭农场</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46.54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綦农委〔2025〕XXX号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重庆綦江区石壕镇长征村一社</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1、土建改造：针对家庭农场45亩鱼塘区域，进行成鱼样品展示池建造、混凝土桥及场内道路修建、排水工程和进水管道铺设等土建工程，以改善鱼塘基础设施条件。</w:t>
            </w:r>
            <w:r>
              <w:rPr>
                <w:rFonts w:hint="eastAsia" w:ascii="方正仿宋_GBK" w:hAnsi="方正仿宋_GBK" w:eastAsia="方正仿宋_GBK" w:cs="方正仿宋_GBK"/>
                <w:i w:val="0"/>
                <w:iCs w:val="0"/>
                <w:color w:val="000000"/>
                <w:kern w:val="0"/>
                <w:sz w:val="16"/>
                <w:szCs w:val="16"/>
                <w:u w:val="none"/>
                <w:lang w:val="en-US" w:eastAsia="zh-CN" w:bidi="ar"/>
              </w:rPr>
              <w:br w:type="textWrapping"/>
            </w:r>
            <w:r>
              <w:rPr>
                <w:rFonts w:hint="eastAsia" w:ascii="方正仿宋_GBK" w:hAnsi="方正仿宋_GBK" w:eastAsia="方正仿宋_GBK" w:cs="方正仿宋_GBK"/>
                <w:i w:val="0"/>
                <w:iCs w:val="0"/>
                <w:color w:val="000000"/>
                <w:kern w:val="0"/>
                <w:sz w:val="16"/>
                <w:szCs w:val="16"/>
                <w:u w:val="none"/>
                <w:lang w:val="en-US" w:eastAsia="zh-CN" w:bidi="ar"/>
              </w:rPr>
              <w:t>2、智能化渔业设备安装：为农场安装网络设备、养殖水域环境监测系统、视频监控系统、精准投料系统和增氧系统等智能化渔业设备，实现渔业养殖的精准管理与监控，提升养殖效率。</w:t>
            </w:r>
            <w:r>
              <w:rPr>
                <w:rFonts w:hint="eastAsia" w:ascii="方正仿宋_GBK" w:hAnsi="方正仿宋_GBK" w:eastAsia="方正仿宋_GBK" w:cs="方正仿宋_GBK"/>
                <w:i w:val="0"/>
                <w:iCs w:val="0"/>
                <w:color w:val="000000"/>
                <w:kern w:val="0"/>
                <w:sz w:val="16"/>
                <w:szCs w:val="16"/>
                <w:u w:val="none"/>
                <w:lang w:val="en-US" w:eastAsia="zh-CN" w:bidi="ar"/>
              </w:rPr>
              <w:br w:type="textWrapping"/>
            </w:r>
            <w:r>
              <w:rPr>
                <w:rFonts w:hint="eastAsia" w:ascii="方正仿宋_GBK" w:hAnsi="方正仿宋_GBK" w:eastAsia="方正仿宋_GBK" w:cs="方正仿宋_GBK"/>
                <w:i w:val="0"/>
                <w:iCs w:val="0"/>
                <w:color w:val="000000"/>
                <w:kern w:val="0"/>
                <w:sz w:val="16"/>
                <w:szCs w:val="16"/>
                <w:u w:val="none"/>
                <w:lang w:val="en-US" w:eastAsia="zh-CN" w:bidi="ar"/>
              </w:rPr>
              <w:t>3、电力保障设施升级：对金祖利家庭农场现有的供电线路进行全面检查评估，更换老化破损的电线电缆，并新增发电机1台，确保电力稳定供应，满足渔业养殖设备的用电需求。</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财政补助资金30万元，主要用于土建工程，该子项总投资共计33.38万元。</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一、经济效益：数字化和智能化技术的应用，通过水质监控、增氧控制、精准投料等智能化系统，提升生产效率，降低人力成本。实时监测环境因素，减少养殖风险，初步测算每亩产值可增加1500元以上，直接提高养殖户收入。</w:t>
            </w:r>
            <w:r>
              <w:rPr>
                <w:rFonts w:hint="eastAsia" w:ascii="方正仿宋_GBK" w:hAnsi="方正仿宋_GBK" w:eastAsia="方正仿宋_GBK" w:cs="方正仿宋_GBK"/>
                <w:i w:val="0"/>
                <w:iCs w:val="0"/>
                <w:color w:val="000000"/>
                <w:kern w:val="0"/>
                <w:sz w:val="16"/>
                <w:szCs w:val="16"/>
                <w:u w:val="none"/>
                <w:lang w:val="en-US" w:eastAsia="zh-CN" w:bidi="ar"/>
              </w:rPr>
              <w:br w:type="textWrapping"/>
            </w:r>
            <w:r>
              <w:rPr>
                <w:rFonts w:hint="eastAsia" w:ascii="方正仿宋_GBK" w:hAnsi="方正仿宋_GBK" w:eastAsia="方正仿宋_GBK" w:cs="方正仿宋_GBK"/>
                <w:i w:val="0"/>
                <w:iCs w:val="0"/>
                <w:color w:val="000000"/>
                <w:kern w:val="0"/>
                <w:sz w:val="16"/>
                <w:szCs w:val="16"/>
                <w:u w:val="none"/>
                <w:lang w:val="en-US" w:eastAsia="zh-CN" w:bidi="ar"/>
              </w:rPr>
              <w:t>二、社会效益：项目实施为当地提供更多就业机会，特别是智能化系统的维护和管理岗位，助力农村经济发展和共同富裕。通过提高产量和质量，增强市场竞争力，直接增加养殖户收入，改善生活水平，促进社会和谐。泉水生态鱼养殖技术的升级为其他水产养殖业提供借鉴，推动行业整体技术进步和发展。</w:t>
            </w:r>
            <w:r>
              <w:rPr>
                <w:rFonts w:hint="eastAsia" w:ascii="方正仿宋_GBK" w:hAnsi="方正仿宋_GBK" w:eastAsia="方正仿宋_GBK" w:cs="方正仿宋_GBK"/>
                <w:i w:val="0"/>
                <w:iCs w:val="0"/>
                <w:color w:val="000000"/>
                <w:kern w:val="0"/>
                <w:sz w:val="16"/>
                <w:szCs w:val="16"/>
                <w:u w:val="none"/>
                <w:lang w:val="en-US" w:eastAsia="zh-CN" w:bidi="ar"/>
              </w:rPr>
              <w:br w:type="textWrapping"/>
            </w:r>
            <w:r>
              <w:rPr>
                <w:rFonts w:hint="eastAsia" w:ascii="方正仿宋_GBK" w:hAnsi="方正仿宋_GBK" w:eastAsia="方正仿宋_GBK" w:cs="方正仿宋_GBK"/>
                <w:i w:val="0"/>
                <w:iCs w:val="0"/>
                <w:color w:val="000000"/>
                <w:kern w:val="0"/>
                <w:sz w:val="16"/>
                <w:szCs w:val="16"/>
                <w:u w:val="none"/>
                <w:lang w:val="en-US" w:eastAsia="zh-CN" w:bidi="ar"/>
              </w:rPr>
              <w:t>三、生态效益：智能化系统实时监测水质和气候，优化养殖环境，减少对生态环境的负面影响。数字化和智能化技术推动渔业现代化，实现渔业与生态环境的协调发展，助力渔业可持续发展。</w:t>
            </w:r>
            <w:r>
              <w:rPr>
                <w:rFonts w:hint="eastAsia" w:ascii="方正仿宋_GBK" w:hAnsi="方正仿宋_GBK" w:eastAsia="方正仿宋_GBK" w:cs="方正仿宋_GBK"/>
                <w:i w:val="0"/>
                <w:iCs w:val="0"/>
                <w:color w:val="000000"/>
                <w:kern w:val="0"/>
                <w:sz w:val="16"/>
                <w:szCs w:val="16"/>
                <w:u w:val="none"/>
                <w:lang w:val="en-US" w:eastAsia="zh-CN" w:bidi="ar"/>
              </w:rPr>
              <w:br w:type="textWrapping"/>
            </w:r>
            <w:r>
              <w:rPr>
                <w:rFonts w:hint="eastAsia" w:ascii="方正仿宋_GBK" w:hAnsi="方正仿宋_GBK" w:eastAsia="方正仿宋_GBK" w:cs="方正仿宋_GBK"/>
                <w:i w:val="0"/>
                <w:iCs w:val="0"/>
                <w:color w:val="000000"/>
                <w:kern w:val="0"/>
                <w:sz w:val="16"/>
                <w:szCs w:val="16"/>
                <w:u w:val="none"/>
                <w:lang w:val="en-US" w:eastAsia="zh-CN" w:bidi="ar"/>
              </w:rPr>
              <w:t>具体指标如下：标准化改造后渔业生产效率提高20%；渔业总产值增长20%。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合计</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46.54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16"/>
                <w:szCs w:val="16"/>
                <w:u w:val="none"/>
              </w:rPr>
            </w:pPr>
          </w:p>
        </w:tc>
      </w:tr>
    </w:tbl>
    <w:p>
      <w:pPr>
        <w:pStyle w:val="2"/>
        <w:rPr>
          <w:rFonts w:hint="default" w:ascii="Times New Roman" w:hAnsi="Times New Roman" w:cs="Times New Roman"/>
          <w:sz w:val="21"/>
          <w:szCs w:val="21"/>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公文黑体">
    <w:altName w:val="方正黑体_GBK"/>
    <w:panose1 w:val="02000500000000000000"/>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ZThjZTE4YzA3MTBkMjEyNDc3ZTJkYTU0NmQyODIifQ=="/>
  </w:docVars>
  <w:rsids>
    <w:rsidRoot w:val="00000000"/>
    <w:rsid w:val="02C523F4"/>
    <w:rsid w:val="08D309EA"/>
    <w:rsid w:val="22C33362"/>
    <w:rsid w:val="30B36F14"/>
    <w:rsid w:val="34C55854"/>
    <w:rsid w:val="3685749A"/>
    <w:rsid w:val="3F991BFB"/>
    <w:rsid w:val="44C7124C"/>
    <w:rsid w:val="62527A03"/>
    <w:rsid w:val="6F6B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1743</Words>
  <Characters>1837</Characters>
  <Lines>0</Lines>
  <Paragraphs>0</Paragraphs>
  <TotalTime>31</TotalTime>
  <ScaleCrop>false</ScaleCrop>
  <LinksUpToDate>false</LinksUpToDate>
  <CharactersWithSpaces>1852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2024-10-24T09:34:00Z</dcterms:created>
  <dc:creator>Administrator</dc:creator>
  <cp:lastModifiedBy>user</cp:lastModifiedBy>
  <dcterms:modified xsi:type="dcterms:W3CDTF">2025-01-16T15:58:36Z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9D444C3FF98D4C1AB25F032E6D33F7D1_13</vt:lpwstr>
  </property>
  <property fmtid="{D5CDD505-2E9C-101B-9397-08002B2CF9AE}" pid="4" name="KSOTemplateDocerSaveRecord">
    <vt:lpwstr>eyJoZGlkIjoiZjExMWQ0ZDRiNjNhODNmMjY1NmFmZmM5ODhkMGQ5MGMiLCJ1c2VySWQiOiI3NzY5ODEzODYifQ==</vt:lpwstr>
  </property>
</Properties>
</file>