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00" w:lineRule="exact"/>
        <w:ind w:left="0" w:firstLine="0"/>
        <w:jc w:val="center"/>
        <w:textAlignment w:val="auto"/>
        <w:rPr>
          <w:rFonts w:hint="eastAsia" w:ascii="方正小标宋_GBK" w:hAnsi="方正小标宋_GBK" w:eastAsia="方正小标宋_GBK" w:cs="方正小标宋_GBK"/>
          <w:b w:val="0"/>
          <w:bCs w:val="0"/>
          <w:i w:val="0"/>
          <w:iCs w:val="0"/>
          <w:caps w:val="0"/>
          <w:color w:val="333333"/>
          <w:spacing w:val="0"/>
          <w:shd w:val="clear" w:fill="FFFFFF"/>
        </w:rPr>
      </w:pPr>
      <w:r>
        <w:rPr>
          <w:rFonts w:hint="default" w:ascii="Times New Roman" w:hAnsi="Times New Roman" w:eastAsia="方正仿宋_GBK" w:cs="Times New Roman"/>
          <w:b/>
          <w:bCs/>
          <w:i w:val="0"/>
          <w:iCs w:val="0"/>
          <w:caps w:val="0"/>
          <w:color w:val="171A1D"/>
          <w:spacing w:val="0"/>
          <w:sz w:val="32"/>
          <w:szCs w:val="32"/>
          <w:shd w:val="clear" w:fill="FFFFFF"/>
        </w:rPr>
        <w:t>渝农发〔2024〕77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00" w:lineRule="exact"/>
        <w:ind w:left="0" w:firstLine="0"/>
        <w:jc w:val="center"/>
        <w:textAlignment w:val="auto"/>
        <w:rPr>
          <w:rFonts w:hint="eastAsia" w:ascii="方正小标宋_GBK" w:hAnsi="方正小标宋_GBK" w:eastAsia="方正小标宋_GBK" w:cs="方正小标宋_GBK"/>
          <w:b w:val="0"/>
          <w:bCs w:val="0"/>
          <w:i w:val="0"/>
          <w:iCs w:val="0"/>
          <w:caps w:val="0"/>
          <w:color w:val="333333"/>
          <w:spacing w:val="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00" w:lineRule="exact"/>
        <w:ind w:left="0" w:firstLine="0"/>
        <w:jc w:val="center"/>
        <w:textAlignment w:val="auto"/>
        <w:rPr>
          <w:rFonts w:hint="eastAsia" w:ascii="方正小标宋_GBK" w:hAnsi="方正小标宋_GBK" w:eastAsia="方正小标宋_GBK" w:cs="方正小标宋_GBK"/>
          <w:b w:val="0"/>
          <w:bCs w:val="0"/>
          <w:i w:val="0"/>
          <w:iCs w:val="0"/>
          <w:caps w:val="0"/>
          <w:color w:val="333333"/>
          <w:spacing w:val="0"/>
          <w:shd w:val="clear" w:fill="FFFFFF"/>
        </w:rPr>
      </w:pPr>
      <w:r>
        <w:rPr>
          <w:rFonts w:hint="eastAsia" w:ascii="方正小标宋_GBK" w:hAnsi="方正小标宋_GBK" w:eastAsia="方正小标宋_GBK" w:cs="方正小标宋_GBK"/>
          <w:b w:val="0"/>
          <w:bCs w:val="0"/>
          <w:i w:val="0"/>
          <w:iCs w:val="0"/>
          <w:caps w:val="0"/>
          <w:color w:val="333333"/>
          <w:spacing w:val="0"/>
          <w:shd w:val="clear" w:fill="FFFFFF"/>
        </w:rPr>
        <w:t>重庆市农业农村委员会 ​重庆市财政局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00" w:lineRule="exact"/>
        <w:ind w:left="0" w:firstLine="0"/>
        <w:jc w:val="center"/>
        <w:textAlignment w:val="auto"/>
        <w:rPr>
          <w:rFonts w:hint="eastAsia" w:ascii="方正小标宋_GBK" w:hAnsi="方正小标宋_GBK" w:eastAsia="方正小标宋_GBK" w:cs="方正小标宋_GBK"/>
          <w:b w:val="0"/>
          <w:bCs w:val="0"/>
          <w:i w:val="0"/>
          <w:iCs w:val="0"/>
          <w:caps w:val="0"/>
          <w:color w:val="333333"/>
          <w:spacing w:val="0"/>
          <w:shd w:val="clear" w:fill="FFFFFF"/>
        </w:rPr>
      </w:pPr>
      <w:r>
        <w:rPr>
          <w:rFonts w:hint="eastAsia" w:ascii="方正小标宋_GBK" w:hAnsi="方正小标宋_GBK" w:eastAsia="方正小标宋_GBK" w:cs="方正小标宋_GBK"/>
          <w:b w:val="0"/>
          <w:bCs w:val="0"/>
          <w:i w:val="0"/>
          <w:iCs w:val="0"/>
          <w:caps w:val="0"/>
          <w:color w:val="333333"/>
          <w:spacing w:val="0"/>
          <w:shd w:val="clear" w:fill="FFFFFF"/>
        </w:rPr>
        <w:t>关于印发2024年重庆市耕地地力保护补贴工作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00" w:lineRule="exact"/>
        <w:ind w:left="0" w:firstLine="0"/>
        <w:jc w:val="center"/>
        <w:textAlignment w:val="auto"/>
        <w:rPr>
          <w:rFonts w:hint="eastAsia" w:ascii="方正小标宋_GBK" w:hAnsi="方正小标宋_GBK" w:eastAsia="方正小标宋_GBK" w:cs="方正小标宋_GBK"/>
          <w:b w:val="0"/>
          <w:bCs w:val="0"/>
          <w:i w:val="0"/>
          <w:iCs w:val="0"/>
          <w:caps w:val="0"/>
          <w:color w:val="333333"/>
          <w:spacing w:val="0"/>
        </w:rPr>
      </w:pPr>
      <w:r>
        <w:rPr>
          <w:rFonts w:hint="eastAsia" w:ascii="方正小标宋_GBK" w:hAnsi="方正小标宋_GBK" w:eastAsia="方正小标宋_GBK" w:cs="方正小标宋_GBK"/>
          <w:b w:val="0"/>
          <w:bCs w:val="0"/>
          <w:i w:val="0"/>
          <w:iCs w:val="0"/>
          <w:caps w:val="0"/>
          <w:color w:val="333333"/>
          <w:spacing w:val="0"/>
          <w:shd w:val="clear" w:fill="FFFFFF"/>
        </w:rPr>
        <w:t>实施方案的通知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8" w:lineRule="atLeast"/>
        <w:ind w:left="0" w:right="0" w:firstLine="0"/>
        <w:jc w:val="both"/>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各相关区县（自治县）农业农村委、财政局，西部科学城重庆高新区改革发展局、财政局，万盛经开区农林局、财政局：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both"/>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现将《2024年重庆市耕地地力保护补贴工作实施方案》印发给你们，请认真遵照执行。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both"/>
        <w:textAlignment w:val="auto"/>
        <w:rPr>
          <w:rFonts w:hint="default" w:ascii="Times New Roman" w:hAnsi="Times New Roman" w:eastAsia="����"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righ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重庆市农业农村委员会重庆市财政局        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righ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2024年5月17日              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righ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right="0" w:firstLine="630"/>
        <w:jc w:val="left"/>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870"/>
        <w:jc w:val="center"/>
        <w:textAlignment w:val="auto"/>
        <w:rPr>
          <w:rFonts w:hint="default" w:ascii="Times New Roman" w:hAnsi="Times New Roman" w:eastAsia="����" w:cs="Times New Roman"/>
          <w:sz w:val="32"/>
          <w:szCs w:val="32"/>
        </w:rPr>
      </w:pPr>
      <w:r>
        <w:rPr>
          <w:rFonts w:hint="default" w:ascii="Times New Roman" w:hAnsi="Times New Roman" w:eastAsia="方正小标宋_GBK" w:cs="Times New Roman"/>
          <w:i w:val="0"/>
          <w:iCs w:val="0"/>
          <w:caps w:val="0"/>
          <w:color w:val="333333"/>
          <w:spacing w:val="0"/>
          <w:sz w:val="32"/>
          <w:szCs w:val="32"/>
          <w:shd w:val="clear" w:fill="FFFFFF"/>
        </w:rPr>
        <w:t>2024年重庆市耕地地力保护补贴工作实施方案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center"/>
        <w:textAlignment w:val="auto"/>
        <w:rPr>
          <w:rFonts w:hint="default" w:ascii="Times New Roman" w:hAnsi="Times New Roman" w:eastAsia="����"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根据《耕地建设与利用资金管理办法》（财农〔2023〕12号）、《财政部关于提前下达2024年农业相关转移支付资金预算的通知》（财农〔2023〕87号）、《财政部关于下达2024年耕地建设与利用资金预算的通知》（财农〔2024〕12号）要求，市财政局已将2024年耕地地力保护资金下达各相关区县（自治县，以下简称区县）。为做好补贴兑付工作，制</w:t>
      </w:r>
      <w:r>
        <w:rPr>
          <w:rFonts w:hint="eastAsia" w:ascii="Times New Roman" w:hAnsi="Times New Roman" w:eastAsia="方正仿宋_GBK" w:cs="Times New Roman"/>
          <w:i w:val="0"/>
          <w:iCs w:val="0"/>
          <w:caps w:val="0"/>
          <w:color w:val="333333"/>
          <w:spacing w:val="0"/>
          <w:sz w:val="32"/>
          <w:szCs w:val="32"/>
          <w:shd w:val="clear" w:fill="FFFFFF"/>
          <w:lang w:eastAsia="zh-CN"/>
        </w:rPr>
        <w:t>定</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本实施方案。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一、总体原则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耕地地力保护补贴用于支持耕地地力保护。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（二）要探索耕地地力保护补贴发放与耕地地力保护行为相挂钩的有效机制，引导农民综合采取秸秆还田、深松整地、科学施肥用药、病虫害绿色防控等措施，自觉保护耕地、提升地力。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（三）严格落实补贴公示制度，补贴面积、补贴标准、补贴金额必须张榜公布，接受群众监督，确保公示内容与实际补贴发放情况一致。补贴具体办法要简便易行，便于操作。补贴资金兑现要及时。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四）耕地地力保护补贴资金必须专款专用，严禁以任何方式统筹集中使用，必须全部直补到户。任何单位或个人不得截留、滞留、挤占、挪用和骗取。不得由村社干部代领，不得直接抵扣任何农业生产费用或“一事一议”等筹资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二、补贴对象、依据、标准及程序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补贴对象。耕地地力保护补贴对象原则上为拥有耕地承包权的种地农民，补贴数额与耕地面积挂钩，直接补贴到户。鼓励各区县积极探索耕地地力保护补贴与实际种粮农民的种植面积直接挂钩的办法与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（二）补贴依据。补贴依据可以是二轮承包耕地面积、计税耕地面积、确权耕地面积或粮食种植面积等，具体以何种类型面积计算，由区县人民政府结合本地实际自行确定。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（三）补贴标准。由区县根据市级下达的耕地地力保护补贴资金总额和上年结转资金测算确定。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四）补贴程序。各区县根据耕地面积和当年统一的补贴标准，按“自下而上”的程序核定到每个承包耕地农户，由乡镇人民政府负责将所有农户的补贴面积、补贴标准和补贴资金进行公示，公示无异议后方可发放。乡镇、村社公示方案由区县制定。区县农业农村、乡镇人民政府负责补贴资金发放明细的审核，区县财政部门负责将补贴资金通过金融机构发放到农户手中。村社集体机动地种地的，补贴给种地农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三、耕地地力保护补贴资金管理和兑付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耕地地力保护补贴资金由市财政拨付到各区县财政，各区县农业农村部门会同财政部门根据本方案要求，将上年度结转资金与当年预算资金统筹安排使用，尽快制定本区县实施方案，并于2024年6月14日前报市农业农村委和市财政局（由区县农业农村、财政部门通过办公网电子公文报送）备案，纸质件通过快递形式送市农业农村委粮油处，并加快推进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二）2024年耕地地力保护补贴资金的申报、审核、兑付工作，严格按程序实施。各区县务必于2024年6月30日前通过惠民惠农财政补贴资金“一卡通”发放管理信息系统（以下简称“一卡通”）将需兑现到农户的补贴资金发放到位。区县相关金融机构收到同级财政部门拨付文件后要及时办理相关款项拨付业务。严禁以拨代支，在“一卡通”代发专户形成沉淀。有条件的区县做好“一卡通”系统与直达资金监控系统对接。用好直达资金监控系统，加强资金监管，逐步构建形成补贴大数据管理系统，提升补贴发放的规范性、精准性和时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三）落实备案制度。2024年8月15日前，区县农业农村部门、财政部门要将《××××年××区县（自治县）耕地地力保护补贴政策执行情况统计表》（附件1）的纸质件、电子文档和按乡镇汇总的耕地地力保护补贴资金发放电子数据及时上报市农业农村委和市财政局备案。经市级备案的耕地地力保护补贴汇总数据及区县实施方案作为审计、专项检查、绩效评价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四、耕地地力保护补贴的监管要求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（一）压实工作责任。各区县农业农村、财政等部门要加强配合，相互支持，确保补贴工作平稳推进。为保证补贴工作顺利开展，补贴工作经费原则上由各地财政预算安排，市级财政给予适当补助。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做好政策宣传。各区县要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的积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加强项目监管。要严格落实补贴资金公开公示、档案管理等规章制度，加强补贴资金监管，落实各级各部门审核责任，认真做好耕地面积核实工作。要落实定期检查与重点抽查相结合的补贴监督机制。要组织人员深入村社督促指导，发现问题及时纠正处理，重大事项要及时向市农业农村委、市财政局报告。要严防补贴资金“跑冒滴漏”，对弄虚作假或者挤占、挪用、滞留资金，以及其他滥用职权、玩忽职守、徇私舞弊等违法违规行为，将依法依规严格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加强定期调度。各区县要做好补贴工作总结，全面总结分析补贴执行情况、存在问题并提出有关建议，于2024年11月30日前将工作总结以正式公文（纸质件和电子公文）报送市农业农村委、市财政局。阶段性执行情况和总结材料报送情况列入绩效考核指标体系。市农业农村委、市财政局等部门将适时开展重点抽查，坚决杜绝违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做好补贴信访办理。要按照分级负责、归口管理的原则，认真做好农民群众举报个案的调查处理工作，落实信访工作责任制，把农民群众反映的实际问题解决在基层。对于信访案件要在规定时间内办结，让群众理解认可，信访案件处理情况将作为绩效评价的重要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六）做好绩效评估工作。各区县根据市级下达的任务清单和绩效目标，自觉组织开展项目绩效评价工作，将政策目标实现情况、任务清单完成情况、资金使用管理情况等纳入日常工作，建档归档。市农业农村委、市财政局将适时开展绩效评价工作，全面评估、考核政策落实情况，评价结果作为下一年度资金分配的重要依据。请各区县于2024年12月10日前将耕地地力保护补贴绩效评价报告和绩效评价表（附件2），上报市农业农村委和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市农业农村委联系地址：两江新区黄山大道东段186号，邮政编码401121；粮油处联系人：邓玉瑾，电话：89133121，邮箱：市农业农村委内网邮箱；市种子站联系人：王涛，电话：89133712；邮箱：cqnwlyc@126.com。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市财政局联系地址：渝北区洪湖西路1号322室，邮政编码401121；农业处联系人：刘伯洋，电话：67172697；邮箱：市财政局办公内网。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8" w:lineRule="atLeast"/>
        <w:ind w:left="0" w:right="0" w:firstLine="42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p>
    <w:p>
      <w:pPr>
        <w:keepNext w:val="0"/>
        <w:keepLines w:val="0"/>
        <w:pageBreakBefore w:val="0"/>
        <w:widowControl/>
        <w:kinsoku/>
        <w:wordWrap/>
        <w:overflowPunct/>
        <w:topLinePunct w:val="0"/>
        <w:autoSpaceDE/>
        <w:autoSpaceDN/>
        <w:bidi w:val="0"/>
        <w:adjustRightInd w:val="0"/>
        <w:snapToGrid w:val="0"/>
        <w:spacing w:after="0" w:line="220" w:lineRule="atLeast"/>
        <w:textAlignment w:val="auto"/>
        <w:rPr>
          <w:rFonts w:hint="default" w:ascii="Times New Roman" w:hAnsi="Times New Roman" w:cs="Times New Roman"/>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499651C"/>
    <w:rsid w:val="F1FF8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1</Lines>
  <Paragraphs>1</Paragraphs>
  <TotalTime>32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dcterms:modified xsi:type="dcterms:W3CDTF">2024-12-31T15:03:31Z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5DE95817D9544A7EB5462AA5BE991459</vt:lpwstr>
  </property>
</Properties>
</file>