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outlineLvl w:val="0"/>
        <w:rPr>
          <w:szCs w:val="32"/>
        </w:rPr>
      </w:pPr>
      <w:r>
        <w:rPr>
          <w:color w:val="000000"/>
          <w:spacing w:val="20"/>
          <w:szCs w:val="32"/>
        </w:rPr>
        <w:t>綦乡振</w:t>
      </w:r>
      <w:r>
        <w:rPr>
          <w:color w:val="000000"/>
          <w:szCs w:val="32"/>
        </w:rPr>
        <w:t>〔202</w:t>
      </w:r>
      <w:r>
        <w:rPr>
          <w:rFonts w:hint="eastAsia"/>
          <w:color w:val="000000"/>
          <w:szCs w:val="32"/>
          <w:lang w:val="en-US" w:eastAsia="zh-CN"/>
        </w:rPr>
        <w:t>3</w:t>
      </w:r>
      <w:r>
        <w:rPr>
          <w:color w:val="000000"/>
          <w:szCs w:val="32"/>
        </w:rPr>
        <w:t>〕</w:t>
      </w:r>
      <w:r>
        <w:rPr>
          <w:rFonts w:hint="eastAsia"/>
          <w:color w:val="000000"/>
          <w:szCs w:val="32"/>
          <w:lang w:val="en-US" w:eastAsia="zh-CN"/>
        </w:rPr>
        <w:t>38</w:t>
      </w:r>
      <w:r>
        <w:rPr>
          <w:color w:val="000000"/>
          <w:spacing w:val="20"/>
          <w:szCs w:val="32"/>
        </w:rPr>
        <w:t>号</w:t>
      </w:r>
    </w:p>
    <w:p>
      <w:pPr>
        <w:snapToGrid w:val="0"/>
        <w:spacing w:line="620" w:lineRule="exact"/>
        <w:jc w:val="center"/>
        <w:rPr>
          <w:rFonts w:eastAsia="方正小标宋_GBK"/>
          <w:sz w:val="44"/>
          <w:szCs w:val="44"/>
        </w:rPr>
      </w:pPr>
    </w:p>
    <w:p>
      <w:pPr>
        <w:snapToGrid w:val="0"/>
        <w:spacing w:line="620" w:lineRule="exact"/>
        <w:jc w:val="center"/>
        <w:rPr>
          <w:rFonts w:eastAsia="方正小标宋_GBK"/>
          <w:sz w:val="44"/>
          <w:szCs w:val="44"/>
        </w:rPr>
      </w:pPr>
    </w:p>
    <w:p>
      <w:pPr>
        <w:snapToGrid w:val="0"/>
        <w:spacing w:line="620" w:lineRule="exact"/>
        <w:jc w:val="center"/>
        <w:outlineLvl w:val="0"/>
        <w:rPr>
          <w:rFonts w:eastAsia="方正小标宋_GBK"/>
          <w:sz w:val="44"/>
          <w:szCs w:val="44"/>
        </w:rPr>
      </w:pPr>
      <w:r>
        <w:rPr>
          <w:rFonts w:eastAsia="方正小标宋_GBK"/>
          <w:sz w:val="44"/>
          <w:szCs w:val="44"/>
        </w:rPr>
        <w:t>重庆市綦江区乡村振兴局</w:t>
      </w:r>
    </w:p>
    <w:p>
      <w:pPr>
        <w:spacing w:line="620" w:lineRule="exact"/>
        <w:ind w:right="35" w:rightChars="11" w:firstLine="1992" w:firstLineChars="361"/>
        <w:rPr>
          <w:rFonts w:eastAsia="方正小标宋_GBK"/>
          <w:spacing w:val="56"/>
          <w:sz w:val="44"/>
          <w:szCs w:val="44"/>
        </w:rPr>
      </w:pPr>
      <w:r>
        <w:rPr>
          <w:rFonts w:eastAsia="方正小标宋_GBK"/>
          <w:spacing w:val="56"/>
          <w:sz w:val="44"/>
          <w:szCs w:val="44"/>
        </w:rPr>
        <w:t>重庆市綦江区财政局</w:t>
      </w:r>
    </w:p>
    <w:p>
      <w:pPr>
        <w:snapToGrid w:val="0"/>
        <w:spacing w:line="620" w:lineRule="exact"/>
        <w:jc w:val="center"/>
        <w:outlineLvl w:val="0"/>
        <w:rPr>
          <w:rFonts w:eastAsia="方正小标宋_GBK"/>
          <w:sz w:val="44"/>
          <w:szCs w:val="44"/>
        </w:rPr>
      </w:pPr>
      <w:r>
        <w:rPr>
          <w:rFonts w:eastAsia="方正小标宋_GBK"/>
          <w:sz w:val="44"/>
          <w:szCs w:val="44"/>
        </w:rPr>
        <w:t>关于下达202</w:t>
      </w:r>
      <w:r>
        <w:rPr>
          <w:rFonts w:hint="eastAsia" w:eastAsia="方正小标宋_GBK"/>
          <w:sz w:val="44"/>
          <w:szCs w:val="44"/>
          <w:lang w:val="en-US" w:eastAsia="zh-CN"/>
        </w:rPr>
        <w:t>4</w:t>
      </w:r>
      <w:r>
        <w:rPr>
          <w:rFonts w:eastAsia="方正小标宋_GBK"/>
          <w:sz w:val="44"/>
          <w:szCs w:val="44"/>
        </w:rPr>
        <w:t>年度</w:t>
      </w:r>
      <w:r>
        <w:rPr>
          <w:rFonts w:hint="eastAsia" w:eastAsia="方正小标宋_GBK"/>
          <w:sz w:val="44"/>
          <w:szCs w:val="44"/>
          <w:lang w:eastAsia="zh-CN"/>
        </w:rPr>
        <w:t>第一批</w:t>
      </w:r>
      <w:r>
        <w:rPr>
          <w:rFonts w:eastAsia="方正小标宋_GBK"/>
          <w:sz w:val="44"/>
          <w:szCs w:val="44"/>
        </w:rPr>
        <w:t>衔接推进乡村振兴补助</w:t>
      </w:r>
      <w:r>
        <w:rPr>
          <w:rFonts w:hint="eastAsia" w:eastAsia="方正小标宋_GBK"/>
          <w:sz w:val="44"/>
          <w:szCs w:val="44"/>
        </w:rPr>
        <w:t>资金</w:t>
      </w:r>
      <w:r>
        <w:rPr>
          <w:rFonts w:eastAsia="方正小标宋_GBK"/>
          <w:sz w:val="44"/>
          <w:szCs w:val="44"/>
        </w:rPr>
        <w:t>项目计划的通知</w:t>
      </w:r>
    </w:p>
    <w:p>
      <w:pPr>
        <w:snapToGrid w:val="0"/>
        <w:spacing w:line="620" w:lineRule="exact"/>
        <w:jc w:val="center"/>
        <w:rPr>
          <w:rFonts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szCs w:val="24"/>
        </w:rPr>
      </w:pPr>
      <w:r>
        <w:rPr>
          <w:rFonts w:hint="eastAsia"/>
          <w:szCs w:val="24"/>
        </w:rPr>
        <w:t>各街镇，区教委、</w:t>
      </w:r>
      <w:r>
        <w:rPr>
          <w:rFonts w:hint="eastAsia"/>
          <w:szCs w:val="24"/>
          <w:lang w:eastAsia="zh-CN"/>
        </w:rPr>
        <w:t>区人社局、</w:t>
      </w:r>
      <w:r>
        <w:rPr>
          <w:rFonts w:hint="eastAsia"/>
          <w:szCs w:val="24"/>
        </w:rPr>
        <w:t>区农业农村委（区乡村振兴局）</w:t>
      </w:r>
      <w:r>
        <w:rPr>
          <w:szCs w:val="24"/>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Cs w:val="32"/>
        </w:rPr>
      </w:pPr>
      <w:r>
        <w:rPr>
          <w:szCs w:val="32"/>
        </w:rPr>
        <w:t>根据</w:t>
      </w:r>
      <w:r>
        <w:rPr>
          <w:rFonts w:hint="default" w:ascii="Times New Roman" w:hAnsi="Times New Roman" w:eastAsia="方正仿宋_GBK" w:cs="Times New Roman"/>
          <w:sz w:val="32"/>
          <w:szCs w:val="32"/>
          <w:lang w:val="en-US" w:eastAsia="zh-CN"/>
        </w:rPr>
        <w:t>《重庆市财政局关于提前下达2024年中央财政衔接推进乡村振兴补助资金预算的通知》（渝财农〔2023〕146号）、《重庆市财政局关于提前下达2024年市财政衔接推进乡村振兴补助资金预算的通知》（渝财农〔2023〕151号）、《重庆市财政局关于提前下达2024年市财政衔接推进乡村振兴补助资金预算的通知》（渝财农〔2023〕161号）</w:t>
      </w:r>
      <w:r>
        <w:rPr>
          <w:szCs w:val="32"/>
        </w:rPr>
        <w:t>文件精神，</w:t>
      </w:r>
      <w:r>
        <w:rPr>
          <w:rFonts w:hint="eastAsia"/>
          <w:szCs w:val="32"/>
        </w:rPr>
        <w:t>经研究，本次下达全区20</w:t>
      </w:r>
      <w:r>
        <w:rPr>
          <w:rFonts w:hint="eastAsia"/>
          <w:szCs w:val="32"/>
          <w:lang w:val="en-US" w:eastAsia="zh-CN"/>
        </w:rPr>
        <w:t>24</w:t>
      </w:r>
      <w:r>
        <w:rPr>
          <w:rFonts w:hint="eastAsia"/>
          <w:szCs w:val="32"/>
        </w:rPr>
        <w:t>年度</w:t>
      </w:r>
      <w:r>
        <w:rPr>
          <w:szCs w:val="32"/>
        </w:rPr>
        <w:t>衔接推进乡村振兴补助</w:t>
      </w:r>
      <w:r>
        <w:rPr>
          <w:rFonts w:hint="eastAsia"/>
          <w:szCs w:val="32"/>
        </w:rPr>
        <w:t>资金（以下简称衔接资金）</w:t>
      </w:r>
      <w:r>
        <w:rPr>
          <w:rFonts w:hint="eastAsia"/>
          <w:szCs w:val="32"/>
          <w:u w:val="single"/>
        </w:rPr>
        <w:t xml:space="preserve">    </w:t>
      </w:r>
      <w:r>
        <w:rPr>
          <w:rFonts w:hint="eastAsia"/>
          <w:szCs w:val="32"/>
          <w:u w:val="single"/>
          <w:lang w:val="en-US" w:eastAsia="zh-CN"/>
        </w:rPr>
        <w:t>5019</w:t>
      </w:r>
      <w:r>
        <w:rPr>
          <w:rFonts w:hint="eastAsia"/>
          <w:szCs w:val="32"/>
          <w:u w:val="single"/>
        </w:rPr>
        <w:t xml:space="preserve">   </w:t>
      </w:r>
      <w:r>
        <w:rPr>
          <w:rFonts w:hint="eastAsia"/>
          <w:szCs w:val="32"/>
        </w:rPr>
        <w:t>万元，主要用于</w:t>
      </w:r>
      <w:r>
        <w:rPr>
          <w:rFonts w:hint="eastAsia"/>
          <w:szCs w:val="32"/>
          <w:u w:val="single"/>
        </w:rPr>
        <w:t>2024年綦江区“雨露计划”职业教育补助项目</w:t>
      </w:r>
      <w:r>
        <w:rPr>
          <w:rFonts w:hint="eastAsia"/>
          <w:szCs w:val="32"/>
        </w:rPr>
        <w:t>等项目（详见附件）。具体要求如下：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15"/>
          <w:szCs w:val="15"/>
        </w:rPr>
      </w:pPr>
      <w:r>
        <w:rPr>
          <w:rFonts w:hint="eastAsia" w:ascii="方正黑体_GBK" w:hAnsi="方正黑体_GBK" w:eastAsia="方正黑体_GBK" w:cs="方正黑体_GBK"/>
          <w:color w:val="333333"/>
          <w:szCs w:val="32"/>
          <w:shd w:val="clear" w:color="auto" w:fill="FFFFFF"/>
        </w:rPr>
        <w:t>一、严格规范资金用途。</w:t>
      </w:r>
      <w:r>
        <w:rPr>
          <w:szCs w:val="32"/>
        </w:rPr>
        <w:t>项目实施单位要严格按照</w:t>
      </w:r>
      <w:r>
        <w:rPr>
          <w:rFonts w:hint="eastAsia"/>
          <w:szCs w:val="32"/>
        </w:rPr>
        <w:t>《重庆市綦江区财政局</w:t>
      </w:r>
      <w:r>
        <w:rPr>
          <w:rFonts w:hint="eastAsia"/>
          <w:szCs w:val="32"/>
          <w:lang w:eastAsia="zh-CN"/>
        </w:rPr>
        <w:t>等</w:t>
      </w:r>
      <w:r>
        <w:rPr>
          <w:rFonts w:hint="eastAsia"/>
          <w:szCs w:val="32"/>
          <w:lang w:val="en-US" w:eastAsia="zh-CN"/>
        </w:rPr>
        <w:t>6部门</w:t>
      </w:r>
      <w:r>
        <w:rPr>
          <w:rFonts w:hint="eastAsia"/>
          <w:szCs w:val="32"/>
        </w:rPr>
        <w:t>关于印发&lt;重庆市綦江区财政衔接推进乡村振兴补助资金管理实施细则&gt;的通知》</w:t>
      </w:r>
      <w:r>
        <w:rPr>
          <w:szCs w:val="32"/>
        </w:rPr>
        <w:t>（</w:t>
      </w:r>
      <w:r>
        <w:rPr>
          <w:rFonts w:hint="eastAsia"/>
          <w:szCs w:val="32"/>
        </w:rPr>
        <w:t>綦江财发</w:t>
      </w:r>
      <w:r>
        <w:rPr>
          <w:szCs w:val="32"/>
        </w:rPr>
        <w:t>〔202</w:t>
      </w:r>
      <w:r>
        <w:rPr>
          <w:rFonts w:hint="eastAsia"/>
          <w:szCs w:val="32"/>
          <w:lang w:val="en-US" w:eastAsia="zh-CN"/>
        </w:rPr>
        <w:t>2</w:t>
      </w:r>
      <w:r>
        <w:rPr>
          <w:szCs w:val="32"/>
        </w:rPr>
        <w:t>〕</w:t>
      </w:r>
      <w:r>
        <w:rPr>
          <w:rFonts w:hint="eastAsia"/>
          <w:szCs w:val="32"/>
          <w:lang w:val="en-US" w:eastAsia="zh-CN"/>
        </w:rPr>
        <w:t>123</w:t>
      </w:r>
      <w:r>
        <w:rPr>
          <w:szCs w:val="32"/>
        </w:rPr>
        <w:t>号）要求，规范资金使用范围，提高资金使用绩效。根据《</w:t>
      </w:r>
      <w:r>
        <w:rPr>
          <w:rFonts w:hint="eastAsia"/>
          <w:szCs w:val="32"/>
        </w:rPr>
        <w:t>关于转发&lt;关于加强财政衔接推进乡村振兴补助资金监管的意见&gt;的通知</w:t>
      </w:r>
      <w:r>
        <w:rPr>
          <w:szCs w:val="32"/>
        </w:rPr>
        <w:t>》（</w:t>
      </w:r>
      <w:r>
        <w:rPr>
          <w:rFonts w:hint="eastAsia"/>
          <w:szCs w:val="32"/>
        </w:rPr>
        <w:t>綦委农办</w:t>
      </w:r>
      <w:r>
        <w:rPr>
          <w:szCs w:val="32"/>
        </w:rPr>
        <w:t>〔2021〕</w:t>
      </w:r>
      <w:r>
        <w:rPr>
          <w:rFonts w:hint="eastAsia"/>
          <w:szCs w:val="32"/>
        </w:rPr>
        <w:t>33</w:t>
      </w:r>
      <w:r>
        <w:rPr>
          <w:szCs w:val="32"/>
        </w:rPr>
        <w:t>号），切实加强资金监管，</w:t>
      </w:r>
      <w:r>
        <w:rPr>
          <w:rFonts w:hint="eastAsia"/>
          <w:szCs w:val="32"/>
          <w:lang w:eastAsia="zh-CN"/>
        </w:rPr>
        <w:t>强化绩效管理，</w:t>
      </w:r>
      <w:r>
        <w:rPr>
          <w:szCs w:val="32"/>
        </w:rPr>
        <w:t>全面落实公告公示制度，</w:t>
      </w:r>
      <w:r>
        <w:rPr>
          <w:rFonts w:hint="eastAsia"/>
          <w:szCs w:val="32"/>
          <w:lang w:eastAsia="zh-CN"/>
        </w:rPr>
        <w:t>提高政策知晓率，确保资金安全和效益。驻村工作队所在村，</w:t>
      </w:r>
      <w:r>
        <w:rPr>
          <w:szCs w:val="32"/>
        </w:rPr>
        <w:t>驻村第一书记须在本村实施的项目验收单上签字，并监督资金项目的公告公示情况。</w:t>
      </w:r>
    </w:p>
    <w:p>
      <w:pPr>
        <w:pStyle w:val="5"/>
        <w:keepNext w:val="0"/>
        <w:keepLines w:val="0"/>
        <w:pageBreakBefore w:val="0"/>
        <w:widowControl/>
        <w:kinsoku/>
        <w:wordWrap/>
        <w:overflowPunct/>
        <w:topLinePunct w:val="0"/>
        <w:autoSpaceDE/>
        <w:autoSpaceDN/>
        <w:bidi w:val="0"/>
        <w:adjustRightInd/>
        <w:snapToGrid/>
        <w:spacing w:line="560" w:lineRule="exact"/>
        <w:ind w:firstLine="634"/>
        <w:jc w:val="left"/>
        <w:textAlignment w:val="auto"/>
        <w:rPr>
          <w:rFonts w:hint="default" w:ascii="Times New Roman" w:hAnsi="Times New Roman" w:eastAsia="方正仿宋_GBK" w:cs="Times New Roman"/>
          <w:kern w:val="2"/>
          <w:sz w:val="32"/>
          <w:szCs w:val="32"/>
          <w:lang w:val="en-US" w:eastAsia="zh-CN" w:bidi="ar-SA"/>
        </w:rPr>
      </w:pPr>
      <w:r>
        <w:rPr>
          <w:rFonts w:hint="eastAsia" w:ascii="方正黑体_GBK" w:hAnsi="方正黑体_GBK" w:eastAsia="方正黑体_GBK" w:cs="方正黑体_GBK"/>
          <w:color w:val="333333"/>
          <w:sz w:val="32"/>
          <w:szCs w:val="32"/>
          <w:shd w:val="clear" w:color="auto" w:fill="FFFFFF"/>
          <w:lang w:eastAsia="zh-CN"/>
        </w:rPr>
        <w:t>二</w:t>
      </w:r>
      <w:r>
        <w:rPr>
          <w:rFonts w:hint="eastAsia" w:ascii="方正黑体_GBK" w:hAnsi="方正黑体_GBK" w:eastAsia="方正黑体_GBK" w:cs="方正黑体_GBK"/>
          <w:color w:val="333333"/>
          <w:sz w:val="32"/>
          <w:szCs w:val="32"/>
          <w:shd w:val="clear" w:color="auto" w:fill="FFFFFF"/>
        </w:rPr>
        <w:t>、</w:t>
      </w:r>
      <w:r>
        <w:rPr>
          <w:rFonts w:ascii="方正黑体_GBK" w:hAnsi="方正黑体_GBK" w:eastAsia="方正黑体_GBK" w:cs="方正黑体_GBK"/>
          <w:color w:val="333333"/>
          <w:sz w:val="32"/>
          <w:szCs w:val="32"/>
          <w:shd w:val="clear" w:color="auto" w:fill="FFFFFF"/>
        </w:rPr>
        <w:t>保质保量推进项目建设。</w:t>
      </w:r>
      <w:r>
        <w:rPr>
          <w:rFonts w:hint="eastAsia" w:cs="Times New Roman"/>
          <w:kern w:val="2"/>
          <w:sz w:val="32"/>
          <w:szCs w:val="32"/>
          <w:lang w:val="en-US" w:eastAsia="zh-CN" w:bidi="ar-SA"/>
        </w:rPr>
        <w:t>项目实施单位强化事前事中事后全链条监管，</w:t>
      </w:r>
      <w:r>
        <w:rPr>
          <w:rFonts w:hint="default" w:ascii="Times New Roman" w:hAnsi="Times New Roman" w:eastAsia="方正仿宋_GBK" w:cs="Times New Roman"/>
          <w:sz w:val="32"/>
          <w:szCs w:val="32"/>
          <w:lang w:val="en-US" w:eastAsia="zh-CN"/>
        </w:rPr>
        <w:t>确保形象进度</w:t>
      </w:r>
      <w:r>
        <w:rPr>
          <w:rFonts w:hint="eastAsia" w:cs="Times New Roman"/>
          <w:sz w:val="32"/>
          <w:szCs w:val="32"/>
          <w:lang w:val="en-US" w:eastAsia="zh-CN"/>
        </w:rPr>
        <w:t>质量达标，投资进度真实有效，支付进度规范及时。①各项目单位要在项目计划文件下达60日内启动</w:t>
      </w:r>
      <w:r>
        <w:rPr>
          <w:rFonts w:hint="eastAsia" w:cs="Times New Roman"/>
          <w:kern w:val="2"/>
          <w:sz w:val="32"/>
          <w:szCs w:val="32"/>
          <w:lang w:val="en-US" w:eastAsia="zh-CN" w:bidi="ar-SA"/>
        </w:rPr>
        <w:t>项目实施，逾期未启动的收回资金指标另行安排；②各项目单位按照工期计划达到节点要求，未达到要求将调度通报；③各项目单位按照3月、6月、7月中旬、9月、10月中旬各级衔接资金分别不低于30%、60%、65%、85%、90%</w:t>
      </w:r>
      <w:r>
        <w:rPr>
          <w:rFonts w:hint="eastAsia" w:cs="Times New Roman"/>
          <w:sz w:val="32"/>
          <w:szCs w:val="32"/>
          <w:lang w:val="en-US" w:eastAsia="zh-CN"/>
        </w:rPr>
        <w:t>支付进度要求执行</w:t>
      </w:r>
      <w:r>
        <w:rPr>
          <w:rFonts w:hint="eastAsia" w:cs="Times New Roman"/>
          <w:kern w:val="2"/>
          <w:sz w:val="32"/>
          <w:szCs w:val="32"/>
          <w:lang w:val="en-US" w:eastAsia="zh-CN" w:bidi="ar-SA"/>
        </w:rPr>
        <w:t>，未达到要求将纳入年考核并与次年资金分配挂钩；④各项目单位要落实监督管理责任，及时发现和纠正存在的风险和问题，创新监管制度，依据风险高低实施差异化监管。（具体工期要求、支付要求详见附件）</w:t>
      </w:r>
    </w:p>
    <w:p>
      <w:pPr>
        <w:pStyle w:val="5"/>
        <w:keepNext w:val="0"/>
        <w:keepLines w:val="0"/>
        <w:pageBreakBefore w:val="0"/>
        <w:widowControl/>
        <w:kinsoku/>
        <w:wordWrap/>
        <w:overflowPunct/>
        <w:topLinePunct w:val="0"/>
        <w:autoSpaceDE/>
        <w:autoSpaceDN/>
        <w:bidi w:val="0"/>
        <w:adjustRightInd/>
        <w:snapToGrid/>
        <w:spacing w:line="560" w:lineRule="exact"/>
        <w:ind w:firstLine="634"/>
        <w:textAlignment w:val="auto"/>
        <w:rPr>
          <w:rFonts w:hint="eastAsia" w:ascii="Times New Roman" w:hAnsi="Times New Roman" w:eastAsia="方正仿宋_GBK" w:cs="Times New Roman"/>
          <w:kern w:val="2"/>
          <w:sz w:val="32"/>
          <w:szCs w:val="32"/>
          <w:lang w:val="en-US" w:eastAsia="zh-CN" w:bidi="ar-SA"/>
        </w:rPr>
      </w:pPr>
      <w:r>
        <w:rPr>
          <w:rFonts w:hint="eastAsia" w:ascii="方正黑体_GBK" w:hAnsi="方正黑体_GBK" w:eastAsia="方正黑体_GBK" w:cs="方正黑体_GBK"/>
          <w:color w:val="333333"/>
          <w:sz w:val="32"/>
          <w:szCs w:val="32"/>
          <w:shd w:val="clear" w:color="auto" w:fill="FFFFFF"/>
          <w:lang w:eastAsia="zh-CN"/>
        </w:rPr>
        <w:t>三</w:t>
      </w:r>
      <w:r>
        <w:rPr>
          <w:rFonts w:hint="eastAsia" w:ascii="方正黑体_GBK" w:hAnsi="方正黑体_GBK" w:eastAsia="方正黑体_GBK" w:cs="方正黑体_GBK"/>
          <w:color w:val="333333"/>
          <w:sz w:val="32"/>
          <w:szCs w:val="32"/>
          <w:shd w:val="clear" w:color="auto" w:fill="FFFFFF"/>
        </w:rPr>
        <w:t>、</w:t>
      </w:r>
      <w:r>
        <w:rPr>
          <w:rFonts w:ascii="方正黑体_GBK" w:hAnsi="方正黑体_GBK" w:eastAsia="方正黑体_GBK" w:cs="方正黑体_GBK"/>
          <w:color w:val="333333"/>
          <w:sz w:val="32"/>
          <w:szCs w:val="32"/>
          <w:shd w:val="clear" w:color="auto" w:fill="FFFFFF"/>
        </w:rPr>
        <w:t>合法合规落实项目管理。</w:t>
      </w:r>
      <w:r>
        <w:rPr>
          <w:rFonts w:ascii="Times New Roman" w:hAnsi="Times New Roman" w:eastAsia="方正仿宋_GBK" w:cs="Times New Roman"/>
          <w:kern w:val="2"/>
          <w:sz w:val="32"/>
          <w:szCs w:val="32"/>
          <w:lang w:val="en-US" w:eastAsia="zh-CN" w:bidi="ar-SA"/>
        </w:rPr>
        <w:t>项目实施按照相关规定签订廉政合同，按规定组织好项目的</w:t>
      </w:r>
      <w:r>
        <w:rPr>
          <w:rFonts w:hint="eastAsia" w:cs="Times New Roman"/>
          <w:kern w:val="2"/>
          <w:sz w:val="32"/>
          <w:szCs w:val="32"/>
          <w:lang w:val="en-US" w:eastAsia="zh-CN" w:bidi="ar-SA"/>
        </w:rPr>
        <w:t>评审、</w:t>
      </w:r>
      <w:r>
        <w:rPr>
          <w:rFonts w:ascii="Times New Roman" w:hAnsi="Times New Roman" w:eastAsia="方正仿宋_GBK" w:cs="Times New Roman"/>
          <w:kern w:val="2"/>
          <w:sz w:val="32"/>
          <w:szCs w:val="32"/>
          <w:lang w:val="en-US" w:eastAsia="zh-CN" w:bidi="ar-SA"/>
        </w:rPr>
        <w:t>招投标、政府采购、工程监理、竣工验收、绩效评价、审计评估等工作。加强对项目实施过程的安全检查，并作好相关记录，确保项目实施安全。</w:t>
      </w:r>
      <w:r>
        <w:rPr>
          <w:rFonts w:hint="eastAsia" w:cs="Times New Roman"/>
          <w:kern w:val="2"/>
          <w:sz w:val="32"/>
          <w:szCs w:val="32"/>
          <w:lang w:val="en-US" w:eastAsia="zh-CN" w:bidi="ar-SA"/>
        </w:rPr>
        <w:t>基础设施项目采用以工代赈方式实施，优先吸纳脱贫人口，发动更多脱贫人口参与工程建设，尽可能提高劳务报酬发放比例。</w:t>
      </w:r>
    </w:p>
    <w:p>
      <w:pPr>
        <w:pStyle w:val="5"/>
        <w:keepNext w:val="0"/>
        <w:keepLines w:val="0"/>
        <w:pageBreakBefore w:val="0"/>
        <w:widowControl/>
        <w:kinsoku/>
        <w:wordWrap/>
        <w:overflowPunct/>
        <w:topLinePunct w:val="0"/>
        <w:autoSpaceDE/>
        <w:autoSpaceDN/>
        <w:bidi w:val="0"/>
        <w:adjustRightInd/>
        <w:snapToGrid/>
        <w:spacing w:line="560" w:lineRule="exact"/>
        <w:ind w:firstLine="634"/>
        <w:jc w:val="left"/>
        <w:textAlignment w:val="auto"/>
        <w:rPr>
          <w:rFonts w:ascii="Times New Roman" w:hAnsi="Times New Roman" w:eastAsia="方正仿宋_GBK" w:cs="Times New Roman"/>
          <w:kern w:val="2"/>
          <w:sz w:val="32"/>
          <w:szCs w:val="32"/>
          <w:lang w:val="en-US" w:eastAsia="zh-CN" w:bidi="ar-SA"/>
        </w:rPr>
      </w:pPr>
      <w:r>
        <w:rPr>
          <w:rFonts w:hint="eastAsia" w:ascii="方正黑体_GBK" w:hAnsi="方正黑体_GBK" w:eastAsia="方正黑体_GBK" w:cs="方正黑体_GBK"/>
          <w:color w:val="333333"/>
          <w:sz w:val="32"/>
          <w:szCs w:val="32"/>
          <w:shd w:val="clear" w:color="auto" w:fill="FFFFFF"/>
          <w:lang w:eastAsia="zh-CN"/>
        </w:rPr>
        <w:t>四</w:t>
      </w:r>
      <w:r>
        <w:rPr>
          <w:rFonts w:hint="eastAsia" w:ascii="方正黑体_GBK" w:hAnsi="方正黑体_GBK" w:eastAsia="方正黑体_GBK" w:cs="方正黑体_GBK"/>
          <w:color w:val="333333"/>
          <w:sz w:val="32"/>
          <w:szCs w:val="32"/>
          <w:shd w:val="clear" w:color="auto" w:fill="FFFFFF"/>
        </w:rPr>
        <w:t>、</w:t>
      </w:r>
      <w:r>
        <w:rPr>
          <w:rFonts w:ascii="方正黑体_GBK" w:hAnsi="方正黑体_GBK" w:eastAsia="方正黑体_GBK" w:cs="方正黑体_GBK"/>
          <w:color w:val="333333"/>
          <w:sz w:val="32"/>
          <w:szCs w:val="32"/>
          <w:shd w:val="clear" w:color="auto" w:fill="FFFFFF"/>
        </w:rPr>
        <w:t>管好用好项目库。</w:t>
      </w:r>
      <w:r>
        <w:rPr>
          <w:rFonts w:ascii="Times New Roman" w:hAnsi="Times New Roman" w:eastAsia="方正仿宋_GBK" w:cs="Times New Roman"/>
          <w:kern w:val="2"/>
          <w:sz w:val="32"/>
          <w:szCs w:val="32"/>
          <w:lang w:val="en-US" w:eastAsia="zh-CN" w:bidi="ar-SA"/>
        </w:rPr>
        <w:t>严格按照重庆市乡村振兴局《关于加强县级巩固拓展脱贫攻坚成果和乡村振兴项目库建设管理的通知》（渝乡振发〔2021〕4号）文件要求，及时更新项目库信息，做好项目库建设和维护，实现系统录入、上报数据、实际情况，三者相符。</w:t>
      </w:r>
    </w:p>
    <w:p>
      <w:pPr>
        <w:pStyle w:val="5"/>
        <w:keepNext w:val="0"/>
        <w:keepLines w:val="0"/>
        <w:pageBreakBefore w:val="0"/>
        <w:widowControl/>
        <w:kinsoku/>
        <w:wordWrap/>
        <w:overflowPunct/>
        <w:topLinePunct w:val="0"/>
        <w:autoSpaceDE/>
        <w:autoSpaceDN/>
        <w:bidi w:val="0"/>
        <w:adjustRightInd/>
        <w:snapToGrid/>
        <w:spacing w:line="576" w:lineRule="exact"/>
        <w:ind w:firstLine="634"/>
        <w:jc w:val="left"/>
        <w:textAlignment w:val="auto"/>
        <w:rPr>
          <w:rFonts w:ascii="Times New Roman" w:hAnsi="Times New Roman" w:eastAsia="方正仿宋_GBK" w:cs="Times New Roman"/>
          <w:kern w:val="2"/>
          <w:sz w:val="32"/>
          <w:szCs w:val="3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76" w:lineRule="exact"/>
        <w:ind w:firstLine="634"/>
        <w:jc w:val="left"/>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76" w:lineRule="exact"/>
        <w:ind w:left="1600" w:leftChars="200" w:hanging="960" w:hangingChars="300"/>
        <w:textAlignment w:val="auto"/>
        <w:outlineLvl w:val="0"/>
        <w:rPr>
          <w:rFonts w:hint="eastAsia"/>
          <w:sz w:val="28"/>
          <w:szCs w:val="28"/>
          <w:lang w:val="en-US" w:eastAsia="zh-CN"/>
        </w:rPr>
      </w:pPr>
      <w:r>
        <w:rPr>
          <w:szCs w:val="32"/>
        </w:rPr>
        <w:t>附件：</w:t>
      </w:r>
      <w:r>
        <w:rPr>
          <w:rFonts w:hint="eastAsia"/>
          <w:szCs w:val="32"/>
          <w:lang w:val="en-US" w:eastAsia="zh-CN"/>
        </w:rPr>
        <w:t>1.</w:t>
      </w:r>
      <w:r>
        <w:rPr>
          <w:rFonts w:hint="eastAsia"/>
          <w:sz w:val="28"/>
          <w:szCs w:val="28"/>
          <w:lang w:val="en-US" w:eastAsia="zh-CN"/>
        </w:rPr>
        <w:t>綦江区2024年第一批中央衔接资金项目安排明细表</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default" w:eastAsia="方正仿宋_GBK"/>
          <w:sz w:val="28"/>
          <w:szCs w:val="28"/>
          <w:lang w:val="en-US" w:eastAsia="zh-CN"/>
        </w:rPr>
      </w:pPr>
      <w:r>
        <w:rPr>
          <w:rFonts w:hint="eastAsia"/>
          <w:szCs w:val="32"/>
          <w:lang w:val="en-US" w:eastAsia="zh-CN"/>
        </w:rPr>
        <w:t xml:space="preserve">          2.</w:t>
      </w:r>
      <w:r>
        <w:rPr>
          <w:rFonts w:hint="eastAsia"/>
          <w:sz w:val="28"/>
          <w:szCs w:val="28"/>
          <w:lang w:val="en-US" w:eastAsia="zh-CN"/>
        </w:rPr>
        <w:t>綦江区2024年第一批市级衔接资金项目安排明细表</w:t>
      </w:r>
    </w:p>
    <w:p>
      <w:pPr>
        <w:keepNext w:val="0"/>
        <w:keepLines w:val="0"/>
        <w:pageBreakBefore w:val="0"/>
        <w:kinsoku/>
        <w:wordWrap/>
        <w:overflowPunct/>
        <w:topLinePunct w:val="0"/>
        <w:autoSpaceDE/>
        <w:autoSpaceDN/>
        <w:bidi w:val="0"/>
        <w:adjustRightInd/>
        <w:snapToGrid/>
        <w:spacing w:line="576" w:lineRule="exact"/>
        <w:textAlignment w:val="auto"/>
        <w:rPr>
          <w:szCs w:val="32"/>
        </w:rPr>
      </w:pPr>
    </w:p>
    <w:p>
      <w:pPr>
        <w:keepNext w:val="0"/>
        <w:keepLines w:val="0"/>
        <w:pageBreakBefore w:val="0"/>
        <w:kinsoku/>
        <w:wordWrap/>
        <w:overflowPunct/>
        <w:topLinePunct w:val="0"/>
        <w:autoSpaceDE/>
        <w:autoSpaceDN/>
        <w:bidi w:val="0"/>
        <w:adjustRightInd/>
        <w:snapToGrid/>
        <w:spacing w:line="576" w:lineRule="exact"/>
        <w:textAlignment w:val="auto"/>
        <w:rPr>
          <w:szCs w:val="32"/>
        </w:rPr>
      </w:pPr>
    </w:p>
    <w:p>
      <w:pPr>
        <w:keepNext w:val="0"/>
        <w:keepLines w:val="0"/>
        <w:pageBreakBefore w:val="0"/>
        <w:kinsoku/>
        <w:wordWrap/>
        <w:overflowPunct/>
        <w:topLinePunct w:val="0"/>
        <w:autoSpaceDE/>
        <w:autoSpaceDN/>
        <w:bidi w:val="0"/>
        <w:adjustRightInd/>
        <w:snapToGrid/>
        <w:spacing w:line="576" w:lineRule="exact"/>
        <w:textAlignment w:val="auto"/>
        <w:rPr>
          <w:szCs w:val="32"/>
        </w:rPr>
      </w:pPr>
    </w:p>
    <w:p>
      <w:pPr>
        <w:keepNext w:val="0"/>
        <w:keepLines w:val="0"/>
        <w:pageBreakBefore w:val="0"/>
        <w:kinsoku/>
        <w:wordWrap/>
        <w:overflowPunct/>
        <w:topLinePunct w:val="0"/>
        <w:autoSpaceDE/>
        <w:autoSpaceDN/>
        <w:bidi w:val="0"/>
        <w:adjustRightInd/>
        <w:snapToGrid/>
        <w:spacing w:line="576" w:lineRule="exact"/>
        <w:textAlignment w:val="auto"/>
        <w:rPr>
          <w:szCs w:val="32"/>
        </w:rPr>
      </w:pPr>
      <w:r>
        <w:rPr>
          <w:szCs w:val="32"/>
        </w:rPr>
        <w:t xml:space="preserve">重庆市綦江区乡村振兴局      </w:t>
      </w:r>
      <w:r>
        <w:rPr>
          <w:rFonts w:hint="eastAsia"/>
          <w:szCs w:val="32"/>
        </w:rPr>
        <w:t xml:space="preserve">     </w:t>
      </w:r>
      <w:r>
        <w:rPr>
          <w:rFonts w:hint="default"/>
          <w:szCs w:val="32"/>
          <w:lang w:val="en"/>
        </w:rPr>
        <w:t xml:space="preserve"> </w:t>
      </w:r>
      <w:r>
        <w:rPr>
          <w:rFonts w:hint="eastAsia"/>
          <w:szCs w:val="32"/>
        </w:rPr>
        <w:t xml:space="preserve"> </w:t>
      </w:r>
      <w:r>
        <w:rPr>
          <w:szCs w:val="32"/>
        </w:rPr>
        <w:t xml:space="preserve"> 重庆市綦江区财政局</w:t>
      </w:r>
    </w:p>
    <w:p>
      <w:pPr>
        <w:keepNext w:val="0"/>
        <w:keepLines w:val="0"/>
        <w:pageBreakBefore w:val="0"/>
        <w:kinsoku/>
        <w:wordWrap/>
        <w:overflowPunct/>
        <w:topLinePunct w:val="0"/>
        <w:autoSpaceDE/>
        <w:autoSpaceDN/>
        <w:bidi w:val="0"/>
        <w:adjustRightInd/>
        <w:snapToGrid/>
        <w:spacing w:line="576" w:lineRule="exact"/>
        <w:ind w:firstLine="5760" w:firstLineChars="1800"/>
        <w:textAlignment w:val="auto"/>
        <w:rPr>
          <w:rFonts w:hint="eastAsia" w:eastAsia="方正仿宋_GBK"/>
          <w:szCs w:val="32"/>
          <w:lang w:val="en-US" w:eastAsia="zh-CN"/>
        </w:rPr>
      </w:pPr>
      <w:r>
        <w:rPr>
          <w:szCs w:val="32"/>
        </w:rPr>
        <w:t>202</w:t>
      </w:r>
      <w:r>
        <w:rPr>
          <w:rFonts w:hint="eastAsia"/>
          <w:szCs w:val="32"/>
          <w:lang w:val="en-US" w:eastAsia="zh-CN"/>
        </w:rPr>
        <w:t>3</w:t>
      </w:r>
      <w:r>
        <w:rPr>
          <w:szCs w:val="32"/>
        </w:rPr>
        <w:t>年12月2</w:t>
      </w:r>
      <w:r>
        <w:rPr>
          <w:rFonts w:hint="eastAsia"/>
          <w:szCs w:val="32"/>
          <w:lang w:val="en-US" w:eastAsia="zh-CN"/>
        </w:rPr>
        <w:t>9日</w:t>
      </w:r>
    </w:p>
    <w:p>
      <w:pPr>
        <w:pStyle w:val="3"/>
        <w:outlineLvl w:val="0"/>
        <w:rPr>
          <w:sz w:val="32"/>
          <w:szCs w:val="32"/>
        </w:rPr>
      </w:pPr>
      <w:bookmarkStart w:id="0" w:name="_GoBack"/>
      <w:bookmarkEnd w:id="0"/>
    </w:p>
    <w:sectPr>
      <w:footerReference r:id="rId3" w:type="default"/>
      <w:footerReference r:id="rId4" w:type="even"/>
      <w:pgSz w:w="11906" w:h="16838"/>
      <w:pgMar w:top="2098" w:right="1474" w:bottom="1985" w:left="1588" w:header="851" w:footer="992" w:gutter="0"/>
      <w:pgNumType w:fmt="numberInDash"/>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5MjYwYzI2ZjgzNDIzYTU2ODhjMGE0NmZhYzYxYmYifQ=="/>
  </w:docVars>
  <w:rsids>
    <w:rsidRoot w:val="0CF66C67"/>
    <w:rsid w:val="00096F9B"/>
    <w:rsid w:val="00323146"/>
    <w:rsid w:val="00364B97"/>
    <w:rsid w:val="00654395"/>
    <w:rsid w:val="006B054E"/>
    <w:rsid w:val="006E0C5D"/>
    <w:rsid w:val="0078001B"/>
    <w:rsid w:val="009C2E8D"/>
    <w:rsid w:val="00E45564"/>
    <w:rsid w:val="020B3FFC"/>
    <w:rsid w:val="05CD166B"/>
    <w:rsid w:val="06A9677E"/>
    <w:rsid w:val="06B807E5"/>
    <w:rsid w:val="0785502B"/>
    <w:rsid w:val="0BE35E8C"/>
    <w:rsid w:val="0C8D50C5"/>
    <w:rsid w:val="0CF66C67"/>
    <w:rsid w:val="0D005DD4"/>
    <w:rsid w:val="0DA7060E"/>
    <w:rsid w:val="10C46534"/>
    <w:rsid w:val="11AB71B1"/>
    <w:rsid w:val="1220319B"/>
    <w:rsid w:val="14B16142"/>
    <w:rsid w:val="17F233ED"/>
    <w:rsid w:val="187F1162"/>
    <w:rsid w:val="19761967"/>
    <w:rsid w:val="1B4E755A"/>
    <w:rsid w:val="1BB867BB"/>
    <w:rsid w:val="1BFC713A"/>
    <w:rsid w:val="1CDB7931"/>
    <w:rsid w:val="1E1F5300"/>
    <w:rsid w:val="219854FD"/>
    <w:rsid w:val="22AD1C11"/>
    <w:rsid w:val="235B60DC"/>
    <w:rsid w:val="24817B1A"/>
    <w:rsid w:val="25D86356"/>
    <w:rsid w:val="261C543B"/>
    <w:rsid w:val="26C42C90"/>
    <w:rsid w:val="273E1A3E"/>
    <w:rsid w:val="282E78D1"/>
    <w:rsid w:val="28996270"/>
    <w:rsid w:val="28B47CB5"/>
    <w:rsid w:val="28E25ED4"/>
    <w:rsid w:val="2CD65B36"/>
    <w:rsid w:val="2E1A4012"/>
    <w:rsid w:val="2F184319"/>
    <w:rsid w:val="31BE0AF5"/>
    <w:rsid w:val="33AE7A82"/>
    <w:rsid w:val="344B5016"/>
    <w:rsid w:val="35446B8C"/>
    <w:rsid w:val="36E80F76"/>
    <w:rsid w:val="3753537C"/>
    <w:rsid w:val="3CC24F3A"/>
    <w:rsid w:val="3D13665C"/>
    <w:rsid w:val="3E153786"/>
    <w:rsid w:val="3EFB03E1"/>
    <w:rsid w:val="3F1051F8"/>
    <w:rsid w:val="3F3F5FE6"/>
    <w:rsid w:val="3FA90E98"/>
    <w:rsid w:val="440A6568"/>
    <w:rsid w:val="44496448"/>
    <w:rsid w:val="481E005F"/>
    <w:rsid w:val="4967305A"/>
    <w:rsid w:val="4D1F6494"/>
    <w:rsid w:val="4D4D021B"/>
    <w:rsid w:val="4E073294"/>
    <w:rsid w:val="4EEA13A7"/>
    <w:rsid w:val="4FA709C3"/>
    <w:rsid w:val="50431783"/>
    <w:rsid w:val="5085007B"/>
    <w:rsid w:val="50F157F3"/>
    <w:rsid w:val="51B972DB"/>
    <w:rsid w:val="5572319F"/>
    <w:rsid w:val="55FA157E"/>
    <w:rsid w:val="56186177"/>
    <w:rsid w:val="569D2207"/>
    <w:rsid w:val="58AC4CBD"/>
    <w:rsid w:val="5CCB5B64"/>
    <w:rsid w:val="5E08087F"/>
    <w:rsid w:val="5FEB53D3"/>
    <w:rsid w:val="60F47630"/>
    <w:rsid w:val="61A60ADB"/>
    <w:rsid w:val="61BD395C"/>
    <w:rsid w:val="61EE28B1"/>
    <w:rsid w:val="624F2451"/>
    <w:rsid w:val="63DD630A"/>
    <w:rsid w:val="650302C0"/>
    <w:rsid w:val="65037775"/>
    <w:rsid w:val="66C570D1"/>
    <w:rsid w:val="691240E0"/>
    <w:rsid w:val="69240F89"/>
    <w:rsid w:val="693E3C75"/>
    <w:rsid w:val="698D3155"/>
    <w:rsid w:val="6F7B7179"/>
    <w:rsid w:val="72695938"/>
    <w:rsid w:val="73633E72"/>
    <w:rsid w:val="74A470FC"/>
    <w:rsid w:val="791B1D53"/>
    <w:rsid w:val="793312E5"/>
    <w:rsid w:val="79A84CF6"/>
    <w:rsid w:val="79B7718D"/>
    <w:rsid w:val="7A8A4362"/>
    <w:rsid w:val="7BEB05BF"/>
    <w:rsid w:val="7C275F73"/>
    <w:rsid w:val="7C5622C9"/>
    <w:rsid w:val="7D7D673C"/>
    <w:rsid w:val="7D8D6F68"/>
    <w:rsid w:val="7E1820A9"/>
    <w:rsid w:val="7F5E48E8"/>
    <w:rsid w:val="7FA75CF2"/>
    <w:rsid w:val="FC775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1"/>
    <w:qFormat/>
    <w:uiPriority w:val="0"/>
    <w:pPr>
      <w:ind w:left="100" w:leftChars="2500"/>
    </w:pPr>
  </w:style>
  <w:style w:type="paragraph" w:styleId="3">
    <w:name w:val="footer"/>
    <w:basedOn w:val="1"/>
    <w:link w:val="32"/>
    <w:qFormat/>
    <w:uiPriority w:val="0"/>
    <w:pPr>
      <w:tabs>
        <w:tab w:val="center" w:pos="4153"/>
        <w:tab w:val="right" w:pos="8306"/>
      </w:tabs>
      <w:snapToGrid w:val="0"/>
      <w:jc w:val="left"/>
    </w:pPr>
    <w:rPr>
      <w:sz w:val="18"/>
      <w:szCs w:val="18"/>
    </w:rPr>
  </w:style>
  <w:style w:type="paragraph" w:styleId="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w100"/>
    <w:basedOn w:val="7"/>
    <w:qFormat/>
    <w:uiPriority w:val="0"/>
  </w:style>
  <w:style w:type="character" w:customStyle="1" w:styleId="11">
    <w:name w:val="yjl"/>
    <w:basedOn w:val="7"/>
    <w:qFormat/>
    <w:uiPriority w:val="0"/>
    <w:rPr>
      <w:color w:val="999999"/>
    </w:rPr>
  </w:style>
  <w:style w:type="character" w:customStyle="1" w:styleId="12">
    <w:name w:val="tit36"/>
    <w:basedOn w:val="7"/>
    <w:qFormat/>
    <w:uiPriority w:val="0"/>
    <w:rPr>
      <w:b/>
      <w:bCs/>
      <w:color w:val="333333"/>
      <w:sz w:val="31"/>
      <w:szCs w:val="31"/>
    </w:rPr>
  </w:style>
  <w:style w:type="character" w:customStyle="1" w:styleId="13">
    <w:name w:val="red"/>
    <w:basedOn w:val="7"/>
    <w:qFormat/>
    <w:uiPriority w:val="0"/>
    <w:rPr>
      <w:color w:val="E1211F"/>
    </w:rPr>
  </w:style>
  <w:style w:type="character" w:customStyle="1" w:styleId="14">
    <w:name w:val="red1"/>
    <w:basedOn w:val="7"/>
    <w:qFormat/>
    <w:uiPriority w:val="0"/>
    <w:rPr>
      <w:color w:val="E1211F"/>
    </w:rPr>
  </w:style>
  <w:style w:type="character" w:customStyle="1" w:styleId="15">
    <w:name w:val="red2"/>
    <w:basedOn w:val="7"/>
    <w:qFormat/>
    <w:uiPriority w:val="0"/>
    <w:rPr>
      <w:color w:val="E33938"/>
      <w:u w:val="single"/>
    </w:rPr>
  </w:style>
  <w:style w:type="character" w:customStyle="1" w:styleId="16">
    <w:name w:val="red3"/>
    <w:basedOn w:val="7"/>
    <w:qFormat/>
    <w:uiPriority w:val="0"/>
    <w:rPr>
      <w:color w:val="E1211F"/>
      <w:u w:val="single"/>
    </w:rPr>
  </w:style>
  <w:style w:type="character" w:customStyle="1" w:styleId="17">
    <w:name w:val="red4"/>
    <w:basedOn w:val="7"/>
    <w:qFormat/>
    <w:uiPriority w:val="0"/>
    <w:rPr>
      <w:color w:val="E1211F"/>
    </w:rPr>
  </w:style>
  <w:style w:type="character" w:customStyle="1" w:styleId="18">
    <w:name w:val="red5"/>
    <w:basedOn w:val="7"/>
    <w:qFormat/>
    <w:uiPriority w:val="0"/>
    <w:rPr>
      <w:color w:val="E1211F"/>
    </w:rPr>
  </w:style>
  <w:style w:type="character" w:customStyle="1" w:styleId="19">
    <w:name w:val="arrow"/>
    <w:basedOn w:val="7"/>
    <w:qFormat/>
    <w:uiPriority w:val="0"/>
  </w:style>
  <w:style w:type="character" w:customStyle="1" w:styleId="20">
    <w:name w:val="con8"/>
    <w:basedOn w:val="7"/>
    <w:qFormat/>
    <w:uiPriority w:val="0"/>
  </w:style>
  <w:style w:type="character" w:customStyle="1" w:styleId="21">
    <w:name w:val="cur8"/>
    <w:basedOn w:val="7"/>
    <w:qFormat/>
    <w:uiPriority w:val="0"/>
    <w:rPr>
      <w:color w:val="3354A2"/>
    </w:rPr>
  </w:style>
  <w:style w:type="character" w:customStyle="1" w:styleId="22">
    <w:name w:val="cur9"/>
    <w:basedOn w:val="7"/>
    <w:qFormat/>
    <w:uiPriority w:val="0"/>
    <w:rPr>
      <w:shd w:val="clear" w:color="auto" w:fill="448FE2"/>
    </w:rPr>
  </w:style>
  <w:style w:type="character" w:customStyle="1" w:styleId="23">
    <w:name w:val="hover77"/>
    <w:basedOn w:val="7"/>
    <w:qFormat/>
    <w:uiPriority w:val="0"/>
    <w:rPr>
      <w:b/>
      <w:bCs/>
    </w:rPr>
  </w:style>
  <w:style w:type="character" w:customStyle="1" w:styleId="24">
    <w:name w:val="yj-time"/>
    <w:basedOn w:val="7"/>
    <w:qFormat/>
    <w:uiPriority w:val="0"/>
    <w:rPr>
      <w:color w:val="AAAAAA"/>
      <w:sz w:val="14"/>
      <w:szCs w:val="14"/>
    </w:rPr>
  </w:style>
  <w:style w:type="character" w:customStyle="1" w:styleId="25">
    <w:name w:val="name"/>
    <w:basedOn w:val="7"/>
    <w:qFormat/>
    <w:uiPriority w:val="0"/>
    <w:rPr>
      <w:color w:val="2760B7"/>
    </w:rPr>
  </w:style>
  <w:style w:type="character" w:customStyle="1" w:styleId="26">
    <w:name w:val="yj-blue"/>
    <w:basedOn w:val="7"/>
    <w:qFormat/>
    <w:uiPriority w:val="0"/>
    <w:rPr>
      <w:b/>
      <w:bCs/>
      <w:color w:val="FFFFFF"/>
      <w:sz w:val="16"/>
      <w:szCs w:val="16"/>
      <w:shd w:val="clear" w:color="auto" w:fill="1E84CB"/>
    </w:rPr>
  </w:style>
  <w:style w:type="character" w:customStyle="1" w:styleId="27">
    <w:name w:val="yjr"/>
    <w:basedOn w:val="7"/>
    <w:qFormat/>
    <w:uiPriority w:val="0"/>
  </w:style>
  <w:style w:type="character" w:customStyle="1" w:styleId="28">
    <w:name w:val="tyhl"/>
    <w:basedOn w:val="7"/>
    <w:qFormat/>
    <w:uiPriority w:val="0"/>
    <w:rPr>
      <w:shd w:val="clear" w:color="auto" w:fill="FFFFFF"/>
    </w:rPr>
  </w:style>
  <w:style w:type="character" w:customStyle="1" w:styleId="29">
    <w:name w:val="sp"/>
    <w:basedOn w:val="7"/>
    <w:qFormat/>
    <w:uiPriority w:val="0"/>
    <w:rPr>
      <w:b/>
      <w:bCs/>
      <w:color w:val="307CD2"/>
    </w:rPr>
  </w:style>
  <w:style w:type="character" w:customStyle="1" w:styleId="30">
    <w:name w:val="页眉 Char"/>
    <w:basedOn w:val="7"/>
    <w:link w:val="4"/>
    <w:qFormat/>
    <w:uiPriority w:val="0"/>
    <w:rPr>
      <w:rFonts w:eastAsia="方正仿宋_GBK"/>
      <w:kern w:val="2"/>
      <w:sz w:val="18"/>
      <w:szCs w:val="18"/>
    </w:rPr>
  </w:style>
  <w:style w:type="character" w:customStyle="1" w:styleId="31">
    <w:name w:val="日期 Char"/>
    <w:basedOn w:val="7"/>
    <w:link w:val="2"/>
    <w:qFormat/>
    <w:uiPriority w:val="0"/>
    <w:rPr>
      <w:rFonts w:eastAsia="方正仿宋_GBK"/>
      <w:kern w:val="2"/>
      <w:sz w:val="32"/>
    </w:rPr>
  </w:style>
  <w:style w:type="character" w:customStyle="1" w:styleId="32">
    <w:name w:val="页脚 Char"/>
    <w:basedOn w:val="7"/>
    <w:link w:val="3"/>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1035</Words>
  <Characters>1110</Characters>
  <Lines>1</Lines>
  <Paragraphs>2</Paragraphs>
  <TotalTime>106</TotalTime>
  <ScaleCrop>false</ScaleCrop>
  <LinksUpToDate>false</LinksUpToDate>
  <CharactersWithSpaces>1198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2021-12-26T09:16:00Z</dcterms:created>
  <dc:creator>XIA</dc:creator>
  <cp:lastModifiedBy>Administrator</cp:lastModifiedBy>
  <cp:lastPrinted>2024-01-10T03:32:00Z</cp:lastPrinted>
  <dcterms:modified xsi:type="dcterms:W3CDTF">2024-03-08T03:23:50Z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EC04054E5B8645FA8DD2DE906A7FEC2A</vt:lpwstr>
  </property>
</Properties>
</file>