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_GBK" w:eastAsia="方正小标宋_GBK"/>
          <w:sz w:val="44"/>
          <w:szCs w:val="44"/>
        </w:rPr>
      </w:pPr>
      <w:r>
        <w:rPr>
          <w:rFonts w:hint="eastAsia" w:ascii="方正小标宋_GBK" w:eastAsia="方正小标宋_GBK"/>
          <w:sz w:val="44"/>
          <w:szCs w:val="44"/>
        </w:rPr>
        <w:t>重庆市綦江区公安局</w:t>
      </w:r>
    </w:p>
    <w:p>
      <w:pPr>
        <w:spacing w:line="579"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年政府信息公开工作年度报告</w:t>
      </w:r>
    </w:p>
    <w:p>
      <w:pPr>
        <w:spacing w:line="579" w:lineRule="exact"/>
        <w:ind w:firstLine="632" w:firstLineChars="200"/>
        <w:rPr>
          <w:szCs w:val="32"/>
        </w:rPr>
      </w:pPr>
    </w:p>
    <w:p>
      <w:pPr>
        <w:spacing w:line="579" w:lineRule="exact"/>
        <w:ind w:firstLine="632" w:firstLineChars="200"/>
        <w:rPr>
          <w:szCs w:val="32"/>
        </w:rPr>
      </w:pPr>
      <w:r>
        <w:rPr>
          <w:szCs w:val="32"/>
        </w:rPr>
        <w:t>根据《中华人民共和国政府信息公开条例》（以下简称《条例》）和《国务院办公厅政府信息与政务公开办公室关于印发中华人民共和国政府信息公开年度报告格式的通知》（国办公开办函〔2021〕</w:t>
      </w:r>
      <w:r>
        <w:rPr>
          <w:rFonts w:hint="eastAsia"/>
          <w:szCs w:val="32"/>
          <w:lang w:val="en-US" w:eastAsia="zh-CN"/>
        </w:rPr>
        <w:t>30</w:t>
      </w:r>
      <w:r>
        <w:rPr>
          <w:szCs w:val="32"/>
        </w:rPr>
        <w:t>号）以及《重庆市綦江区人民政府办公室关于做好202</w:t>
      </w:r>
      <w:r>
        <w:rPr>
          <w:rFonts w:hint="eastAsia"/>
          <w:szCs w:val="32"/>
          <w:lang w:val="en-US" w:eastAsia="zh-CN"/>
        </w:rPr>
        <w:t>4</w:t>
      </w:r>
      <w:r>
        <w:rPr>
          <w:szCs w:val="32"/>
        </w:rPr>
        <w:t>年政府信息公开工作年度报告编制工作的通知》要求编制本报告。</w:t>
      </w:r>
      <w:r>
        <w:rPr>
          <w:rFonts w:hint="eastAsia"/>
          <w:szCs w:val="32"/>
          <w:lang w:val="en-US" w:eastAsia="zh-CN"/>
        </w:rPr>
        <w:t>内容包括</w:t>
      </w:r>
      <w:r>
        <w:rPr>
          <w:szCs w:val="32"/>
        </w:rPr>
        <w:t>总体情况，主动公开政府信息情况，收到和处理政府信息公开申请情况，政府信息公开行政复议、行政诉讼情况，当前存在的主要问题及改进</w:t>
      </w:r>
      <w:r>
        <w:rPr>
          <w:rFonts w:hint="eastAsia"/>
          <w:szCs w:val="32"/>
          <w:lang w:val="en-US" w:eastAsia="zh-CN"/>
        </w:rPr>
        <w:t>情况</w:t>
      </w:r>
      <w:r>
        <w:rPr>
          <w:szCs w:val="32"/>
        </w:rPr>
        <w:t>，其他需要报告的事项</w:t>
      </w:r>
      <w:r>
        <w:rPr>
          <w:rFonts w:hint="eastAsia"/>
          <w:szCs w:val="32"/>
          <w:lang w:val="en-US" w:eastAsia="zh-CN"/>
        </w:rPr>
        <w:t>6个部分组成</w:t>
      </w:r>
      <w:r>
        <w:rPr>
          <w:rFonts w:hint="eastAsia"/>
          <w:szCs w:val="32"/>
          <w:lang w:eastAsia="zh-CN"/>
        </w:rPr>
        <w:t>。</w:t>
      </w:r>
      <w:r>
        <w:rPr>
          <w:rFonts w:hint="eastAsia"/>
          <w:szCs w:val="32"/>
          <w:lang w:val="en-US" w:eastAsia="zh-CN"/>
        </w:rPr>
        <w:t>报告中</w:t>
      </w:r>
      <w:r>
        <w:rPr>
          <w:szCs w:val="32"/>
        </w:rPr>
        <w:t>所涉及数据统计期限为202</w:t>
      </w:r>
      <w:r>
        <w:rPr>
          <w:rFonts w:hint="eastAsia"/>
          <w:szCs w:val="32"/>
          <w:lang w:val="en-US" w:eastAsia="zh-CN"/>
        </w:rPr>
        <w:t>4</w:t>
      </w:r>
      <w:r>
        <w:rPr>
          <w:szCs w:val="32"/>
        </w:rPr>
        <w:t>年1月1日至202</w:t>
      </w:r>
      <w:r>
        <w:rPr>
          <w:rFonts w:hint="eastAsia"/>
          <w:szCs w:val="32"/>
          <w:lang w:val="en-US" w:eastAsia="zh-CN"/>
        </w:rPr>
        <w:t>4</w:t>
      </w:r>
      <w:r>
        <w:rPr>
          <w:szCs w:val="32"/>
        </w:rPr>
        <w:t>年12月31日。</w:t>
      </w:r>
    </w:p>
    <w:p>
      <w:pPr>
        <w:spacing w:line="579" w:lineRule="exact"/>
        <w:ind w:firstLine="632" w:firstLineChars="200"/>
        <w:rPr>
          <w:rFonts w:ascii="方正黑体_GBK" w:eastAsia="方正黑体_GBK"/>
          <w:szCs w:val="32"/>
        </w:rPr>
      </w:pPr>
      <w:bookmarkStart w:id="0" w:name="_Toc3296"/>
      <w:r>
        <w:rPr>
          <w:rFonts w:hint="eastAsia" w:ascii="方正黑体_GBK" w:eastAsia="方正黑体_GBK"/>
          <w:szCs w:val="32"/>
        </w:rPr>
        <w:t>一、总体情况</w:t>
      </w:r>
    </w:p>
    <w:p>
      <w:pPr>
        <w:spacing w:line="579" w:lineRule="exact"/>
        <w:ind w:firstLine="632" w:firstLineChars="200"/>
        <w:rPr>
          <w:rFonts w:hint="default" w:eastAsia="方正仿宋_GBK"/>
          <w:szCs w:val="32"/>
          <w:lang w:val="en-US" w:eastAsia="zh-CN"/>
        </w:rPr>
      </w:pPr>
      <w:r>
        <w:rPr>
          <w:szCs w:val="32"/>
        </w:rPr>
        <w:t>202</w:t>
      </w:r>
      <w:r>
        <w:rPr>
          <w:rFonts w:hint="eastAsia"/>
          <w:szCs w:val="32"/>
          <w:lang w:val="en-US" w:eastAsia="zh-CN"/>
        </w:rPr>
        <w:t>4</w:t>
      </w:r>
      <w:r>
        <w:rPr>
          <w:szCs w:val="32"/>
        </w:rPr>
        <w:t>年，綦江区公安局</w:t>
      </w:r>
      <w:r>
        <w:rPr>
          <w:rFonts w:hint="eastAsia"/>
          <w:szCs w:val="32"/>
          <w:lang w:val="en-US" w:eastAsia="zh-CN"/>
        </w:rPr>
        <w:t>在区委、区政府和市公安局的坚强领导下，</w:t>
      </w:r>
      <w:r>
        <w:rPr>
          <w:szCs w:val="32"/>
        </w:rPr>
        <w:t>以习近平新时代中国特色社会主义思想为指导</w:t>
      </w:r>
      <w:r>
        <w:rPr>
          <w:rFonts w:hint="eastAsia"/>
          <w:szCs w:val="32"/>
          <w:lang w:eastAsia="zh-CN"/>
        </w:rPr>
        <w:t>，</w:t>
      </w:r>
      <w:r>
        <w:rPr>
          <w:rFonts w:hint="eastAsia"/>
          <w:szCs w:val="32"/>
          <w:lang w:val="en-US" w:eastAsia="zh-CN"/>
        </w:rPr>
        <w:t>全面贯彻落实《条例》有关要求，不断完善政务信息公开内容，提升政务公开质量，切实做到及时公开、依法公开、规范公开。</w:t>
      </w:r>
    </w:p>
    <w:p>
      <w:pPr>
        <w:spacing w:line="579" w:lineRule="exact"/>
        <w:ind w:firstLine="632" w:firstLineChars="200"/>
        <w:rPr>
          <w:rFonts w:hint="eastAsia" w:ascii="方正仿宋_GBK" w:hAnsi="方正仿宋_GBK" w:cs="方正仿宋_GBK"/>
          <w:szCs w:val="32"/>
          <w:lang w:val="en-US" w:eastAsia="zh-CN"/>
        </w:rPr>
      </w:pPr>
      <w:r>
        <w:rPr>
          <w:rFonts w:hint="eastAsia" w:ascii="方正楷体_GBK" w:eastAsia="方正楷体_GBK"/>
          <w:szCs w:val="32"/>
        </w:rPr>
        <w:t>（一）主动公开方面。</w:t>
      </w:r>
      <w:r>
        <w:rPr>
          <w:rFonts w:hint="eastAsia" w:ascii="方正仿宋_GBK" w:hAnsi="方正仿宋_GBK" w:cs="方正仿宋_GBK"/>
          <w:szCs w:val="32"/>
          <w:lang w:val="en-US" w:eastAsia="zh-CN"/>
        </w:rPr>
        <w:t>遵循公开、公正、合法、便民的原则</w:t>
      </w:r>
      <w:r>
        <w:rPr>
          <w:rFonts w:hint="eastAsia" w:ascii="方正仿宋_GBK" w:hAnsi="方正仿宋_GBK" w:eastAsia="方正仿宋_GBK" w:cs="方正仿宋_GBK"/>
          <w:szCs w:val="32"/>
          <w:lang w:val="en-US" w:eastAsia="zh-CN"/>
        </w:rPr>
        <w:t>，</w:t>
      </w:r>
      <w:r>
        <w:rPr>
          <w:rFonts w:hint="eastAsia" w:ascii="方正仿宋_GBK" w:hAnsi="方正仿宋_GBK" w:cs="方正仿宋_GBK"/>
          <w:szCs w:val="32"/>
          <w:lang w:val="en-US" w:eastAsia="zh-CN"/>
        </w:rPr>
        <w:t>积极围绕群众关心关切的治安动态、政务服务等重点领域，加大</w:t>
      </w:r>
    </w:p>
    <w:p>
      <w:pPr>
        <w:spacing w:line="579" w:lineRule="exact"/>
        <w:ind w:firstLine="0" w:firstLineChars="0"/>
        <w:rPr>
          <w:szCs w:val="32"/>
        </w:rPr>
      </w:pPr>
      <w:r>
        <w:rPr>
          <w:rFonts w:hint="default" w:ascii="Times New Roman" w:hAnsi="Times New Roman" w:cs="Times New Roman"/>
          <w:szCs w:val="32"/>
          <w:lang w:val="en-US" w:eastAsia="zh-CN"/>
        </w:rPr>
        <w:t>政府门户网站和政务新媒体警务公开力度，主动公开各类政府信息124条，其中政府门户网站公开信息66条，政务新媒体公开信息58条。</w:t>
      </w:r>
    </w:p>
    <w:p>
      <w:pPr>
        <w:spacing w:line="579" w:lineRule="exact"/>
        <w:ind w:firstLine="632" w:firstLineChars="200"/>
        <w:rPr>
          <w:szCs w:val="32"/>
        </w:rPr>
      </w:pPr>
      <w:r>
        <w:rPr>
          <w:rFonts w:hint="eastAsia" w:ascii="方正楷体_GBK" w:eastAsia="方正楷体_GBK"/>
          <w:szCs w:val="32"/>
        </w:rPr>
        <w:t>（二）依申请公开方面。</w:t>
      </w:r>
      <w:r>
        <w:rPr>
          <w:rFonts w:hint="eastAsia" w:ascii="方正仿宋_GBK" w:hAnsi="方正仿宋_GBK" w:eastAsia="方正仿宋_GBK" w:cs="方正仿宋_GBK"/>
          <w:szCs w:val="32"/>
          <w:lang w:val="en-US" w:eastAsia="zh-CN"/>
        </w:rPr>
        <w:t>严格按照</w:t>
      </w:r>
      <w:r>
        <w:rPr>
          <w:rFonts w:hint="eastAsia" w:ascii="方正仿宋_GBK" w:hAnsi="方正仿宋_GBK" w:cs="方正仿宋_GBK"/>
          <w:szCs w:val="32"/>
          <w:lang w:val="en-US" w:eastAsia="zh-CN"/>
        </w:rPr>
        <w:t>办理政府信息公开申请程序，加强与申请人的沟通联系，强化部门协调联动，依法依规办理回复。</w:t>
      </w:r>
      <w:r>
        <w:rPr>
          <w:szCs w:val="32"/>
        </w:rPr>
        <w:t>202</w:t>
      </w:r>
      <w:r>
        <w:rPr>
          <w:rFonts w:hint="eastAsia"/>
          <w:szCs w:val="32"/>
          <w:lang w:val="en-US" w:eastAsia="zh-CN"/>
        </w:rPr>
        <w:t>4</w:t>
      </w:r>
      <w:r>
        <w:rPr>
          <w:szCs w:val="32"/>
        </w:rPr>
        <w:t>年，区公安局受理政府信息依申请公开</w:t>
      </w:r>
      <w:r>
        <w:rPr>
          <w:rFonts w:hint="eastAsia"/>
          <w:szCs w:val="32"/>
          <w:lang w:val="en-US" w:eastAsia="zh-CN"/>
        </w:rPr>
        <w:t>4</w:t>
      </w:r>
      <w:r>
        <w:rPr>
          <w:szCs w:val="32"/>
        </w:rPr>
        <w:t>条，因政府信息公开的行政复议</w:t>
      </w:r>
      <w:r>
        <w:rPr>
          <w:rFonts w:hint="eastAsia"/>
          <w:szCs w:val="32"/>
          <w:lang w:val="en-US" w:eastAsia="zh-CN"/>
        </w:rPr>
        <w:t>1</w:t>
      </w:r>
      <w:r>
        <w:rPr>
          <w:szCs w:val="32"/>
        </w:rPr>
        <w:t>件</w:t>
      </w:r>
      <w:r>
        <w:rPr>
          <w:rFonts w:hint="eastAsia"/>
          <w:szCs w:val="32"/>
          <w:lang w:eastAsia="zh-CN"/>
        </w:rPr>
        <w:t>（</w:t>
      </w:r>
      <w:r>
        <w:rPr>
          <w:rFonts w:hint="eastAsia"/>
          <w:szCs w:val="32"/>
          <w:lang w:val="en-US" w:eastAsia="zh-CN"/>
        </w:rPr>
        <w:t>维持原具体行政行为</w:t>
      </w:r>
      <w:r>
        <w:rPr>
          <w:rFonts w:hint="eastAsia"/>
          <w:szCs w:val="32"/>
          <w:lang w:eastAsia="zh-CN"/>
        </w:rPr>
        <w:t>）</w:t>
      </w:r>
      <w:r>
        <w:rPr>
          <w:szCs w:val="32"/>
        </w:rPr>
        <w:t>，因政府信息公开的行政诉讼0件。</w:t>
      </w:r>
    </w:p>
    <w:p>
      <w:pPr>
        <w:spacing w:line="579" w:lineRule="exact"/>
        <w:ind w:firstLine="632" w:firstLineChars="200"/>
        <w:rPr>
          <w:rFonts w:hint="eastAsia" w:ascii="方正楷体_GBK" w:eastAsia="方正楷体_GBK"/>
          <w:szCs w:val="32"/>
        </w:rPr>
      </w:pPr>
      <w:r>
        <w:rPr>
          <w:rFonts w:hint="eastAsia" w:ascii="方正楷体_GBK" w:eastAsia="方正楷体_GBK"/>
          <w:szCs w:val="32"/>
        </w:rPr>
        <w:t>（三）政府信息管理方面。</w:t>
      </w:r>
      <w:r>
        <w:rPr>
          <w:rFonts w:hint="eastAsia" w:ascii="方正仿宋_GBK" w:hAnsi="方正仿宋_GBK" w:eastAsia="方正仿宋_GBK" w:cs="方正仿宋_GBK"/>
          <w:szCs w:val="32"/>
          <w:lang w:val="en-US" w:eastAsia="zh-CN"/>
        </w:rPr>
        <w:t>按照政府信息公开工作统一部署和要求，</w:t>
      </w:r>
      <w:r>
        <w:rPr>
          <w:rFonts w:hint="eastAsia" w:ascii="方正仿宋_GBK" w:hAnsi="方正仿宋_GBK" w:cs="方正仿宋_GBK"/>
          <w:szCs w:val="32"/>
          <w:lang w:val="en-US" w:eastAsia="zh-CN"/>
        </w:rPr>
        <w:t>区公安局明确办公室为政府信息公开牵头单位，落实责任领导和具体负责人，</w:t>
      </w:r>
      <w:r>
        <w:rPr>
          <w:rFonts w:hint="eastAsia" w:ascii="方正仿宋_GBK" w:hAnsi="方正仿宋_GBK" w:eastAsia="方正仿宋_GBK" w:cs="方正仿宋_GBK"/>
          <w:szCs w:val="32"/>
          <w:lang w:val="en-US" w:eastAsia="zh-CN"/>
        </w:rPr>
        <w:t>会同相关科室定期维护</w:t>
      </w:r>
      <w:r>
        <w:rPr>
          <w:rFonts w:hint="eastAsia" w:ascii="方正仿宋_GBK" w:hAnsi="方正仿宋_GBK" w:cs="方正仿宋_GBK"/>
          <w:szCs w:val="32"/>
          <w:lang w:val="en-US" w:eastAsia="zh-CN"/>
        </w:rPr>
        <w:t>更新</w:t>
      </w:r>
      <w:r>
        <w:rPr>
          <w:rFonts w:hint="eastAsia" w:ascii="方正仿宋_GBK" w:hAnsi="方正仿宋_GBK" w:eastAsia="方正仿宋_GBK" w:cs="方正仿宋_GBK"/>
          <w:szCs w:val="32"/>
          <w:lang w:val="en-US" w:eastAsia="zh-CN"/>
        </w:rPr>
        <w:t>门户网站和政务新媒体</w:t>
      </w:r>
      <w:r>
        <w:rPr>
          <w:rFonts w:hint="eastAsia" w:ascii="方正仿宋_GBK" w:hAnsi="方正仿宋_GBK" w:cs="方正仿宋_GBK"/>
          <w:szCs w:val="32"/>
          <w:lang w:val="en-US" w:eastAsia="zh-CN"/>
        </w:rPr>
        <w:t>内容</w:t>
      </w:r>
      <w:r>
        <w:rPr>
          <w:rFonts w:hint="eastAsia" w:ascii="方正仿宋_GBK" w:hAnsi="方正仿宋_GBK" w:eastAsia="方正仿宋_GBK" w:cs="方正仿宋_GBK"/>
          <w:szCs w:val="32"/>
          <w:lang w:val="en-US" w:eastAsia="zh-CN"/>
        </w:rPr>
        <w:t>，严格落实“三审三校”制度，严把初审、复审、终审三道审核程序，</w:t>
      </w:r>
      <w:r>
        <w:rPr>
          <w:rFonts w:hint="eastAsia" w:ascii="方正仿宋_GBK" w:hAnsi="方正仿宋_GBK" w:cs="方正仿宋_GBK"/>
          <w:szCs w:val="32"/>
          <w:lang w:val="en-US" w:eastAsia="zh-CN"/>
        </w:rPr>
        <w:t>确保信息公开全面、及时、准确、无差错</w:t>
      </w:r>
      <w:r>
        <w:rPr>
          <w:rFonts w:hint="eastAsia" w:ascii="方正仿宋_GBK" w:hAnsi="方正仿宋_GBK" w:eastAsia="方正仿宋_GBK" w:cs="方正仿宋_GBK"/>
          <w:szCs w:val="32"/>
          <w:lang w:val="en-US" w:eastAsia="zh-CN"/>
        </w:rPr>
        <w:t>。</w:t>
      </w:r>
    </w:p>
    <w:p>
      <w:pPr>
        <w:spacing w:line="579" w:lineRule="exact"/>
        <w:ind w:firstLine="632" w:firstLineChars="200"/>
        <w:rPr>
          <w:szCs w:val="32"/>
        </w:rPr>
      </w:pPr>
      <w:r>
        <w:rPr>
          <w:rFonts w:hint="eastAsia" w:ascii="方正楷体_GBK" w:eastAsia="方正楷体_GBK"/>
          <w:szCs w:val="32"/>
        </w:rPr>
        <w:t>（四）政府信息公开平台建设方面。</w:t>
      </w:r>
      <w:r>
        <w:rPr>
          <w:szCs w:val="32"/>
        </w:rPr>
        <w:t>202</w:t>
      </w:r>
      <w:r>
        <w:rPr>
          <w:rFonts w:hint="eastAsia"/>
          <w:szCs w:val="32"/>
          <w:lang w:val="en-US" w:eastAsia="zh-CN"/>
        </w:rPr>
        <w:t>4</w:t>
      </w:r>
      <w:r>
        <w:rPr>
          <w:szCs w:val="32"/>
        </w:rPr>
        <w:t>年，区公安局依托</w:t>
      </w:r>
      <w:r>
        <w:rPr>
          <w:rFonts w:hint="eastAsia"/>
          <w:szCs w:val="32"/>
        </w:rPr>
        <w:t>“</w:t>
      </w:r>
      <w:r>
        <w:rPr>
          <w:szCs w:val="32"/>
        </w:rPr>
        <w:t>重庆市綦江区人民政府</w:t>
      </w:r>
      <w:r>
        <w:rPr>
          <w:rFonts w:hint="eastAsia"/>
          <w:szCs w:val="32"/>
        </w:rPr>
        <w:t>”</w:t>
      </w:r>
      <w:r>
        <w:rPr>
          <w:szCs w:val="32"/>
        </w:rPr>
        <w:t>网站，</w:t>
      </w:r>
      <w:r>
        <w:rPr>
          <w:rFonts w:hint="eastAsia"/>
          <w:szCs w:val="32"/>
          <w:lang w:val="en-US" w:eastAsia="zh-CN"/>
        </w:rPr>
        <w:t>加大信息公开力度，确保公众快速、及时、准确地获取相关信息，加强政务新媒体建设和管理，实现新媒体与传统政务公开方式的优势互补，提升信息公开质量。目前，</w:t>
      </w:r>
      <w:r>
        <w:rPr>
          <w:szCs w:val="32"/>
        </w:rPr>
        <w:t>现有</w:t>
      </w:r>
      <w:r>
        <w:rPr>
          <w:rFonts w:hint="eastAsia"/>
          <w:szCs w:val="32"/>
        </w:rPr>
        <w:t>“</w:t>
      </w:r>
      <w:r>
        <w:rPr>
          <w:szCs w:val="32"/>
        </w:rPr>
        <w:t>重庆市綦江区公安局</w:t>
      </w:r>
      <w:r>
        <w:rPr>
          <w:rFonts w:hint="eastAsia"/>
          <w:szCs w:val="32"/>
        </w:rPr>
        <w:t>”</w:t>
      </w:r>
      <w:r>
        <w:rPr>
          <w:szCs w:val="32"/>
        </w:rPr>
        <w:t>网页</w:t>
      </w:r>
      <w:r>
        <w:rPr>
          <w:rFonts w:hint="eastAsia"/>
          <w:szCs w:val="32"/>
          <w:lang w:val="en-US" w:eastAsia="zh-CN"/>
        </w:rPr>
        <w:t>1</w:t>
      </w:r>
      <w:r>
        <w:rPr>
          <w:szCs w:val="32"/>
        </w:rPr>
        <w:t>个；政务新媒体</w:t>
      </w:r>
      <w:r>
        <w:rPr>
          <w:rFonts w:hint="eastAsia"/>
          <w:szCs w:val="32"/>
          <w:lang w:val="en-US" w:eastAsia="zh-CN"/>
        </w:rPr>
        <w:t>5</w:t>
      </w:r>
      <w:r>
        <w:rPr>
          <w:szCs w:val="32"/>
        </w:rPr>
        <w:t>个，其中微信公众号</w:t>
      </w:r>
      <w:r>
        <w:rPr>
          <w:rFonts w:hint="eastAsia"/>
          <w:szCs w:val="32"/>
          <w:lang w:val="en-US" w:eastAsia="zh-CN"/>
        </w:rPr>
        <w:t>2</w:t>
      </w:r>
      <w:r>
        <w:rPr>
          <w:szCs w:val="32"/>
        </w:rPr>
        <w:t>个（平安綦江、綦江反诈拒赌）、新浪微博</w:t>
      </w:r>
      <w:r>
        <w:rPr>
          <w:rFonts w:hint="eastAsia"/>
          <w:szCs w:val="32"/>
          <w:lang w:val="en-US" w:eastAsia="zh-CN"/>
        </w:rPr>
        <w:t>1</w:t>
      </w:r>
      <w:r>
        <w:rPr>
          <w:szCs w:val="32"/>
        </w:rPr>
        <w:t>个（平安綦江）、抖音</w:t>
      </w:r>
      <w:r>
        <w:rPr>
          <w:rFonts w:hint="eastAsia"/>
          <w:szCs w:val="32"/>
          <w:lang w:val="en-US" w:eastAsia="zh-CN"/>
        </w:rPr>
        <w:t>2</w:t>
      </w:r>
      <w:r>
        <w:rPr>
          <w:szCs w:val="32"/>
        </w:rPr>
        <w:t>个（平安綦江、綦江交巡警）。</w:t>
      </w:r>
    </w:p>
    <w:p>
      <w:pPr>
        <w:spacing w:line="579" w:lineRule="exact"/>
        <w:ind w:firstLine="632" w:firstLineChars="200"/>
        <w:rPr>
          <w:rFonts w:hint="default" w:eastAsia="方正仿宋_GBK"/>
          <w:szCs w:val="32"/>
          <w:lang w:val="en-US" w:eastAsia="zh-CN"/>
        </w:rPr>
      </w:pPr>
      <w:r>
        <w:rPr>
          <w:rFonts w:hint="eastAsia" w:ascii="方正楷体_GBK" w:eastAsia="方正楷体_GBK"/>
          <w:szCs w:val="32"/>
        </w:rPr>
        <w:t>（五）监督保障方面。</w:t>
      </w:r>
      <w:r>
        <w:rPr>
          <w:rFonts w:hint="eastAsia" w:ascii="方正仿宋_GBK" w:hAnsi="方正仿宋_GBK" w:eastAsia="方正仿宋_GBK" w:cs="方正仿宋_GBK"/>
          <w:szCs w:val="32"/>
          <w:lang w:val="en-US" w:eastAsia="zh-CN"/>
        </w:rPr>
        <w:t>加强门户网站和政务新媒体日常监管，落实工作责任，完善各项制度，遵循“谁公开、谁负责”和“先审查、后公开”的原则，严把信息审核关；主动接受区政府公开科对我局政务信息公开工作的监督领导，及时整改检测出的问题，确保信息公开准确、及时。</w:t>
      </w:r>
    </w:p>
    <w:p>
      <w:pPr>
        <w:spacing w:line="579" w:lineRule="exact"/>
        <w:ind w:firstLine="632" w:firstLineChars="200"/>
        <w:rPr>
          <w:rFonts w:ascii="方正黑体_GBK" w:eastAsia="方正黑体_GBK"/>
          <w:szCs w:val="32"/>
        </w:rPr>
      </w:pPr>
      <w:bookmarkStart w:id="1" w:name="_Hlk122684884"/>
      <w:r>
        <w:rPr>
          <w:rFonts w:hint="eastAsia" w:ascii="方正黑体_GBK" w:eastAsia="方正黑体_GBK"/>
          <w:szCs w:val="32"/>
        </w:rPr>
        <w:t>二、主动公开政府信息情况</w:t>
      </w:r>
      <w:bookmarkEnd w:id="0"/>
      <w:bookmarkEnd w:id="1"/>
    </w:p>
    <w:tbl>
      <w:tblPr>
        <w:tblStyle w:val="19"/>
        <w:tblW w:w="8892"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2509"/>
        <w:gridCol w:w="1842"/>
        <w:gridCol w:w="2552"/>
        <w:gridCol w:w="1989"/>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8892" w:type="dxa"/>
            <w:gridSpan w:val="4"/>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第二十条第（一）项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2509"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信息内容</w:t>
            </w:r>
          </w:p>
        </w:tc>
        <w:tc>
          <w:tcPr>
            <w:tcW w:w="1842"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本年制发件数</w:t>
            </w:r>
          </w:p>
        </w:tc>
        <w:tc>
          <w:tcPr>
            <w:tcW w:w="2552"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本年废止件数</w:t>
            </w:r>
          </w:p>
        </w:tc>
        <w:tc>
          <w:tcPr>
            <w:tcW w:w="1989"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现行有效件数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2509"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规章</w:t>
            </w:r>
          </w:p>
        </w:tc>
        <w:tc>
          <w:tcPr>
            <w:tcW w:w="1842"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w:t>
            </w:r>
          </w:p>
        </w:tc>
        <w:tc>
          <w:tcPr>
            <w:tcW w:w="2552"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w:t>
            </w:r>
          </w:p>
        </w:tc>
        <w:tc>
          <w:tcPr>
            <w:tcW w:w="1989"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2509"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行政规范性文件</w:t>
            </w:r>
          </w:p>
        </w:tc>
        <w:tc>
          <w:tcPr>
            <w:tcW w:w="1842"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w:t>
            </w:r>
          </w:p>
        </w:tc>
        <w:tc>
          <w:tcPr>
            <w:tcW w:w="2552"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w:t>
            </w:r>
          </w:p>
        </w:tc>
        <w:tc>
          <w:tcPr>
            <w:tcW w:w="1989"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892" w:type="dxa"/>
            <w:gridSpan w:val="4"/>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第二十条第（五）项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信息内容</w:t>
            </w:r>
          </w:p>
        </w:tc>
        <w:tc>
          <w:tcPr>
            <w:tcW w:w="6383" w:type="dxa"/>
            <w:gridSpan w:val="3"/>
            <w:tcMar>
              <w:left w:w="17" w:type="dxa"/>
              <w:right w:w="17" w:type="dxa"/>
            </w:tcMar>
            <w:vAlign w:val="center"/>
          </w:tcPr>
          <w:p>
            <w:pPr>
              <w:spacing w:line="300" w:lineRule="exact"/>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本年处理决定数量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行政许可</w:t>
            </w:r>
          </w:p>
        </w:tc>
        <w:tc>
          <w:tcPr>
            <w:tcW w:w="6383" w:type="dxa"/>
            <w:gridSpan w:val="3"/>
            <w:tcMar>
              <w:left w:w="17" w:type="dxa"/>
              <w:right w:w="17" w:type="dxa"/>
            </w:tcMar>
            <w:vAlign w:val="center"/>
          </w:tcPr>
          <w:p>
            <w:pPr>
              <w:spacing w:line="300" w:lineRule="exact"/>
              <w:jc w:val="center"/>
              <w:rPr>
                <w:rFonts w:hint="default" w:eastAsia="方正仿宋_GBK"/>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118487</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892" w:type="dxa"/>
            <w:gridSpan w:val="4"/>
            <w:tcMar>
              <w:left w:w="17" w:type="dxa"/>
              <w:right w:w="17" w:type="dxa"/>
            </w:tcMar>
            <w:vAlign w:val="center"/>
          </w:tcPr>
          <w:p>
            <w:pPr>
              <w:spacing w:line="300" w:lineRule="exact"/>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第二十条第（六）项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信息内容</w:t>
            </w:r>
          </w:p>
        </w:tc>
        <w:tc>
          <w:tcPr>
            <w:tcW w:w="6383" w:type="dxa"/>
            <w:gridSpan w:val="3"/>
            <w:tcMar>
              <w:left w:w="17" w:type="dxa"/>
              <w:right w:w="17" w:type="dxa"/>
            </w:tcMar>
            <w:vAlign w:val="center"/>
          </w:tcPr>
          <w:p>
            <w:pPr>
              <w:spacing w:line="300" w:lineRule="exact"/>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本年处理决定数量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行政处罚</w:t>
            </w:r>
          </w:p>
        </w:tc>
        <w:tc>
          <w:tcPr>
            <w:tcW w:w="6383" w:type="dxa"/>
            <w:gridSpan w:val="3"/>
            <w:tcMar>
              <w:left w:w="17" w:type="dxa"/>
              <w:right w:w="17" w:type="dxa"/>
            </w:tcMar>
            <w:vAlign w:val="center"/>
          </w:tcPr>
          <w:p>
            <w:pPr>
              <w:spacing w:line="300" w:lineRule="exact"/>
              <w:jc w:val="center"/>
              <w:rPr>
                <w:rFonts w:hint="default" w:eastAsia="方正仿宋_GBK"/>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237642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行政强制</w:t>
            </w:r>
          </w:p>
        </w:tc>
        <w:tc>
          <w:tcPr>
            <w:tcW w:w="6383" w:type="dxa"/>
            <w:gridSpan w:val="3"/>
            <w:tcMar>
              <w:left w:w="17" w:type="dxa"/>
              <w:right w:w="17" w:type="dxa"/>
            </w:tcMar>
            <w:vAlign w:val="center"/>
          </w:tcPr>
          <w:p>
            <w:pPr>
              <w:spacing w:line="300" w:lineRule="exact"/>
              <w:jc w:val="center"/>
              <w:rPr>
                <w:rFonts w:hint="default" w:eastAsia="方正仿宋_GBK"/>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2233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892" w:type="dxa"/>
            <w:gridSpan w:val="4"/>
            <w:tcMar>
              <w:left w:w="17" w:type="dxa"/>
              <w:right w:w="17" w:type="dxa"/>
            </w:tcMar>
            <w:vAlign w:val="center"/>
          </w:tcPr>
          <w:p>
            <w:pPr>
              <w:spacing w:line="300" w:lineRule="exact"/>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第二十条第（八）项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300" w:lineRule="exact"/>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信息内容</w:t>
            </w:r>
          </w:p>
        </w:tc>
        <w:tc>
          <w:tcPr>
            <w:tcW w:w="6383" w:type="dxa"/>
            <w:gridSpan w:val="3"/>
            <w:tcMar>
              <w:left w:w="17" w:type="dxa"/>
              <w:right w:w="17" w:type="dxa"/>
            </w:tcMar>
            <w:vAlign w:val="center"/>
          </w:tcPr>
          <w:p>
            <w:pPr>
              <w:spacing w:line="300" w:lineRule="exact"/>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本年收费金额（单位：万元）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3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行政事业性收费</w:t>
            </w:r>
          </w:p>
        </w:tc>
        <w:tc>
          <w:tcPr>
            <w:tcW w:w="6383" w:type="dxa"/>
            <w:gridSpan w:val="3"/>
            <w:tcMar>
              <w:left w:w="17" w:type="dxa"/>
              <w:right w:w="17" w:type="dxa"/>
            </w:tcMar>
            <w:vAlign w:val="center"/>
          </w:tcPr>
          <w:p>
            <w:pPr>
              <w:spacing w:line="300" w:lineRule="exact"/>
              <w:jc w:val="center"/>
              <w:rPr>
                <w:rFonts w:hint="default" w:eastAsia="方正仿宋_GBK"/>
                <w:color w:val="000000" w:themeColor="text1"/>
                <w:sz w:val="24"/>
                <w:szCs w:val="24"/>
                <w:highlight w:val="yellow"/>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64.21</w:t>
            </w:r>
          </w:p>
        </w:tc>
      </w:tr>
    </w:tbl>
    <w:p>
      <w:pPr>
        <w:pStyle w:val="3"/>
        <w:keepNext w:val="0"/>
        <w:keepLines w:val="0"/>
        <w:spacing w:before="0" w:after="0" w:line="579" w:lineRule="exact"/>
        <w:ind w:firstLine="632" w:firstLineChars="200"/>
        <w:rPr>
          <w:rFonts w:ascii="Times New Roman" w:hAnsi="Times New Roman" w:eastAsia="方正黑体_GBK"/>
          <w:b w:val="0"/>
          <w:color w:val="000000" w:themeColor="text1"/>
          <w14:textFill>
            <w14:solidFill>
              <w14:schemeClr w14:val="tx1"/>
            </w14:solidFill>
          </w14:textFill>
        </w:rPr>
      </w:pPr>
      <w:bookmarkStart w:id="2" w:name="_Toc32259"/>
      <w:bookmarkStart w:id="3" w:name="_Toc92144069"/>
      <w:bookmarkStart w:id="4" w:name="_Toc92144020"/>
      <w:r>
        <w:rPr>
          <w:rFonts w:hint="eastAsia" w:ascii="Times New Roman" w:hAnsi="Times New Roman" w:eastAsia="方正黑体_GBK"/>
          <w:b w:val="0"/>
          <w:color w:val="000000" w:themeColor="text1"/>
          <w14:textFill>
            <w14:solidFill>
              <w14:schemeClr w14:val="tx1"/>
            </w14:solidFill>
          </w14:textFill>
        </w:rPr>
        <w:t>三、</w:t>
      </w:r>
      <w:r>
        <w:rPr>
          <w:rFonts w:ascii="Times New Roman" w:hAnsi="Times New Roman" w:eastAsia="方正黑体_GBK"/>
          <w:b w:val="0"/>
          <w:color w:val="000000" w:themeColor="text1"/>
          <w14:textFill>
            <w14:solidFill>
              <w14:schemeClr w14:val="tx1"/>
            </w14:solidFill>
          </w14:textFill>
        </w:rPr>
        <w:t>收到和处理政府信息公开申请情况</w:t>
      </w:r>
      <w:bookmarkEnd w:id="2"/>
      <w:bookmarkEnd w:id="3"/>
      <w:bookmarkEnd w:id="4"/>
    </w:p>
    <w:tbl>
      <w:tblPr>
        <w:tblStyle w:val="19"/>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7"/>
        <w:gridCol w:w="861"/>
        <w:gridCol w:w="7"/>
        <w:gridCol w:w="3010"/>
        <w:gridCol w:w="625"/>
        <w:gridCol w:w="602"/>
        <w:gridCol w:w="588"/>
        <w:gridCol w:w="755"/>
        <w:gridCol w:w="756"/>
        <w:gridCol w:w="56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Header/>
        </w:trPr>
        <w:tc>
          <w:tcPr>
            <w:tcW w:w="4385" w:type="dxa"/>
            <w:gridSpan w:val="4"/>
            <w:vMerge w:val="restart"/>
            <w:tcMar>
              <w:left w:w="17" w:type="dxa"/>
              <w:right w:w="17" w:type="dxa"/>
            </w:tcMar>
            <w:vAlign w:val="center"/>
          </w:tcPr>
          <w:p>
            <w:pPr>
              <w:spacing w:line="200" w:lineRule="exact"/>
              <w:jc w:val="center"/>
              <w:rPr>
                <w:rFonts w:eastAsia="方正黑体_GBK"/>
                <w:color w:val="000000" w:themeColor="text1"/>
                <w:spacing w:val="-4"/>
                <w:sz w:val="20"/>
                <w14:textFill>
                  <w14:solidFill>
                    <w14:schemeClr w14:val="tx1"/>
                  </w14:solidFill>
                </w14:textFill>
              </w:rPr>
            </w:pPr>
            <w:r>
              <w:rPr>
                <w:rFonts w:eastAsia="方正黑体_GBK"/>
                <w:color w:val="000000" w:themeColor="text1"/>
                <w:spacing w:val="-4"/>
                <w:sz w:val="20"/>
                <w14:textFill>
                  <w14:solidFill>
                    <w14:schemeClr w14:val="tx1"/>
                  </w14:solidFill>
                </w14:textFill>
              </w:rPr>
              <w:t>（本列数据的勾稽关系为：第一项加第二项之和，等于第三项加第四项之和）</w:t>
            </w:r>
          </w:p>
        </w:tc>
        <w:tc>
          <w:tcPr>
            <w:tcW w:w="4516" w:type="dxa"/>
            <w:gridSpan w:val="7"/>
            <w:tcMar>
              <w:left w:w="17" w:type="dxa"/>
              <w:right w:w="17" w:type="dxa"/>
            </w:tcMar>
            <w:vAlign w:val="center"/>
          </w:tcPr>
          <w:p>
            <w:pPr>
              <w:spacing w:line="200" w:lineRule="exact"/>
              <w:jc w:val="center"/>
              <w:rPr>
                <w:rFonts w:eastAsia="方正黑体_GBK"/>
                <w:color w:val="000000" w:themeColor="text1"/>
                <w:sz w:val="20"/>
                <w14:textFill>
                  <w14:solidFill>
                    <w14:schemeClr w14:val="tx1"/>
                  </w14:solidFill>
                </w14:textFill>
              </w:rPr>
            </w:pPr>
            <w:r>
              <w:rPr>
                <w:rFonts w:eastAsia="方正黑体_GBK"/>
                <w:color w:val="000000" w:themeColor="text1"/>
                <w:sz w:val="20"/>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Header/>
        </w:trPr>
        <w:tc>
          <w:tcPr>
            <w:tcW w:w="4385" w:type="dxa"/>
            <w:gridSpan w:val="4"/>
            <w:vMerge w:val="continue"/>
            <w:tcMar>
              <w:left w:w="17" w:type="dxa"/>
              <w:right w:w="17" w:type="dxa"/>
            </w:tcMar>
            <w:vAlign w:val="center"/>
          </w:tcPr>
          <w:p>
            <w:pPr>
              <w:spacing w:line="200" w:lineRule="exact"/>
              <w:jc w:val="center"/>
              <w:rPr>
                <w:rFonts w:eastAsia="方正黑体_GBK"/>
                <w:color w:val="000000" w:themeColor="text1"/>
                <w:sz w:val="20"/>
                <w14:textFill>
                  <w14:solidFill>
                    <w14:schemeClr w14:val="tx1"/>
                  </w14:solidFill>
                </w14:textFill>
              </w:rPr>
            </w:pPr>
          </w:p>
        </w:tc>
        <w:tc>
          <w:tcPr>
            <w:tcW w:w="625" w:type="dxa"/>
            <w:vMerge w:val="restart"/>
            <w:tcMar>
              <w:left w:w="17" w:type="dxa"/>
              <w:right w:w="17" w:type="dxa"/>
            </w:tcMar>
            <w:vAlign w:val="center"/>
          </w:tcPr>
          <w:p>
            <w:pPr>
              <w:spacing w:line="200" w:lineRule="exact"/>
              <w:jc w:val="center"/>
              <w:rPr>
                <w:rFonts w:eastAsia="方正黑体_GBK"/>
                <w:color w:val="000000" w:themeColor="text1"/>
                <w:sz w:val="20"/>
                <w14:textFill>
                  <w14:solidFill>
                    <w14:schemeClr w14:val="tx1"/>
                  </w14:solidFill>
                </w14:textFill>
              </w:rPr>
            </w:pPr>
            <w:r>
              <w:rPr>
                <w:rFonts w:eastAsia="方正黑体_GBK"/>
                <w:color w:val="000000" w:themeColor="text1"/>
                <w:sz w:val="20"/>
                <w14:textFill>
                  <w14:solidFill>
                    <w14:schemeClr w14:val="tx1"/>
                  </w14:solidFill>
                </w14:textFill>
              </w:rPr>
              <w:t>自然人</w:t>
            </w:r>
          </w:p>
        </w:tc>
        <w:tc>
          <w:tcPr>
            <w:tcW w:w="3261" w:type="dxa"/>
            <w:gridSpan w:val="5"/>
            <w:tcMar>
              <w:left w:w="17" w:type="dxa"/>
              <w:right w:w="17" w:type="dxa"/>
            </w:tcMar>
            <w:vAlign w:val="center"/>
          </w:tcPr>
          <w:p>
            <w:pPr>
              <w:spacing w:line="200" w:lineRule="exact"/>
              <w:jc w:val="center"/>
              <w:rPr>
                <w:rFonts w:eastAsia="方正黑体_GBK"/>
                <w:color w:val="000000" w:themeColor="text1"/>
                <w:sz w:val="20"/>
                <w14:textFill>
                  <w14:solidFill>
                    <w14:schemeClr w14:val="tx1"/>
                  </w14:solidFill>
                </w14:textFill>
              </w:rPr>
            </w:pPr>
            <w:r>
              <w:rPr>
                <w:rFonts w:eastAsia="方正黑体_GBK"/>
                <w:color w:val="000000" w:themeColor="text1"/>
                <w:sz w:val="20"/>
                <w14:textFill>
                  <w14:solidFill>
                    <w14:schemeClr w14:val="tx1"/>
                  </w14:solidFill>
                </w14:textFill>
              </w:rPr>
              <w:t>法人或其他组织</w:t>
            </w:r>
          </w:p>
        </w:tc>
        <w:tc>
          <w:tcPr>
            <w:tcW w:w="630" w:type="dxa"/>
            <w:vMerge w:val="restart"/>
            <w:tcMar>
              <w:left w:w="17" w:type="dxa"/>
              <w:right w:w="17" w:type="dxa"/>
            </w:tcMar>
            <w:vAlign w:val="center"/>
          </w:tcPr>
          <w:p>
            <w:pPr>
              <w:spacing w:line="200" w:lineRule="exact"/>
              <w:jc w:val="center"/>
              <w:rPr>
                <w:rFonts w:eastAsia="方正黑体_GBK"/>
                <w:color w:val="000000" w:themeColor="text1"/>
                <w:sz w:val="20"/>
                <w14:textFill>
                  <w14:solidFill>
                    <w14:schemeClr w14:val="tx1"/>
                  </w14:solidFill>
                </w14:textFill>
              </w:rPr>
            </w:pPr>
            <w:r>
              <w:rPr>
                <w:rFonts w:eastAsia="方正黑体_GBK"/>
                <w:color w:val="000000" w:themeColor="text1"/>
                <w:sz w:val="20"/>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Header/>
        </w:trPr>
        <w:tc>
          <w:tcPr>
            <w:tcW w:w="4385" w:type="dxa"/>
            <w:gridSpan w:val="4"/>
            <w:vMerge w:val="continue"/>
            <w:tcMar>
              <w:left w:w="17" w:type="dxa"/>
              <w:right w:w="17" w:type="dxa"/>
            </w:tcMar>
            <w:vAlign w:val="center"/>
          </w:tcPr>
          <w:p>
            <w:pPr>
              <w:spacing w:line="200" w:lineRule="exact"/>
              <w:jc w:val="center"/>
              <w:rPr>
                <w:rFonts w:eastAsia="方正黑体_GBK"/>
                <w:color w:val="000000" w:themeColor="text1"/>
                <w:sz w:val="20"/>
                <w14:textFill>
                  <w14:solidFill>
                    <w14:schemeClr w14:val="tx1"/>
                  </w14:solidFill>
                </w14:textFill>
              </w:rPr>
            </w:pPr>
          </w:p>
        </w:tc>
        <w:tc>
          <w:tcPr>
            <w:tcW w:w="625" w:type="dxa"/>
            <w:vMerge w:val="continue"/>
            <w:tcMar>
              <w:left w:w="17" w:type="dxa"/>
              <w:right w:w="17" w:type="dxa"/>
            </w:tcMar>
            <w:vAlign w:val="center"/>
          </w:tcPr>
          <w:p>
            <w:pPr>
              <w:spacing w:line="200" w:lineRule="exact"/>
              <w:jc w:val="center"/>
              <w:rPr>
                <w:rFonts w:eastAsia="方正黑体_GBK"/>
                <w:color w:val="000000" w:themeColor="text1"/>
                <w:sz w:val="20"/>
                <w14:textFill>
                  <w14:solidFill>
                    <w14:schemeClr w14:val="tx1"/>
                  </w14:solidFill>
                </w14:textFill>
              </w:rPr>
            </w:pPr>
          </w:p>
        </w:tc>
        <w:tc>
          <w:tcPr>
            <w:tcW w:w="602" w:type="dxa"/>
            <w:tcMar>
              <w:left w:w="17" w:type="dxa"/>
              <w:right w:w="17" w:type="dxa"/>
            </w:tcMar>
            <w:vAlign w:val="center"/>
          </w:tcPr>
          <w:p>
            <w:pPr>
              <w:spacing w:line="200" w:lineRule="exact"/>
              <w:jc w:val="center"/>
              <w:rPr>
                <w:rFonts w:eastAsia="方正黑体_GBK"/>
                <w:color w:val="000000" w:themeColor="text1"/>
                <w:sz w:val="20"/>
                <w14:textFill>
                  <w14:solidFill>
                    <w14:schemeClr w14:val="tx1"/>
                  </w14:solidFill>
                </w14:textFill>
              </w:rPr>
            </w:pPr>
            <w:r>
              <w:rPr>
                <w:rFonts w:eastAsia="方正黑体_GBK"/>
                <w:color w:val="000000" w:themeColor="text1"/>
                <w:sz w:val="20"/>
                <w14:textFill>
                  <w14:solidFill>
                    <w14:schemeClr w14:val="tx1"/>
                  </w14:solidFill>
                </w14:textFill>
              </w:rPr>
              <w:t>商业企业</w:t>
            </w:r>
          </w:p>
        </w:tc>
        <w:tc>
          <w:tcPr>
            <w:tcW w:w="588" w:type="dxa"/>
            <w:tcMar>
              <w:left w:w="17" w:type="dxa"/>
              <w:right w:w="17" w:type="dxa"/>
            </w:tcMar>
            <w:vAlign w:val="center"/>
          </w:tcPr>
          <w:p>
            <w:pPr>
              <w:spacing w:line="200" w:lineRule="exact"/>
              <w:jc w:val="center"/>
              <w:rPr>
                <w:rFonts w:eastAsia="方正黑体_GBK"/>
                <w:color w:val="000000" w:themeColor="text1"/>
                <w:sz w:val="20"/>
                <w14:textFill>
                  <w14:solidFill>
                    <w14:schemeClr w14:val="tx1"/>
                  </w14:solidFill>
                </w14:textFill>
              </w:rPr>
            </w:pPr>
            <w:r>
              <w:rPr>
                <w:rFonts w:eastAsia="方正黑体_GBK"/>
                <w:color w:val="000000" w:themeColor="text1"/>
                <w:sz w:val="20"/>
                <w14:textFill>
                  <w14:solidFill>
                    <w14:schemeClr w14:val="tx1"/>
                  </w14:solidFill>
                </w14:textFill>
              </w:rPr>
              <w:t>科研机构</w:t>
            </w:r>
          </w:p>
        </w:tc>
        <w:tc>
          <w:tcPr>
            <w:tcW w:w="755" w:type="dxa"/>
            <w:tcMar>
              <w:left w:w="17" w:type="dxa"/>
              <w:right w:w="17" w:type="dxa"/>
            </w:tcMar>
            <w:vAlign w:val="center"/>
          </w:tcPr>
          <w:p>
            <w:pPr>
              <w:spacing w:line="200" w:lineRule="exact"/>
              <w:jc w:val="center"/>
              <w:rPr>
                <w:rFonts w:eastAsia="方正黑体_GBK"/>
                <w:color w:val="000000" w:themeColor="text1"/>
                <w:sz w:val="20"/>
                <w14:textFill>
                  <w14:solidFill>
                    <w14:schemeClr w14:val="tx1"/>
                  </w14:solidFill>
                </w14:textFill>
              </w:rPr>
            </w:pPr>
            <w:r>
              <w:rPr>
                <w:rFonts w:eastAsia="方正黑体_GBK"/>
                <w:color w:val="000000" w:themeColor="text1"/>
                <w:sz w:val="20"/>
                <w14:textFill>
                  <w14:solidFill>
                    <w14:schemeClr w14:val="tx1"/>
                  </w14:solidFill>
                </w14:textFill>
              </w:rPr>
              <w:t>社会公益组织</w:t>
            </w:r>
          </w:p>
        </w:tc>
        <w:tc>
          <w:tcPr>
            <w:tcW w:w="756" w:type="dxa"/>
            <w:tcMar>
              <w:left w:w="17" w:type="dxa"/>
              <w:right w:w="17" w:type="dxa"/>
            </w:tcMar>
            <w:vAlign w:val="center"/>
          </w:tcPr>
          <w:p>
            <w:pPr>
              <w:spacing w:line="200" w:lineRule="exact"/>
              <w:jc w:val="center"/>
              <w:rPr>
                <w:rFonts w:eastAsia="方正黑体_GBK"/>
                <w:color w:val="000000" w:themeColor="text1"/>
                <w:sz w:val="20"/>
                <w14:textFill>
                  <w14:solidFill>
                    <w14:schemeClr w14:val="tx1"/>
                  </w14:solidFill>
                </w14:textFill>
              </w:rPr>
            </w:pPr>
            <w:r>
              <w:rPr>
                <w:rFonts w:eastAsia="方正黑体_GBK"/>
                <w:color w:val="000000" w:themeColor="text1"/>
                <w:sz w:val="20"/>
                <w14:textFill>
                  <w14:solidFill>
                    <w14:schemeClr w14:val="tx1"/>
                  </w14:solidFill>
                </w14:textFill>
              </w:rPr>
              <w:t>法律服务机构</w:t>
            </w:r>
          </w:p>
        </w:tc>
        <w:tc>
          <w:tcPr>
            <w:tcW w:w="560" w:type="dxa"/>
            <w:tcMar>
              <w:left w:w="17" w:type="dxa"/>
              <w:right w:w="17" w:type="dxa"/>
            </w:tcMar>
            <w:vAlign w:val="center"/>
          </w:tcPr>
          <w:p>
            <w:pPr>
              <w:spacing w:line="200" w:lineRule="exact"/>
              <w:jc w:val="center"/>
              <w:rPr>
                <w:rFonts w:eastAsia="方正黑体_GBK"/>
                <w:color w:val="000000" w:themeColor="text1"/>
                <w:sz w:val="20"/>
                <w14:textFill>
                  <w14:solidFill>
                    <w14:schemeClr w14:val="tx1"/>
                  </w14:solidFill>
                </w14:textFill>
              </w:rPr>
            </w:pPr>
            <w:r>
              <w:rPr>
                <w:rFonts w:eastAsia="方正黑体_GBK"/>
                <w:color w:val="000000" w:themeColor="text1"/>
                <w:sz w:val="20"/>
                <w14:textFill>
                  <w14:solidFill>
                    <w14:schemeClr w14:val="tx1"/>
                  </w14:solidFill>
                </w14:textFill>
              </w:rPr>
              <w:t>其他</w:t>
            </w:r>
          </w:p>
        </w:tc>
        <w:tc>
          <w:tcPr>
            <w:tcW w:w="630" w:type="dxa"/>
            <w:vMerge w:val="continue"/>
            <w:tcMar>
              <w:left w:w="17" w:type="dxa"/>
              <w:right w:w="17" w:type="dxa"/>
            </w:tcMar>
            <w:vAlign w:val="center"/>
          </w:tcPr>
          <w:p>
            <w:pPr>
              <w:spacing w:line="200" w:lineRule="exact"/>
              <w:jc w:val="center"/>
              <w:rPr>
                <w:rFonts w:eastAsia="方正黑体_GBK"/>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85" w:type="dxa"/>
            <w:gridSpan w:val="4"/>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一、本年新收政府信息公开申请数量</w:t>
            </w:r>
          </w:p>
        </w:tc>
        <w:tc>
          <w:tcPr>
            <w:tcW w:w="625" w:type="dxa"/>
            <w:tcMar>
              <w:left w:w="17" w:type="dxa"/>
              <w:right w:w="17" w:type="dxa"/>
            </w:tcMar>
            <w:vAlign w:val="center"/>
          </w:tcPr>
          <w:p>
            <w:pPr>
              <w:spacing w:line="200" w:lineRule="exact"/>
              <w:jc w:val="center"/>
              <w:rPr>
                <w:rFonts w:hint="eastAsia" w:eastAsia="方正仿宋_GBK"/>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3</w:t>
            </w:r>
          </w:p>
        </w:tc>
        <w:tc>
          <w:tcPr>
            <w:tcW w:w="602" w:type="dxa"/>
            <w:tcMar>
              <w:left w:w="17" w:type="dxa"/>
              <w:right w:w="17" w:type="dxa"/>
            </w:tcMar>
            <w:vAlign w:val="center"/>
          </w:tcPr>
          <w:p>
            <w:pPr>
              <w:spacing w:line="200" w:lineRule="exact"/>
              <w:jc w:val="center"/>
              <w:rPr>
                <w:rFonts w:hint="eastAsia" w:eastAsia="方正仿宋_GBK"/>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1</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rFonts w:hint="eastAsia" w:eastAsia="方正仿宋_GBK"/>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85" w:type="dxa"/>
            <w:gridSpan w:val="4"/>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二、上年结转政府信息公开申请数量</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restart"/>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三、本年度办理结果</w:t>
            </w:r>
          </w:p>
        </w:tc>
        <w:tc>
          <w:tcPr>
            <w:tcW w:w="3878" w:type="dxa"/>
            <w:gridSpan w:val="3"/>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（一）予以公开</w:t>
            </w:r>
          </w:p>
        </w:tc>
        <w:tc>
          <w:tcPr>
            <w:tcW w:w="625" w:type="dxa"/>
            <w:tcMar>
              <w:left w:w="17" w:type="dxa"/>
              <w:right w:w="17" w:type="dxa"/>
            </w:tcMar>
            <w:vAlign w:val="center"/>
          </w:tcPr>
          <w:p>
            <w:pPr>
              <w:spacing w:line="200" w:lineRule="exact"/>
              <w:jc w:val="center"/>
              <w:rPr>
                <w:rFonts w:hint="eastAsia" w:eastAsia="方正仿宋_GBK"/>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1</w:t>
            </w:r>
          </w:p>
        </w:tc>
        <w:tc>
          <w:tcPr>
            <w:tcW w:w="602" w:type="dxa"/>
            <w:tcMar>
              <w:left w:w="17" w:type="dxa"/>
              <w:right w:w="17" w:type="dxa"/>
            </w:tcMar>
            <w:vAlign w:val="center"/>
          </w:tcPr>
          <w:p>
            <w:pPr>
              <w:spacing w:line="200" w:lineRule="exact"/>
              <w:jc w:val="center"/>
              <w:rPr>
                <w:rFonts w:hint="eastAsia" w:eastAsia="方正仿宋_GBK"/>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1</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rFonts w:hint="eastAsia" w:eastAsia="方正仿宋_GBK"/>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878" w:type="dxa"/>
            <w:gridSpan w:val="3"/>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（二）部分公开（区分处理的，只计这一情形，不计其他情形）</w:t>
            </w:r>
          </w:p>
        </w:tc>
        <w:tc>
          <w:tcPr>
            <w:tcW w:w="625" w:type="dxa"/>
            <w:tcMar>
              <w:left w:w="17" w:type="dxa"/>
              <w:right w:w="17" w:type="dxa"/>
            </w:tcMar>
            <w:vAlign w:val="center"/>
          </w:tcPr>
          <w:p>
            <w:pPr>
              <w:spacing w:line="200" w:lineRule="exact"/>
              <w:jc w:val="center"/>
              <w:rPr>
                <w:rFonts w:hint="eastAsia" w:eastAsia="方正仿宋_GBK"/>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restart"/>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（三）不予公开</w:t>
            </w:r>
          </w:p>
        </w:tc>
        <w:tc>
          <w:tcPr>
            <w:tcW w:w="3017" w:type="dxa"/>
            <w:gridSpan w:val="2"/>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1.属于国家秘密</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color w:val="000000" w:themeColor="text1"/>
                <w:spacing w:val="-6"/>
                <w:sz w:val="20"/>
                <w14:textFill>
                  <w14:solidFill>
                    <w14:schemeClr w14:val="tx1"/>
                  </w14:solidFill>
                </w14:textFill>
              </w:rPr>
            </w:pPr>
            <w:r>
              <w:rPr>
                <w:color w:val="000000" w:themeColor="text1"/>
                <w:spacing w:val="-6"/>
                <w:sz w:val="20"/>
                <w14:textFill>
                  <w14:solidFill>
                    <w14:schemeClr w14:val="tx1"/>
                  </w14:solidFill>
                </w14:textFill>
              </w:rPr>
              <w:t>2.其他法律行政法规禁止公开</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3.危</w:t>
            </w:r>
            <w:r>
              <w:rPr>
                <w:rFonts w:hint="eastAsia" w:ascii="方正仿宋_GBK" w:hAnsi="方正仿宋_GBK" w:cs="方正仿宋_GBK"/>
                <w:color w:val="000000" w:themeColor="text1"/>
                <w:sz w:val="20"/>
                <w14:textFill>
                  <w14:solidFill>
                    <w14:schemeClr w14:val="tx1"/>
                  </w14:solidFill>
                </w14:textFill>
              </w:rPr>
              <w:t>及“三安全一稳定”</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4.保护第三方合法权益</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5.属于三类内部事务信息</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6.属于四类过程性信息</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7.属于行政执法案卷</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lang w:val="en-US" w:eastAsia="zh-CN"/>
                <w14:textFill>
                  <w14:solidFill>
                    <w14:schemeClr w14:val="tx1"/>
                  </w14:solidFill>
                </w14:textFill>
              </w:rPr>
              <w:t>1</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rFonts w:hint="eastAsia" w:eastAsia="方正仿宋_GBK"/>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8.属于行政查询事项</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restart"/>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（四）无法提供</w:t>
            </w:r>
          </w:p>
        </w:tc>
        <w:tc>
          <w:tcPr>
            <w:tcW w:w="3017" w:type="dxa"/>
            <w:gridSpan w:val="2"/>
            <w:tcMar>
              <w:left w:w="17" w:type="dxa"/>
              <w:right w:w="17" w:type="dxa"/>
            </w:tcMar>
            <w:vAlign w:val="center"/>
          </w:tcPr>
          <w:p>
            <w:pPr>
              <w:spacing w:line="200" w:lineRule="exact"/>
              <w:rPr>
                <w:color w:val="000000" w:themeColor="text1"/>
                <w:spacing w:val="-4"/>
                <w:sz w:val="20"/>
                <w14:textFill>
                  <w14:solidFill>
                    <w14:schemeClr w14:val="tx1"/>
                  </w14:solidFill>
                </w14:textFill>
              </w:rPr>
            </w:pPr>
            <w:r>
              <w:rPr>
                <w:color w:val="000000" w:themeColor="text1"/>
                <w:spacing w:val="-4"/>
                <w:sz w:val="20"/>
                <w14:textFill>
                  <w14:solidFill>
                    <w14:schemeClr w14:val="tx1"/>
                  </w14:solidFill>
                </w14:textFill>
              </w:rPr>
              <w:t>1.本机关不掌握相关政府信息</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lang w:val="en-US" w:eastAsia="zh-CN"/>
                <w14:textFill>
                  <w14:solidFill>
                    <w14:schemeClr w14:val="tx1"/>
                  </w14:solidFill>
                </w14:textFill>
              </w:rPr>
              <w:t>1</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rFonts w:hint="eastAsia" w:eastAsia="方正仿宋_GBK"/>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color w:val="000000" w:themeColor="text1"/>
                <w:spacing w:val="-4"/>
                <w:sz w:val="20"/>
                <w14:textFill>
                  <w14:solidFill>
                    <w14:schemeClr w14:val="tx1"/>
                  </w14:solidFill>
                </w14:textFill>
              </w:rPr>
            </w:pPr>
            <w:r>
              <w:rPr>
                <w:color w:val="000000" w:themeColor="text1"/>
                <w:spacing w:val="-4"/>
                <w:sz w:val="20"/>
                <w14:textFill>
                  <w14:solidFill>
                    <w14:schemeClr w14:val="tx1"/>
                  </w14:solidFill>
                </w14:textFill>
              </w:rPr>
              <w:t>2.没有现成信息需要另行制作</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3.补正后申请内容仍不明确</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restart"/>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（五）不予处理</w:t>
            </w:r>
          </w:p>
        </w:tc>
        <w:tc>
          <w:tcPr>
            <w:tcW w:w="3017" w:type="dxa"/>
            <w:gridSpan w:val="2"/>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1.信访举报投诉类申请</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2.重复申请</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3.要求提供公开出版物</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4.无正当理由大量反复申请</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5.要求行政机关确认或重新出具已获取信息</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868" w:type="dxa"/>
            <w:gridSpan w:val="2"/>
            <w:vMerge w:val="restart"/>
            <w:tcMar>
              <w:left w:w="17" w:type="dxa"/>
              <w:right w:w="17" w:type="dxa"/>
            </w:tcMar>
            <w:vAlign w:val="center"/>
          </w:tcPr>
          <w:p>
            <w:pPr>
              <w:widowControl/>
              <w:spacing w:line="200" w:lineRule="exact"/>
              <w:jc w:val="left"/>
              <w:rPr>
                <w:color w:val="000000" w:themeColor="text1"/>
                <w:sz w:val="20"/>
                <w14:textFill>
                  <w14:solidFill>
                    <w14:schemeClr w14:val="tx1"/>
                  </w14:solidFill>
                </w14:textFill>
              </w:rPr>
            </w:pPr>
            <w:r>
              <w:rPr>
                <w:color w:val="000000" w:themeColor="text1"/>
                <w:sz w:val="20"/>
                <w14:textFill>
                  <w14:solidFill>
                    <w14:schemeClr w14:val="tx1"/>
                  </w14:solidFill>
                </w14:textFill>
              </w:rPr>
              <w:t>（六）其他处理</w:t>
            </w:r>
          </w:p>
        </w:tc>
        <w:tc>
          <w:tcPr>
            <w:tcW w:w="3010" w:type="dxa"/>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1.申请人无正当理由逾期不补正、行政机关不再处理其政府信息公开申请</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507" w:type="dxa"/>
            <w:vMerge w:val="continue"/>
            <w:tcMar>
              <w:left w:w="17" w:type="dxa"/>
              <w:right w:w="17" w:type="dxa"/>
            </w:tcMar>
            <w:vAlign w:val="center"/>
          </w:tcPr>
          <w:p>
            <w:pPr>
              <w:spacing w:line="200" w:lineRule="exact"/>
              <w:jc w:val="center"/>
              <w:rPr>
                <w:color w:val="000000" w:themeColor="text1"/>
                <w:sz w:val="20"/>
                <w14:textFill>
                  <w14:solidFill>
                    <w14:schemeClr w14:val="tx1"/>
                  </w14:solidFill>
                </w14:textFill>
              </w:rPr>
            </w:pPr>
          </w:p>
        </w:tc>
        <w:tc>
          <w:tcPr>
            <w:tcW w:w="868" w:type="dxa"/>
            <w:gridSpan w:val="2"/>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010" w:type="dxa"/>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2.申请人逾期未按收费通知要求缴纳费用、行政机关不再处理其政府信息公开申请</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507" w:type="dxa"/>
            <w:vMerge w:val="continue"/>
            <w:tcMar>
              <w:left w:w="17" w:type="dxa"/>
              <w:right w:w="17" w:type="dxa"/>
            </w:tcMar>
            <w:vAlign w:val="center"/>
          </w:tcPr>
          <w:p>
            <w:pPr>
              <w:spacing w:line="200" w:lineRule="exact"/>
              <w:jc w:val="center"/>
              <w:rPr>
                <w:color w:val="000000" w:themeColor="text1"/>
                <w:sz w:val="20"/>
                <w14:textFill>
                  <w14:solidFill>
                    <w14:schemeClr w14:val="tx1"/>
                  </w14:solidFill>
                </w14:textFill>
              </w:rPr>
            </w:pPr>
          </w:p>
        </w:tc>
        <w:tc>
          <w:tcPr>
            <w:tcW w:w="868" w:type="dxa"/>
            <w:gridSpan w:val="2"/>
            <w:vMerge w:val="continue"/>
            <w:tcMar>
              <w:left w:w="17" w:type="dxa"/>
              <w:right w:w="17" w:type="dxa"/>
            </w:tcMar>
            <w:vAlign w:val="center"/>
          </w:tcPr>
          <w:p>
            <w:pPr>
              <w:spacing w:line="200" w:lineRule="exact"/>
              <w:jc w:val="center"/>
              <w:rPr>
                <w:color w:val="000000" w:themeColor="text1"/>
                <w:sz w:val="20"/>
                <w14:textFill>
                  <w14:solidFill>
                    <w14:schemeClr w14:val="tx1"/>
                  </w14:solidFill>
                </w14:textFill>
              </w:rPr>
            </w:pPr>
          </w:p>
        </w:tc>
        <w:tc>
          <w:tcPr>
            <w:tcW w:w="3010" w:type="dxa"/>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3.其他</w:t>
            </w:r>
          </w:p>
        </w:tc>
        <w:tc>
          <w:tcPr>
            <w:tcW w:w="625" w:type="dxa"/>
            <w:tcMar>
              <w:left w:w="17" w:type="dxa"/>
              <w:right w:w="17" w:type="dxa"/>
            </w:tcMar>
            <w:vAlign w:val="center"/>
          </w:tcPr>
          <w:p>
            <w:pPr>
              <w:spacing w:line="200" w:lineRule="exact"/>
              <w:jc w:val="center"/>
              <w:rPr>
                <w:rFonts w:hint="default"/>
                <w:color w:val="000000" w:themeColor="text1"/>
                <w:sz w:val="20"/>
                <w:lang w:val="en-US"/>
                <w14:textFill>
                  <w14:solidFill>
                    <w14:schemeClr w14:val="tx1"/>
                  </w14:solidFill>
                </w14:textFill>
              </w:rPr>
            </w:pPr>
            <w:r>
              <w:rPr>
                <w:rFonts w:hint="eastAsia"/>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rFonts w:hint="eastAsia" w:eastAsia="方正仿宋_GBK"/>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07" w:type="dxa"/>
            <w:vMerge w:val="continue"/>
            <w:tcMar>
              <w:left w:w="17" w:type="dxa"/>
              <w:right w:w="17" w:type="dxa"/>
            </w:tcMar>
            <w:vAlign w:val="center"/>
          </w:tcPr>
          <w:p>
            <w:pPr>
              <w:spacing w:line="200" w:lineRule="exact"/>
              <w:rPr>
                <w:color w:val="000000" w:themeColor="text1"/>
                <w:sz w:val="20"/>
                <w14:textFill>
                  <w14:solidFill>
                    <w14:schemeClr w14:val="tx1"/>
                  </w14:solidFill>
                </w14:textFill>
              </w:rPr>
            </w:pPr>
          </w:p>
        </w:tc>
        <w:tc>
          <w:tcPr>
            <w:tcW w:w="3878" w:type="dxa"/>
            <w:gridSpan w:val="3"/>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（七）总计</w:t>
            </w:r>
          </w:p>
        </w:tc>
        <w:tc>
          <w:tcPr>
            <w:tcW w:w="625" w:type="dxa"/>
            <w:tcMar>
              <w:left w:w="17" w:type="dxa"/>
              <w:right w:w="17" w:type="dxa"/>
            </w:tcMar>
            <w:vAlign w:val="center"/>
          </w:tcPr>
          <w:p>
            <w:pPr>
              <w:spacing w:line="200" w:lineRule="exact"/>
              <w:jc w:val="center"/>
              <w:rPr>
                <w:rFonts w:hint="eastAsia" w:eastAsia="方正仿宋_GBK"/>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3</w:t>
            </w:r>
          </w:p>
        </w:tc>
        <w:tc>
          <w:tcPr>
            <w:tcW w:w="602" w:type="dxa"/>
            <w:tcMar>
              <w:left w:w="17" w:type="dxa"/>
              <w:right w:w="17" w:type="dxa"/>
            </w:tcMar>
            <w:vAlign w:val="center"/>
          </w:tcPr>
          <w:p>
            <w:pPr>
              <w:spacing w:line="200" w:lineRule="exact"/>
              <w:jc w:val="center"/>
              <w:rPr>
                <w:rFonts w:hint="eastAsia" w:eastAsia="方正仿宋_GBK"/>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1</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rFonts w:hint="eastAsia" w:eastAsia="方正仿宋_GBK"/>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4385" w:type="dxa"/>
            <w:gridSpan w:val="4"/>
            <w:tcMar>
              <w:left w:w="17" w:type="dxa"/>
              <w:right w:w="17" w:type="dxa"/>
            </w:tcMar>
            <w:vAlign w:val="center"/>
          </w:tcPr>
          <w:p>
            <w:pPr>
              <w:spacing w:line="200" w:lineRule="exact"/>
              <w:rPr>
                <w:color w:val="000000" w:themeColor="text1"/>
                <w:sz w:val="20"/>
                <w14:textFill>
                  <w14:solidFill>
                    <w14:schemeClr w14:val="tx1"/>
                  </w14:solidFill>
                </w14:textFill>
              </w:rPr>
            </w:pPr>
            <w:r>
              <w:rPr>
                <w:color w:val="000000" w:themeColor="text1"/>
                <w:sz w:val="20"/>
                <w14:textFill>
                  <w14:solidFill>
                    <w14:schemeClr w14:val="tx1"/>
                  </w14:solidFill>
                </w14:textFill>
              </w:rPr>
              <w:t>四、结转下年度继续办理</w:t>
            </w:r>
          </w:p>
        </w:tc>
        <w:tc>
          <w:tcPr>
            <w:tcW w:w="62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02"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88"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5"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756"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56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630" w:type="dxa"/>
            <w:tcMar>
              <w:left w:w="17" w:type="dxa"/>
              <w:right w:w="17" w:type="dxa"/>
            </w:tcMar>
            <w:vAlign w:val="center"/>
          </w:tcPr>
          <w:p>
            <w:pPr>
              <w:spacing w:line="2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r>
    </w:tbl>
    <w:p>
      <w:pPr>
        <w:pStyle w:val="3"/>
        <w:keepNext w:val="0"/>
        <w:keepLines w:val="0"/>
        <w:spacing w:before="0" w:after="0" w:line="580" w:lineRule="exact"/>
        <w:ind w:firstLine="632" w:firstLineChars="200"/>
        <w:rPr>
          <w:rFonts w:ascii="Times New Roman" w:hAnsi="Times New Roman" w:eastAsia="方正黑体_GBK"/>
          <w:b w:val="0"/>
          <w:color w:val="000000" w:themeColor="text1"/>
          <w14:textFill>
            <w14:solidFill>
              <w14:schemeClr w14:val="tx1"/>
            </w14:solidFill>
          </w14:textFill>
        </w:rPr>
      </w:pPr>
      <w:bookmarkStart w:id="5" w:name="_Toc21368"/>
      <w:bookmarkStart w:id="6" w:name="_Toc92144023"/>
      <w:bookmarkStart w:id="7" w:name="_Toc92144072"/>
      <w:r>
        <w:rPr>
          <w:rFonts w:hint="eastAsia" w:ascii="Times New Roman" w:hAnsi="Times New Roman" w:eastAsia="方正黑体_GBK"/>
          <w:b w:val="0"/>
          <w:color w:val="000000" w:themeColor="text1"/>
          <w14:textFill>
            <w14:solidFill>
              <w14:schemeClr w14:val="tx1"/>
            </w14:solidFill>
          </w14:textFill>
        </w:rPr>
        <w:t>四、</w:t>
      </w:r>
      <w:r>
        <w:rPr>
          <w:rFonts w:ascii="Times New Roman" w:hAnsi="Times New Roman" w:eastAsia="方正黑体_GBK"/>
          <w:b w:val="0"/>
          <w:color w:val="000000" w:themeColor="text1"/>
          <w14:textFill>
            <w14:solidFill>
              <w14:schemeClr w14:val="tx1"/>
            </w14:solidFill>
          </w14:textFill>
        </w:rPr>
        <w:t>政府信息公开行政复议、行政诉讼情况</w:t>
      </w:r>
      <w:bookmarkEnd w:id="5"/>
      <w:bookmarkEnd w:id="6"/>
      <w:bookmarkEnd w:id="7"/>
    </w:p>
    <w:tbl>
      <w:tblPr>
        <w:tblStyle w:val="19"/>
        <w:tblW w:w="8903"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560"/>
        <w:gridCol w:w="518"/>
        <w:gridCol w:w="546"/>
        <w:gridCol w:w="518"/>
        <w:gridCol w:w="574"/>
        <w:gridCol w:w="550"/>
        <w:gridCol w:w="605"/>
        <w:gridCol w:w="605"/>
        <w:gridCol w:w="605"/>
        <w:gridCol w:w="491"/>
        <w:gridCol w:w="605"/>
        <w:gridCol w:w="605"/>
        <w:gridCol w:w="605"/>
        <w:gridCol w:w="606"/>
        <w:gridCol w:w="91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2716" w:type="dxa"/>
            <w:gridSpan w:val="5"/>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行政复议</w:t>
            </w:r>
          </w:p>
        </w:tc>
        <w:tc>
          <w:tcPr>
            <w:tcW w:w="6187" w:type="dxa"/>
            <w:gridSpan w:val="10"/>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行    政    诉    讼</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560" w:type="dxa"/>
            <w:vMerge w:val="restart"/>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结果维持</w:t>
            </w:r>
          </w:p>
        </w:tc>
        <w:tc>
          <w:tcPr>
            <w:tcW w:w="518" w:type="dxa"/>
            <w:vMerge w:val="restart"/>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结果纠正</w:t>
            </w:r>
          </w:p>
        </w:tc>
        <w:tc>
          <w:tcPr>
            <w:tcW w:w="546" w:type="dxa"/>
            <w:vMerge w:val="restart"/>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其他结果</w:t>
            </w:r>
          </w:p>
        </w:tc>
        <w:tc>
          <w:tcPr>
            <w:tcW w:w="518" w:type="dxa"/>
            <w:vMerge w:val="restart"/>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尚未审结</w:t>
            </w:r>
          </w:p>
        </w:tc>
        <w:tc>
          <w:tcPr>
            <w:tcW w:w="574" w:type="dxa"/>
            <w:vMerge w:val="restart"/>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总计</w:t>
            </w:r>
          </w:p>
        </w:tc>
        <w:tc>
          <w:tcPr>
            <w:tcW w:w="2856" w:type="dxa"/>
            <w:gridSpan w:val="5"/>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未经复议直接起诉</w:t>
            </w:r>
          </w:p>
        </w:tc>
        <w:tc>
          <w:tcPr>
            <w:tcW w:w="3331" w:type="dxa"/>
            <w:gridSpan w:val="5"/>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复议后起诉</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560" w:type="dxa"/>
            <w:vMerge w:val="continue"/>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p>
        </w:tc>
        <w:tc>
          <w:tcPr>
            <w:tcW w:w="518" w:type="dxa"/>
            <w:vMerge w:val="continue"/>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p>
        </w:tc>
        <w:tc>
          <w:tcPr>
            <w:tcW w:w="546" w:type="dxa"/>
            <w:vMerge w:val="continue"/>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p>
        </w:tc>
        <w:tc>
          <w:tcPr>
            <w:tcW w:w="518" w:type="dxa"/>
            <w:vMerge w:val="continue"/>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p>
        </w:tc>
        <w:tc>
          <w:tcPr>
            <w:tcW w:w="574" w:type="dxa"/>
            <w:vMerge w:val="continue"/>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p>
        </w:tc>
        <w:tc>
          <w:tcPr>
            <w:tcW w:w="550" w:type="dxa"/>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结果维持</w:t>
            </w:r>
          </w:p>
        </w:tc>
        <w:tc>
          <w:tcPr>
            <w:tcW w:w="605" w:type="dxa"/>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结果纠正</w:t>
            </w:r>
          </w:p>
        </w:tc>
        <w:tc>
          <w:tcPr>
            <w:tcW w:w="605" w:type="dxa"/>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其他结果</w:t>
            </w:r>
          </w:p>
        </w:tc>
        <w:tc>
          <w:tcPr>
            <w:tcW w:w="605" w:type="dxa"/>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尚未审结</w:t>
            </w:r>
          </w:p>
        </w:tc>
        <w:tc>
          <w:tcPr>
            <w:tcW w:w="491" w:type="dxa"/>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总计</w:t>
            </w:r>
          </w:p>
        </w:tc>
        <w:tc>
          <w:tcPr>
            <w:tcW w:w="605" w:type="dxa"/>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结果维持</w:t>
            </w:r>
          </w:p>
        </w:tc>
        <w:tc>
          <w:tcPr>
            <w:tcW w:w="605" w:type="dxa"/>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结果纠正</w:t>
            </w:r>
          </w:p>
        </w:tc>
        <w:tc>
          <w:tcPr>
            <w:tcW w:w="605" w:type="dxa"/>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其他结果</w:t>
            </w:r>
          </w:p>
        </w:tc>
        <w:tc>
          <w:tcPr>
            <w:tcW w:w="606" w:type="dxa"/>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尚未审结</w:t>
            </w:r>
          </w:p>
        </w:tc>
        <w:tc>
          <w:tcPr>
            <w:tcW w:w="910" w:type="dxa"/>
            <w:tcMar>
              <w:left w:w="17" w:type="dxa"/>
              <w:right w:w="17" w:type="dxa"/>
            </w:tcMar>
            <w:vAlign w:val="center"/>
          </w:tcPr>
          <w:p>
            <w:pPr>
              <w:spacing w:line="240" w:lineRule="exact"/>
              <w:jc w:val="center"/>
              <w:rPr>
                <w:rFonts w:eastAsia="方正黑体_GBK"/>
                <w:color w:val="000000" w:themeColor="text1"/>
                <w:sz w:val="24"/>
                <w:szCs w:val="24"/>
                <w14:textFill>
                  <w14:solidFill>
                    <w14:schemeClr w14:val="tx1"/>
                  </w14:solidFill>
                </w14:textFill>
              </w:rPr>
            </w:pPr>
            <w:r>
              <w:rPr>
                <w:rFonts w:eastAsia="方正黑体_GBK"/>
                <w:color w:val="000000" w:themeColor="text1"/>
                <w:sz w:val="24"/>
                <w:szCs w:val="24"/>
                <w14:textFill>
                  <w14:solidFill>
                    <w14:schemeClr w14:val="tx1"/>
                  </w14:solidFill>
                </w14:textFill>
              </w:rPr>
              <w:t>总计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560" w:type="dxa"/>
            <w:tcMar>
              <w:left w:w="17" w:type="dxa"/>
              <w:right w:w="17" w:type="dxa"/>
            </w:tcMar>
            <w:vAlign w:val="center"/>
          </w:tcPr>
          <w:p>
            <w:pPr>
              <w:spacing w:line="240" w:lineRule="exact"/>
              <w:jc w:val="center"/>
              <w:rPr>
                <w:rFonts w:hint="eastAsia" w:eastAsia="方正书宋_GBK"/>
                <w:color w:val="000000" w:themeColor="text1"/>
                <w:sz w:val="24"/>
                <w:szCs w:val="24"/>
                <w:lang w:eastAsia="zh-CN"/>
                <w14:textFill>
                  <w14:solidFill>
                    <w14:schemeClr w14:val="tx1"/>
                  </w14:solidFill>
                </w14:textFill>
              </w:rPr>
            </w:pPr>
            <w:r>
              <w:rPr>
                <w:rFonts w:hint="eastAsia" w:eastAsia="方正书宋_GBK"/>
                <w:color w:val="000000" w:themeColor="text1"/>
                <w:sz w:val="24"/>
                <w:szCs w:val="24"/>
                <w:lang w:val="en-US" w:eastAsia="zh-CN"/>
                <w14:textFill>
                  <w14:solidFill>
                    <w14:schemeClr w14:val="tx1"/>
                  </w14:solidFill>
                </w14:textFill>
              </w:rPr>
              <w:t>1</w:t>
            </w:r>
          </w:p>
        </w:tc>
        <w:tc>
          <w:tcPr>
            <w:tcW w:w="518" w:type="dxa"/>
            <w:tcMar>
              <w:left w:w="17" w:type="dxa"/>
              <w:right w:w="17" w:type="dxa"/>
            </w:tcMar>
            <w:vAlign w:val="center"/>
          </w:tcPr>
          <w:p>
            <w:pPr>
              <w:spacing w:line="240" w:lineRule="exact"/>
              <w:jc w:val="center"/>
              <w:rPr>
                <w:rFonts w:eastAsia="方正书宋_GBK"/>
                <w:color w:val="000000" w:themeColor="text1"/>
                <w:sz w:val="24"/>
                <w:szCs w:val="24"/>
                <w14:textFill>
                  <w14:solidFill>
                    <w14:schemeClr w14:val="tx1"/>
                  </w14:solidFill>
                </w14:textFill>
              </w:rPr>
            </w:pPr>
            <w:r>
              <w:rPr>
                <w:rFonts w:hint="eastAsia" w:eastAsia="方正书宋_GBK"/>
                <w:color w:val="000000" w:themeColor="text1"/>
                <w:sz w:val="24"/>
                <w:szCs w:val="24"/>
                <w14:textFill>
                  <w14:solidFill>
                    <w14:schemeClr w14:val="tx1"/>
                  </w14:solidFill>
                </w14:textFill>
              </w:rPr>
              <w:t>0</w:t>
            </w:r>
          </w:p>
        </w:tc>
        <w:tc>
          <w:tcPr>
            <w:tcW w:w="546" w:type="dxa"/>
            <w:tcMar>
              <w:left w:w="17" w:type="dxa"/>
              <w:right w:w="17" w:type="dxa"/>
            </w:tcMar>
            <w:vAlign w:val="center"/>
          </w:tcPr>
          <w:p>
            <w:pPr>
              <w:spacing w:line="240" w:lineRule="exact"/>
              <w:jc w:val="center"/>
              <w:rPr>
                <w:rFonts w:eastAsia="方正书宋_GBK"/>
                <w:color w:val="000000" w:themeColor="text1"/>
                <w:sz w:val="24"/>
                <w:szCs w:val="24"/>
                <w14:textFill>
                  <w14:solidFill>
                    <w14:schemeClr w14:val="tx1"/>
                  </w14:solidFill>
                </w14:textFill>
              </w:rPr>
            </w:pPr>
            <w:r>
              <w:rPr>
                <w:rFonts w:hint="eastAsia" w:eastAsia="方正书宋_GBK"/>
                <w:color w:val="000000" w:themeColor="text1"/>
                <w:sz w:val="24"/>
                <w:szCs w:val="24"/>
                <w14:textFill>
                  <w14:solidFill>
                    <w14:schemeClr w14:val="tx1"/>
                  </w14:solidFill>
                </w14:textFill>
              </w:rPr>
              <w:t>0</w:t>
            </w:r>
          </w:p>
        </w:tc>
        <w:tc>
          <w:tcPr>
            <w:tcW w:w="518" w:type="dxa"/>
            <w:tcMar>
              <w:left w:w="17" w:type="dxa"/>
              <w:right w:w="17" w:type="dxa"/>
            </w:tcMar>
            <w:vAlign w:val="center"/>
          </w:tcPr>
          <w:p>
            <w:pPr>
              <w:spacing w:line="240" w:lineRule="exact"/>
              <w:jc w:val="center"/>
              <w:rPr>
                <w:rFonts w:eastAsia="方正书宋_GBK"/>
                <w:color w:val="000000" w:themeColor="text1"/>
                <w:sz w:val="24"/>
                <w:szCs w:val="24"/>
                <w14:textFill>
                  <w14:solidFill>
                    <w14:schemeClr w14:val="tx1"/>
                  </w14:solidFill>
                </w14:textFill>
              </w:rPr>
            </w:pPr>
            <w:r>
              <w:rPr>
                <w:rFonts w:hint="eastAsia" w:eastAsia="方正书宋_GBK"/>
                <w:color w:val="000000" w:themeColor="text1"/>
                <w:sz w:val="24"/>
                <w:szCs w:val="24"/>
                <w14:textFill>
                  <w14:solidFill>
                    <w14:schemeClr w14:val="tx1"/>
                  </w14:solidFill>
                </w14:textFill>
              </w:rPr>
              <w:t>0</w:t>
            </w:r>
          </w:p>
        </w:tc>
        <w:tc>
          <w:tcPr>
            <w:tcW w:w="574" w:type="dxa"/>
            <w:tcMar>
              <w:left w:w="17" w:type="dxa"/>
              <w:right w:w="17" w:type="dxa"/>
            </w:tcMar>
            <w:vAlign w:val="center"/>
          </w:tcPr>
          <w:p>
            <w:pPr>
              <w:spacing w:line="240" w:lineRule="exact"/>
              <w:jc w:val="center"/>
              <w:rPr>
                <w:rFonts w:hint="eastAsia" w:eastAsia="方正书宋_GBK"/>
                <w:color w:val="000000" w:themeColor="text1"/>
                <w:sz w:val="24"/>
                <w:szCs w:val="24"/>
                <w:lang w:eastAsia="zh-CN"/>
                <w14:textFill>
                  <w14:solidFill>
                    <w14:schemeClr w14:val="tx1"/>
                  </w14:solidFill>
                </w14:textFill>
              </w:rPr>
            </w:pPr>
            <w:r>
              <w:rPr>
                <w:rFonts w:hint="eastAsia" w:eastAsia="方正书宋_GBK"/>
                <w:color w:val="000000" w:themeColor="text1"/>
                <w:sz w:val="24"/>
                <w:szCs w:val="24"/>
                <w:lang w:val="en-US" w:eastAsia="zh-CN"/>
                <w14:textFill>
                  <w14:solidFill>
                    <w14:schemeClr w14:val="tx1"/>
                  </w14:solidFill>
                </w14:textFill>
              </w:rPr>
              <w:t>1</w:t>
            </w:r>
          </w:p>
        </w:tc>
        <w:tc>
          <w:tcPr>
            <w:tcW w:w="550" w:type="dxa"/>
            <w:tcMar>
              <w:left w:w="17" w:type="dxa"/>
              <w:right w:w="17" w:type="dxa"/>
            </w:tcMar>
            <w:vAlign w:val="center"/>
          </w:tcPr>
          <w:p>
            <w:pPr>
              <w:spacing w:line="240" w:lineRule="exact"/>
              <w:jc w:val="center"/>
              <w:rPr>
                <w:rFonts w:eastAsia="方正书宋_GBK"/>
                <w:color w:val="000000" w:themeColor="text1"/>
                <w:sz w:val="24"/>
                <w:szCs w:val="24"/>
                <w14:textFill>
                  <w14:solidFill>
                    <w14:schemeClr w14:val="tx1"/>
                  </w14:solidFill>
                </w14:textFill>
              </w:rPr>
            </w:pPr>
            <w:r>
              <w:rPr>
                <w:rFonts w:hint="eastAsia" w:eastAsia="方正书宋_GBK"/>
                <w:color w:val="000000" w:themeColor="text1"/>
                <w:sz w:val="24"/>
                <w:szCs w:val="24"/>
                <w14:textFill>
                  <w14:solidFill>
                    <w14:schemeClr w14:val="tx1"/>
                  </w14:solidFill>
                </w14:textFill>
              </w:rPr>
              <w:t>0</w:t>
            </w:r>
          </w:p>
        </w:tc>
        <w:tc>
          <w:tcPr>
            <w:tcW w:w="605" w:type="dxa"/>
            <w:tcMar>
              <w:left w:w="17" w:type="dxa"/>
              <w:right w:w="17" w:type="dxa"/>
            </w:tcMar>
            <w:vAlign w:val="center"/>
          </w:tcPr>
          <w:p>
            <w:pPr>
              <w:spacing w:line="240" w:lineRule="exact"/>
              <w:jc w:val="center"/>
              <w:rPr>
                <w:rFonts w:eastAsia="方正书宋_GBK"/>
                <w:color w:val="000000" w:themeColor="text1"/>
                <w:sz w:val="24"/>
                <w:szCs w:val="24"/>
                <w14:textFill>
                  <w14:solidFill>
                    <w14:schemeClr w14:val="tx1"/>
                  </w14:solidFill>
                </w14:textFill>
              </w:rPr>
            </w:pPr>
            <w:r>
              <w:rPr>
                <w:rFonts w:hint="eastAsia" w:eastAsia="方正书宋_GBK"/>
                <w:color w:val="000000" w:themeColor="text1"/>
                <w:sz w:val="24"/>
                <w:szCs w:val="24"/>
                <w14:textFill>
                  <w14:solidFill>
                    <w14:schemeClr w14:val="tx1"/>
                  </w14:solidFill>
                </w14:textFill>
              </w:rPr>
              <w:t>0</w:t>
            </w:r>
          </w:p>
        </w:tc>
        <w:tc>
          <w:tcPr>
            <w:tcW w:w="605" w:type="dxa"/>
            <w:tcMar>
              <w:left w:w="17" w:type="dxa"/>
              <w:right w:w="17" w:type="dxa"/>
            </w:tcMar>
            <w:vAlign w:val="center"/>
          </w:tcPr>
          <w:p>
            <w:pPr>
              <w:spacing w:line="240" w:lineRule="exact"/>
              <w:jc w:val="center"/>
              <w:rPr>
                <w:rFonts w:eastAsia="方正书宋_GBK"/>
                <w:color w:val="000000" w:themeColor="text1"/>
                <w:sz w:val="24"/>
                <w:szCs w:val="24"/>
                <w14:textFill>
                  <w14:solidFill>
                    <w14:schemeClr w14:val="tx1"/>
                  </w14:solidFill>
                </w14:textFill>
              </w:rPr>
            </w:pPr>
            <w:r>
              <w:rPr>
                <w:rFonts w:hint="eastAsia" w:eastAsia="方正书宋_GBK"/>
                <w:color w:val="000000" w:themeColor="text1"/>
                <w:sz w:val="24"/>
                <w:szCs w:val="24"/>
                <w14:textFill>
                  <w14:solidFill>
                    <w14:schemeClr w14:val="tx1"/>
                  </w14:solidFill>
                </w14:textFill>
              </w:rPr>
              <w:t>0</w:t>
            </w:r>
          </w:p>
        </w:tc>
        <w:tc>
          <w:tcPr>
            <w:tcW w:w="605" w:type="dxa"/>
            <w:tcMar>
              <w:left w:w="17" w:type="dxa"/>
              <w:right w:w="17" w:type="dxa"/>
            </w:tcMar>
            <w:vAlign w:val="center"/>
          </w:tcPr>
          <w:p>
            <w:pPr>
              <w:spacing w:line="240" w:lineRule="exact"/>
              <w:jc w:val="center"/>
              <w:rPr>
                <w:rFonts w:eastAsia="方正书宋_GBK"/>
                <w:color w:val="000000" w:themeColor="text1"/>
                <w:sz w:val="24"/>
                <w:szCs w:val="24"/>
                <w14:textFill>
                  <w14:solidFill>
                    <w14:schemeClr w14:val="tx1"/>
                  </w14:solidFill>
                </w14:textFill>
              </w:rPr>
            </w:pPr>
            <w:r>
              <w:rPr>
                <w:rFonts w:hint="eastAsia" w:eastAsia="方正书宋_GBK"/>
                <w:color w:val="000000" w:themeColor="text1"/>
                <w:sz w:val="24"/>
                <w:szCs w:val="24"/>
                <w14:textFill>
                  <w14:solidFill>
                    <w14:schemeClr w14:val="tx1"/>
                  </w14:solidFill>
                </w14:textFill>
              </w:rPr>
              <w:t>0</w:t>
            </w:r>
          </w:p>
        </w:tc>
        <w:tc>
          <w:tcPr>
            <w:tcW w:w="491" w:type="dxa"/>
            <w:tcMar>
              <w:left w:w="17" w:type="dxa"/>
              <w:right w:w="17" w:type="dxa"/>
            </w:tcMar>
            <w:vAlign w:val="center"/>
          </w:tcPr>
          <w:p>
            <w:pPr>
              <w:spacing w:line="240" w:lineRule="exact"/>
              <w:jc w:val="center"/>
              <w:rPr>
                <w:rFonts w:eastAsia="方正书宋_GBK"/>
                <w:color w:val="000000" w:themeColor="text1"/>
                <w:sz w:val="24"/>
                <w:szCs w:val="24"/>
                <w14:textFill>
                  <w14:solidFill>
                    <w14:schemeClr w14:val="tx1"/>
                  </w14:solidFill>
                </w14:textFill>
              </w:rPr>
            </w:pPr>
            <w:r>
              <w:rPr>
                <w:rFonts w:hint="eastAsia" w:eastAsia="方正书宋_GBK"/>
                <w:color w:val="000000" w:themeColor="text1"/>
                <w:sz w:val="24"/>
                <w:szCs w:val="24"/>
                <w14:textFill>
                  <w14:solidFill>
                    <w14:schemeClr w14:val="tx1"/>
                  </w14:solidFill>
                </w14:textFill>
              </w:rPr>
              <w:t>0</w:t>
            </w:r>
          </w:p>
        </w:tc>
        <w:tc>
          <w:tcPr>
            <w:tcW w:w="605" w:type="dxa"/>
            <w:tcMar>
              <w:left w:w="17" w:type="dxa"/>
              <w:right w:w="17" w:type="dxa"/>
            </w:tcMar>
            <w:vAlign w:val="center"/>
          </w:tcPr>
          <w:p>
            <w:pPr>
              <w:spacing w:line="240" w:lineRule="exact"/>
              <w:jc w:val="center"/>
              <w:rPr>
                <w:rFonts w:eastAsia="方正书宋_GBK"/>
                <w:color w:val="000000" w:themeColor="text1"/>
                <w:sz w:val="24"/>
                <w:szCs w:val="24"/>
                <w14:textFill>
                  <w14:solidFill>
                    <w14:schemeClr w14:val="tx1"/>
                  </w14:solidFill>
                </w14:textFill>
              </w:rPr>
            </w:pPr>
            <w:r>
              <w:rPr>
                <w:rFonts w:hint="eastAsia" w:eastAsia="方正书宋_GBK"/>
                <w:color w:val="000000" w:themeColor="text1"/>
                <w:sz w:val="24"/>
                <w:szCs w:val="24"/>
                <w14:textFill>
                  <w14:solidFill>
                    <w14:schemeClr w14:val="tx1"/>
                  </w14:solidFill>
                </w14:textFill>
              </w:rPr>
              <w:t>0</w:t>
            </w:r>
          </w:p>
        </w:tc>
        <w:tc>
          <w:tcPr>
            <w:tcW w:w="605" w:type="dxa"/>
            <w:tcMar>
              <w:left w:w="17" w:type="dxa"/>
              <w:right w:w="17" w:type="dxa"/>
            </w:tcMar>
            <w:vAlign w:val="center"/>
          </w:tcPr>
          <w:p>
            <w:pPr>
              <w:spacing w:line="240" w:lineRule="exact"/>
              <w:jc w:val="center"/>
              <w:rPr>
                <w:rFonts w:eastAsia="方正书宋_GBK"/>
                <w:color w:val="000000" w:themeColor="text1"/>
                <w:sz w:val="24"/>
                <w:szCs w:val="24"/>
                <w14:textFill>
                  <w14:solidFill>
                    <w14:schemeClr w14:val="tx1"/>
                  </w14:solidFill>
                </w14:textFill>
              </w:rPr>
            </w:pPr>
            <w:r>
              <w:rPr>
                <w:rFonts w:hint="eastAsia" w:eastAsia="方正书宋_GBK"/>
                <w:color w:val="000000" w:themeColor="text1"/>
                <w:sz w:val="24"/>
                <w:szCs w:val="24"/>
                <w14:textFill>
                  <w14:solidFill>
                    <w14:schemeClr w14:val="tx1"/>
                  </w14:solidFill>
                </w14:textFill>
              </w:rPr>
              <w:t>0</w:t>
            </w:r>
          </w:p>
        </w:tc>
        <w:tc>
          <w:tcPr>
            <w:tcW w:w="605" w:type="dxa"/>
            <w:tcMar>
              <w:left w:w="17" w:type="dxa"/>
              <w:right w:w="17" w:type="dxa"/>
            </w:tcMar>
            <w:vAlign w:val="center"/>
          </w:tcPr>
          <w:p>
            <w:pPr>
              <w:spacing w:line="240" w:lineRule="exact"/>
              <w:jc w:val="center"/>
              <w:rPr>
                <w:rFonts w:eastAsia="方正书宋_GBK"/>
                <w:color w:val="000000" w:themeColor="text1"/>
                <w:sz w:val="24"/>
                <w:szCs w:val="24"/>
                <w14:textFill>
                  <w14:solidFill>
                    <w14:schemeClr w14:val="tx1"/>
                  </w14:solidFill>
                </w14:textFill>
              </w:rPr>
            </w:pPr>
            <w:r>
              <w:rPr>
                <w:rFonts w:hint="eastAsia" w:eastAsia="方正书宋_GBK"/>
                <w:color w:val="000000" w:themeColor="text1"/>
                <w:sz w:val="24"/>
                <w:szCs w:val="24"/>
                <w14:textFill>
                  <w14:solidFill>
                    <w14:schemeClr w14:val="tx1"/>
                  </w14:solidFill>
                </w14:textFill>
              </w:rPr>
              <w:t>0</w:t>
            </w:r>
          </w:p>
        </w:tc>
        <w:tc>
          <w:tcPr>
            <w:tcW w:w="606" w:type="dxa"/>
            <w:tcMar>
              <w:left w:w="17" w:type="dxa"/>
              <w:right w:w="17" w:type="dxa"/>
            </w:tcMar>
            <w:vAlign w:val="center"/>
          </w:tcPr>
          <w:p>
            <w:pPr>
              <w:spacing w:line="240" w:lineRule="exact"/>
              <w:jc w:val="center"/>
              <w:rPr>
                <w:rFonts w:eastAsia="方正书宋_GBK"/>
                <w:color w:val="000000" w:themeColor="text1"/>
                <w:sz w:val="24"/>
                <w:szCs w:val="24"/>
                <w14:textFill>
                  <w14:solidFill>
                    <w14:schemeClr w14:val="tx1"/>
                  </w14:solidFill>
                </w14:textFill>
              </w:rPr>
            </w:pPr>
            <w:r>
              <w:rPr>
                <w:rFonts w:hint="eastAsia" w:eastAsia="方正书宋_GBK"/>
                <w:color w:val="000000" w:themeColor="text1"/>
                <w:sz w:val="24"/>
                <w:szCs w:val="24"/>
                <w14:textFill>
                  <w14:solidFill>
                    <w14:schemeClr w14:val="tx1"/>
                  </w14:solidFill>
                </w14:textFill>
              </w:rPr>
              <w:t>0</w:t>
            </w:r>
          </w:p>
        </w:tc>
        <w:tc>
          <w:tcPr>
            <w:tcW w:w="910" w:type="dxa"/>
            <w:tcMar>
              <w:left w:w="17" w:type="dxa"/>
              <w:right w:w="17" w:type="dxa"/>
            </w:tcMar>
            <w:vAlign w:val="center"/>
          </w:tcPr>
          <w:p>
            <w:pPr>
              <w:spacing w:line="240" w:lineRule="exact"/>
              <w:jc w:val="center"/>
              <w:rPr>
                <w:rFonts w:eastAsia="方正书宋_GBK"/>
                <w:color w:val="000000" w:themeColor="text1"/>
                <w:sz w:val="24"/>
                <w:szCs w:val="24"/>
                <w14:textFill>
                  <w14:solidFill>
                    <w14:schemeClr w14:val="tx1"/>
                  </w14:solidFill>
                </w14:textFill>
              </w:rPr>
            </w:pPr>
            <w:r>
              <w:rPr>
                <w:rFonts w:hint="eastAsia" w:eastAsia="方正书宋_GBK"/>
                <w:color w:val="000000" w:themeColor="text1"/>
                <w:sz w:val="24"/>
                <w:szCs w:val="24"/>
                <w14:textFill>
                  <w14:solidFill>
                    <w14:schemeClr w14:val="tx1"/>
                  </w14:solidFill>
                </w14:textFill>
              </w:rPr>
              <w:t>0</w:t>
            </w:r>
          </w:p>
        </w:tc>
      </w:tr>
    </w:tbl>
    <w:p>
      <w:pPr>
        <w:spacing w:line="579" w:lineRule="exact"/>
        <w:ind w:firstLine="632" w:firstLineChars="200"/>
        <w:rPr>
          <w:rFonts w:hint="default" w:ascii="方正黑体_GBK" w:eastAsia="方正黑体_GBK"/>
          <w:szCs w:val="32"/>
          <w:lang w:val="en-US" w:eastAsia="zh-CN"/>
        </w:rPr>
      </w:pPr>
      <w:bookmarkStart w:id="8" w:name="_Toc92144075"/>
      <w:bookmarkStart w:id="9" w:name="_Toc92144026"/>
      <w:bookmarkStart w:id="10" w:name="_Toc23383"/>
      <w:r>
        <w:rPr>
          <w:rFonts w:hint="eastAsia" w:ascii="方正黑体_GBK" w:eastAsia="方正黑体_GBK"/>
          <w:szCs w:val="32"/>
        </w:rPr>
        <w:t>五、</w:t>
      </w:r>
      <w:bookmarkEnd w:id="8"/>
      <w:bookmarkEnd w:id="9"/>
      <w:bookmarkEnd w:id="10"/>
      <w:r>
        <w:rPr>
          <w:rFonts w:hint="eastAsia" w:ascii="方正黑体_GBK" w:eastAsia="方正黑体_GBK"/>
          <w:szCs w:val="32"/>
          <w:lang w:val="en-US" w:eastAsia="zh-CN"/>
        </w:rPr>
        <w:t>存在的主要问题及改进情况</w:t>
      </w:r>
    </w:p>
    <w:p>
      <w:pPr>
        <w:spacing w:line="579" w:lineRule="exact"/>
        <w:ind w:firstLine="632" w:firstLineChars="200"/>
        <w:rPr>
          <w:rFonts w:hint="default" w:ascii="方正楷体_GBK" w:eastAsia="方正楷体_GBK"/>
          <w:szCs w:val="32"/>
          <w:lang w:val="en-US" w:eastAsia="zh-CN"/>
        </w:rPr>
      </w:pPr>
      <w:r>
        <w:rPr>
          <w:rFonts w:hint="eastAsia" w:ascii="方正楷体_GBK" w:eastAsia="方正楷体_GBK"/>
          <w:szCs w:val="32"/>
        </w:rPr>
        <w:t>（一）当前存在的主要问题。</w:t>
      </w:r>
      <w:r>
        <w:rPr>
          <w:rFonts w:hint="eastAsia" w:ascii="方正仿宋_GBK" w:hAnsi="方正仿宋_GBK" w:eastAsia="方正仿宋_GBK" w:cs="方正仿宋_GBK"/>
          <w:szCs w:val="32"/>
          <w:lang w:val="en-US" w:eastAsia="zh-CN"/>
        </w:rPr>
        <w:t>一是信息公开内容的深度和广度还不够。二是个别信息公开还不够及时，公开效率有待提高。</w:t>
      </w:r>
    </w:p>
    <w:p>
      <w:pPr>
        <w:spacing w:line="579" w:lineRule="exact"/>
        <w:ind w:firstLine="632" w:firstLineChars="200"/>
        <w:rPr>
          <w:szCs w:val="32"/>
        </w:rPr>
      </w:pPr>
      <w:r>
        <w:rPr>
          <w:rFonts w:hint="eastAsia" w:ascii="方正楷体_GBK" w:eastAsia="方正楷体_GBK"/>
          <w:szCs w:val="32"/>
        </w:rPr>
        <w:t>（二）下</w:t>
      </w:r>
      <w:r>
        <w:rPr>
          <w:rFonts w:hint="eastAsia" w:ascii="方正楷体_GBK" w:eastAsia="方正楷体_GBK"/>
          <w:szCs w:val="32"/>
          <w:lang w:val="en-US" w:eastAsia="zh-CN"/>
        </w:rPr>
        <w:t>一</w:t>
      </w:r>
      <w:r>
        <w:rPr>
          <w:rFonts w:hint="eastAsia" w:ascii="方正楷体_GBK" w:eastAsia="方正楷体_GBK"/>
          <w:szCs w:val="32"/>
        </w:rPr>
        <w:t>步改进措施。</w:t>
      </w:r>
      <w:r>
        <w:rPr>
          <w:rFonts w:hint="eastAsia" w:ascii="方正仿宋_GBK" w:hAnsi="方正仿宋_GBK" w:eastAsia="方正仿宋_GBK" w:cs="方正仿宋_GBK"/>
          <w:szCs w:val="32"/>
          <w:lang w:val="en-US" w:eastAsia="zh-CN"/>
        </w:rPr>
        <w:t>一是围绕公安领域，拓展信息公开的内容和形式，丰富信息的种类和数量，提高信息质量。二是规范信息公开流程，建立监督、提醒闭环管理工作机制，确保信息公开及时、准确、完整。</w:t>
      </w:r>
    </w:p>
    <w:p>
      <w:pPr>
        <w:spacing w:line="579" w:lineRule="exact"/>
        <w:ind w:firstLine="632" w:firstLineChars="200"/>
        <w:rPr>
          <w:rFonts w:ascii="方正黑体_GBK" w:eastAsia="方正黑体_GBK"/>
          <w:szCs w:val="32"/>
        </w:rPr>
      </w:pPr>
      <w:bookmarkStart w:id="11" w:name="_Toc92144028"/>
      <w:bookmarkStart w:id="12" w:name="_Toc92144077"/>
      <w:bookmarkStart w:id="13" w:name="_Toc3125"/>
      <w:r>
        <w:rPr>
          <w:rFonts w:hint="eastAsia" w:ascii="方正黑体_GBK" w:eastAsia="方正黑体_GBK"/>
          <w:szCs w:val="32"/>
        </w:rPr>
        <w:t>六、其他需要报告的事项</w:t>
      </w:r>
      <w:bookmarkEnd w:id="11"/>
      <w:bookmarkEnd w:id="12"/>
      <w:bookmarkEnd w:id="13"/>
    </w:p>
    <w:p>
      <w:pPr>
        <w:spacing w:line="579" w:lineRule="exact"/>
        <w:ind w:firstLine="632" w:firstLineChars="200"/>
        <w:rPr>
          <w:rFonts w:hint="eastAsia"/>
          <w:szCs w:val="32"/>
        </w:rPr>
      </w:pPr>
      <w:bookmarkStart w:id="14" w:name="_Toc14322"/>
      <w:bookmarkStart w:id="15" w:name="_Toc92144078"/>
      <w:bookmarkStart w:id="16" w:name="_Toc92144029"/>
      <w:r>
        <w:rPr>
          <w:szCs w:val="32"/>
        </w:rPr>
        <w:t>无。</w:t>
      </w:r>
    </w:p>
    <w:p>
      <w:pPr>
        <w:spacing w:line="579" w:lineRule="exact"/>
        <w:ind w:firstLine="632" w:firstLineChars="200"/>
        <w:rPr>
          <w:rFonts w:hint="eastAsia"/>
          <w:szCs w:val="32"/>
        </w:rPr>
      </w:pPr>
    </w:p>
    <w:p>
      <w:pPr>
        <w:spacing w:line="579" w:lineRule="exact"/>
        <w:ind w:firstLine="632" w:firstLineChars="200"/>
        <w:rPr>
          <w:rFonts w:hint="eastAsia"/>
          <w:szCs w:val="32"/>
        </w:rPr>
      </w:pPr>
    </w:p>
    <w:p>
      <w:pPr>
        <w:spacing w:line="579" w:lineRule="exact"/>
        <w:ind w:right="474" w:firstLine="632" w:firstLineChars="200"/>
        <w:jc w:val="center"/>
        <w:rPr>
          <w:rFonts w:hint="eastAsia"/>
          <w:szCs w:val="32"/>
        </w:rPr>
      </w:pPr>
      <w:r>
        <w:rPr>
          <w:rFonts w:hint="eastAsia"/>
          <w:szCs w:val="32"/>
          <w:lang w:val="en-US" w:eastAsia="zh-CN"/>
        </w:rPr>
        <w:t xml:space="preserve">                    </w:t>
      </w:r>
      <w:r>
        <w:rPr>
          <w:rFonts w:hint="eastAsia"/>
          <w:szCs w:val="32"/>
        </w:rPr>
        <w:t>重庆市綦江区公安局</w:t>
      </w:r>
    </w:p>
    <w:p>
      <w:pPr>
        <w:spacing w:line="579" w:lineRule="exact"/>
        <w:ind w:right="632" w:firstLine="632" w:firstLineChars="200"/>
        <w:jc w:val="center"/>
        <w:rPr>
          <w:rFonts w:hint="eastAsia"/>
          <w:szCs w:val="32"/>
        </w:rPr>
      </w:pPr>
      <w:r>
        <w:rPr>
          <w:rFonts w:hint="eastAsia"/>
          <w:szCs w:val="32"/>
          <w:lang w:val="en-US" w:eastAsia="zh-CN"/>
        </w:rPr>
        <w:t xml:space="preserve">                      </w:t>
      </w:r>
      <w:r>
        <w:rPr>
          <w:rFonts w:hint="eastAsia"/>
          <w:szCs w:val="32"/>
        </w:rPr>
        <w:t>202</w:t>
      </w:r>
      <w:r>
        <w:rPr>
          <w:rFonts w:hint="eastAsia"/>
          <w:szCs w:val="32"/>
          <w:lang w:val="en-US" w:eastAsia="zh-CN"/>
        </w:rPr>
        <w:t>5</w:t>
      </w:r>
      <w:r>
        <w:rPr>
          <w:rFonts w:hint="eastAsia"/>
          <w:szCs w:val="32"/>
        </w:rPr>
        <w:t>年1月</w:t>
      </w:r>
      <w:r>
        <w:rPr>
          <w:rFonts w:hint="eastAsia"/>
          <w:szCs w:val="32"/>
          <w:lang w:val="en-US" w:eastAsia="zh-CN"/>
        </w:rPr>
        <w:t>24</w:t>
      </w:r>
      <w:r>
        <w:rPr>
          <w:rFonts w:hint="eastAsia"/>
          <w:szCs w:val="32"/>
        </w:rPr>
        <w:t>日</w:t>
      </w:r>
    </w:p>
    <w:p>
      <w:pPr>
        <w:tabs>
          <w:tab w:val="left" w:pos="0"/>
        </w:tabs>
        <w:adjustRightInd w:val="0"/>
        <w:spacing w:line="580" w:lineRule="exact"/>
        <w:jc w:val="center"/>
        <w:rPr>
          <w:rStyle w:val="27"/>
          <w:rFonts w:eastAsia="方正小标宋_GBK"/>
          <w:b w:val="0"/>
          <w:bCs/>
          <w:color w:val="000000" w:themeColor="text1"/>
          <w:sz w:val="36"/>
          <w:szCs w:val="36"/>
          <w14:textFill>
            <w14:solidFill>
              <w14:schemeClr w14:val="tx1"/>
            </w14:solidFill>
          </w14:textFill>
        </w:rPr>
      </w:pPr>
      <w:bookmarkStart w:id="17" w:name="_GoBack"/>
      <w:bookmarkEnd w:id="17"/>
    </w:p>
    <w:bookmarkEnd w:id="14"/>
    <w:bookmarkEnd w:id="15"/>
    <w:bookmarkEnd w:id="16"/>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fmt="decimal"/>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right="360" w:firstLine="360"/>
      <w:rPr>
        <w:sz w:val="28"/>
      </w:rPr>
    </w:pPr>
    <w:r>
      <w:rPr>
        <w:rStyle w:val="21"/>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rStyle w:val="21"/>
        <w:rFonts w:hint="eastAsia"/>
        <w:sz w:val="28"/>
      </w:rPr>
      <w:t>―</w:t>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dit="forms" w:enforcement="0"/>
  <w:defaultTabStop w:val="420"/>
  <w:drawingGridHorizontalSpacing w:val="158"/>
  <w:drawingGridVerticalSpacing w:val="579"/>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YzQ0NGJiNjNjZGUzNDUyZDE0YWI3ZmY3ZTIyNzQifQ=="/>
  </w:docVars>
  <w:rsids>
    <w:rsidRoot w:val="7FFE881E"/>
    <w:rsid w:val="00060AA5"/>
    <w:rsid w:val="00081BB5"/>
    <w:rsid w:val="000B2E92"/>
    <w:rsid w:val="00175488"/>
    <w:rsid w:val="001D425F"/>
    <w:rsid w:val="001E109F"/>
    <w:rsid w:val="00244984"/>
    <w:rsid w:val="004A177D"/>
    <w:rsid w:val="004D0CA7"/>
    <w:rsid w:val="004F22C3"/>
    <w:rsid w:val="004F307F"/>
    <w:rsid w:val="00510EE8"/>
    <w:rsid w:val="005617C2"/>
    <w:rsid w:val="0058047C"/>
    <w:rsid w:val="006836FC"/>
    <w:rsid w:val="00741EE2"/>
    <w:rsid w:val="007745FC"/>
    <w:rsid w:val="007B2BAB"/>
    <w:rsid w:val="007C04E2"/>
    <w:rsid w:val="008060B7"/>
    <w:rsid w:val="00870DD5"/>
    <w:rsid w:val="009A2DEB"/>
    <w:rsid w:val="009A3D4E"/>
    <w:rsid w:val="009E4167"/>
    <w:rsid w:val="009F3354"/>
    <w:rsid w:val="00A448B3"/>
    <w:rsid w:val="00B71D08"/>
    <w:rsid w:val="00B82BF7"/>
    <w:rsid w:val="00C5085F"/>
    <w:rsid w:val="00D36D8C"/>
    <w:rsid w:val="00E32C10"/>
    <w:rsid w:val="00E52981"/>
    <w:rsid w:val="00EA15B7"/>
    <w:rsid w:val="02AB4429"/>
    <w:rsid w:val="02ED1B08"/>
    <w:rsid w:val="051C3CB3"/>
    <w:rsid w:val="061A4C6C"/>
    <w:rsid w:val="080D09CF"/>
    <w:rsid w:val="08661773"/>
    <w:rsid w:val="0AAC2F4B"/>
    <w:rsid w:val="0AC00E6E"/>
    <w:rsid w:val="0B8714E8"/>
    <w:rsid w:val="0C902332"/>
    <w:rsid w:val="0F3A7498"/>
    <w:rsid w:val="0FBF2BE4"/>
    <w:rsid w:val="14BC7504"/>
    <w:rsid w:val="1597327F"/>
    <w:rsid w:val="160E4922"/>
    <w:rsid w:val="16AF34EE"/>
    <w:rsid w:val="192A3435"/>
    <w:rsid w:val="1AF92816"/>
    <w:rsid w:val="1B0E3FCF"/>
    <w:rsid w:val="1C3B1173"/>
    <w:rsid w:val="1F911531"/>
    <w:rsid w:val="20981663"/>
    <w:rsid w:val="214A598B"/>
    <w:rsid w:val="21B17327"/>
    <w:rsid w:val="224A0AE1"/>
    <w:rsid w:val="23C938A4"/>
    <w:rsid w:val="23F15883"/>
    <w:rsid w:val="24024113"/>
    <w:rsid w:val="241E1D91"/>
    <w:rsid w:val="24274DE9"/>
    <w:rsid w:val="24CE0D3F"/>
    <w:rsid w:val="28185366"/>
    <w:rsid w:val="28C6412A"/>
    <w:rsid w:val="2BA026BD"/>
    <w:rsid w:val="2BE062C0"/>
    <w:rsid w:val="2EB54F59"/>
    <w:rsid w:val="2EDB63A7"/>
    <w:rsid w:val="2F3F04BA"/>
    <w:rsid w:val="3049025E"/>
    <w:rsid w:val="32F55F3D"/>
    <w:rsid w:val="3336269E"/>
    <w:rsid w:val="35BF3685"/>
    <w:rsid w:val="35C54D18"/>
    <w:rsid w:val="37F35D0C"/>
    <w:rsid w:val="39CA76D4"/>
    <w:rsid w:val="3BA414C9"/>
    <w:rsid w:val="3F2C7395"/>
    <w:rsid w:val="40E707C9"/>
    <w:rsid w:val="4329015E"/>
    <w:rsid w:val="455C317E"/>
    <w:rsid w:val="49E9563A"/>
    <w:rsid w:val="4C310FDA"/>
    <w:rsid w:val="4DA64909"/>
    <w:rsid w:val="51EFF878"/>
    <w:rsid w:val="529E0E5E"/>
    <w:rsid w:val="55241ACF"/>
    <w:rsid w:val="55581F89"/>
    <w:rsid w:val="55660695"/>
    <w:rsid w:val="570C1B5E"/>
    <w:rsid w:val="57612445"/>
    <w:rsid w:val="57FB5C10"/>
    <w:rsid w:val="5AEB6D6A"/>
    <w:rsid w:val="5BA32E7E"/>
    <w:rsid w:val="5BE21105"/>
    <w:rsid w:val="5C763210"/>
    <w:rsid w:val="5D1D4D00"/>
    <w:rsid w:val="5F1576F7"/>
    <w:rsid w:val="5FFDFAF1"/>
    <w:rsid w:val="607F2AC5"/>
    <w:rsid w:val="61FC06FB"/>
    <w:rsid w:val="6422696F"/>
    <w:rsid w:val="66781322"/>
    <w:rsid w:val="66802DFC"/>
    <w:rsid w:val="675A6497"/>
    <w:rsid w:val="69E40489"/>
    <w:rsid w:val="6B2D5857"/>
    <w:rsid w:val="6B3173CE"/>
    <w:rsid w:val="6CFE5010"/>
    <w:rsid w:val="6D085CA4"/>
    <w:rsid w:val="6F0C7F26"/>
    <w:rsid w:val="6FFFB11F"/>
    <w:rsid w:val="70DF4EFC"/>
    <w:rsid w:val="73EF0BC9"/>
    <w:rsid w:val="741F114B"/>
    <w:rsid w:val="749F0565"/>
    <w:rsid w:val="75447728"/>
    <w:rsid w:val="770F4B78"/>
    <w:rsid w:val="7A3814C3"/>
    <w:rsid w:val="7A8041FA"/>
    <w:rsid w:val="7BDB720F"/>
    <w:rsid w:val="7C550994"/>
    <w:rsid w:val="7DEB29C1"/>
    <w:rsid w:val="7F730710"/>
    <w:rsid w:val="7FB6564C"/>
    <w:rsid w:val="7FDF288B"/>
    <w:rsid w:val="7FFE881E"/>
    <w:rsid w:val="9D24FEE6"/>
    <w:rsid w:val="9FC3B1BE"/>
    <w:rsid w:val="BAF3CA4B"/>
    <w:rsid w:val="BB6ACFCC"/>
    <w:rsid w:val="BD3F813A"/>
    <w:rsid w:val="CFAC6BA2"/>
    <w:rsid w:val="DBAEB081"/>
    <w:rsid w:val="DBDB8CE4"/>
    <w:rsid w:val="DBF9340F"/>
    <w:rsid w:val="DDDFA983"/>
    <w:rsid w:val="DFEFDAE3"/>
    <w:rsid w:val="EFBFE69B"/>
    <w:rsid w:val="EFC73398"/>
    <w:rsid w:val="F5DF3F1B"/>
    <w:rsid w:val="FC5A02C1"/>
    <w:rsid w:val="FD1F462D"/>
    <w:rsid w:val="FFBB0B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7"/>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rPr>
  </w:style>
  <w:style w:type="paragraph" w:styleId="4">
    <w:name w:val="heading 3"/>
    <w:basedOn w:val="1"/>
    <w:next w:val="1"/>
    <w:link w:val="25"/>
    <w:qFormat/>
    <w:uiPriority w:val="0"/>
    <w:pPr>
      <w:keepNext/>
      <w:keepLines/>
      <w:spacing w:before="260" w:after="260" w:line="413" w:lineRule="auto"/>
      <w:outlineLvl w:val="2"/>
    </w:pPr>
    <w:rPr>
      <w:b/>
    </w:rPr>
  </w:style>
  <w:style w:type="paragraph" w:styleId="5">
    <w:name w:val="heading 4"/>
    <w:basedOn w:val="1"/>
    <w:next w:val="1"/>
    <w:link w:val="26"/>
    <w:qFormat/>
    <w:uiPriority w:val="0"/>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920"/>
      <w:jc w:val="left"/>
    </w:pPr>
    <w:rPr>
      <w:rFonts w:asciiTheme="minorHAnsi" w:eastAsiaTheme="minorHAnsi"/>
      <w:sz w:val="18"/>
      <w:szCs w:val="18"/>
    </w:rPr>
  </w:style>
  <w:style w:type="paragraph" w:styleId="7">
    <w:name w:val="annotation text"/>
    <w:basedOn w:val="1"/>
    <w:uiPriority w:val="0"/>
    <w:pPr>
      <w:jc w:val="left"/>
    </w:pPr>
  </w:style>
  <w:style w:type="paragraph" w:styleId="8">
    <w:name w:val="toc 5"/>
    <w:basedOn w:val="1"/>
    <w:next w:val="1"/>
    <w:qFormat/>
    <w:uiPriority w:val="0"/>
    <w:pPr>
      <w:ind w:left="1280"/>
      <w:jc w:val="left"/>
    </w:pPr>
    <w:rPr>
      <w:rFonts w:asciiTheme="minorHAnsi" w:eastAsiaTheme="minorHAnsi"/>
      <w:sz w:val="18"/>
      <w:szCs w:val="18"/>
    </w:rPr>
  </w:style>
  <w:style w:type="paragraph" w:styleId="9">
    <w:name w:val="toc 3"/>
    <w:basedOn w:val="1"/>
    <w:next w:val="1"/>
    <w:qFormat/>
    <w:uiPriority w:val="39"/>
    <w:pPr>
      <w:ind w:left="640"/>
      <w:jc w:val="left"/>
    </w:pPr>
    <w:rPr>
      <w:rFonts w:asciiTheme="minorHAnsi" w:eastAsiaTheme="minorHAnsi"/>
      <w:i/>
      <w:iCs/>
      <w:sz w:val="20"/>
    </w:rPr>
  </w:style>
  <w:style w:type="paragraph" w:styleId="10">
    <w:name w:val="toc 8"/>
    <w:basedOn w:val="1"/>
    <w:next w:val="1"/>
    <w:qFormat/>
    <w:uiPriority w:val="0"/>
    <w:pPr>
      <w:ind w:left="2240"/>
      <w:jc w:val="left"/>
    </w:pPr>
    <w:rPr>
      <w:rFonts w:asciiTheme="minorHAnsi" w:eastAsiaTheme="minorHAnsi"/>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before="120" w:after="120"/>
      <w:jc w:val="left"/>
    </w:pPr>
    <w:rPr>
      <w:rFonts w:asciiTheme="minorHAnsi" w:eastAsiaTheme="minorHAnsi"/>
      <w:b/>
      <w:bCs/>
      <w:caps/>
      <w:sz w:val="20"/>
    </w:rPr>
  </w:style>
  <w:style w:type="paragraph" w:styleId="14">
    <w:name w:val="toc 4"/>
    <w:basedOn w:val="1"/>
    <w:next w:val="1"/>
    <w:qFormat/>
    <w:uiPriority w:val="0"/>
    <w:pPr>
      <w:ind w:left="960"/>
      <w:jc w:val="left"/>
    </w:pPr>
    <w:rPr>
      <w:rFonts w:asciiTheme="minorHAnsi" w:eastAsiaTheme="minorHAnsi"/>
      <w:sz w:val="18"/>
      <w:szCs w:val="18"/>
    </w:rPr>
  </w:style>
  <w:style w:type="paragraph" w:styleId="15">
    <w:name w:val="toc 6"/>
    <w:basedOn w:val="1"/>
    <w:next w:val="1"/>
    <w:qFormat/>
    <w:uiPriority w:val="0"/>
    <w:pPr>
      <w:ind w:left="1600"/>
      <w:jc w:val="left"/>
    </w:pPr>
    <w:rPr>
      <w:rFonts w:asciiTheme="minorHAnsi" w:eastAsiaTheme="minorHAnsi"/>
      <w:sz w:val="18"/>
      <w:szCs w:val="18"/>
    </w:rPr>
  </w:style>
  <w:style w:type="paragraph" w:styleId="16">
    <w:name w:val="toc 2"/>
    <w:basedOn w:val="1"/>
    <w:next w:val="1"/>
    <w:qFormat/>
    <w:uiPriority w:val="39"/>
    <w:pPr>
      <w:ind w:left="320"/>
      <w:jc w:val="left"/>
    </w:pPr>
    <w:rPr>
      <w:rFonts w:asciiTheme="minorHAnsi" w:eastAsiaTheme="minorHAnsi"/>
      <w:smallCaps/>
      <w:sz w:val="20"/>
    </w:rPr>
  </w:style>
  <w:style w:type="paragraph" w:styleId="17">
    <w:name w:val="toc 9"/>
    <w:basedOn w:val="1"/>
    <w:next w:val="1"/>
    <w:qFormat/>
    <w:uiPriority w:val="0"/>
    <w:pPr>
      <w:ind w:left="2560"/>
      <w:jc w:val="left"/>
    </w:pPr>
    <w:rPr>
      <w:rFonts w:asciiTheme="minorHAnsi" w:eastAsiaTheme="minorHAnsi"/>
      <w:sz w:val="18"/>
      <w:szCs w:val="18"/>
    </w:rPr>
  </w:style>
  <w:style w:type="paragraph" w:styleId="18">
    <w:name w:val="Normal (Web)"/>
    <w:basedOn w:val="1"/>
    <w:semiHidden/>
    <w:unhideWhenUsed/>
    <w:qFormat/>
    <w:uiPriority w:val="99"/>
    <w:pPr>
      <w:spacing w:beforeAutospacing="1" w:afterAutospacing="1"/>
      <w:jc w:val="left"/>
    </w:pPr>
    <w:rPr>
      <w:kern w:val="0"/>
      <w:sz w:val="24"/>
    </w:rPr>
  </w:style>
  <w:style w:type="character" w:styleId="21">
    <w:name w:val="page number"/>
    <w:basedOn w:val="20"/>
    <w:qFormat/>
    <w:uiPriority w:val="0"/>
  </w:style>
  <w:style w:type="character" w:styleId="22">
    <w:name w:val="Hyperlink"/>
    <w:basedOn w:val="20"/>
    <w:qFormat/>
    <w:uiPriority w:val="99"/>
    <w:rPr>
      <w:rFonts w:ascii="Times New Roman" w:hAnsi="Times New Roman" w:eastAsia="宋体" w:cs="Times New Roman"/>
      <w:color w:val="0000FF" w:themeColor="hyperlink"/>
      <w:u w:val="single"/>
      <w14:textFill>
        <w14:solidFill>
          <w14:schemeClr w14:val="hlink"/>
        </w14:solidFill>
      </w14:textFill>
    </w:rPr>
  </w:style>
  <w:style w:type="paragraph" w:customStyle="1" w:styleId="23">
    <w:name w:val="_Style 6"/>
    <w:basedOn w:val="1"/>
    <w:qFormat/>
    <w:uiPriority w:val="0"/>
  </w:style>
  <w:style w:type="character" w:customStyle="1" w:styleId="24">
    <w:name w:val="标题 1 字符1"/>
    <w:qFormat/>
    <w:uiPriority w:val="0"/>
    <w:rPr>
      <w:rFonts w:ascii="Times New Roman" w:hAnsi="Times New Roman" w:eastAsia="宋体" w:cs="Times New Roman"/>
      <w:b/>
      <w:kern w:val="44"/>
      <w:sz w:val="44"/>
    </w:rPr>
  </w:style>
  <w:style w:type="character" w:customStyle="1" w:styleId="25">
    <w:name w:val="标题 3 Char"/>
    <w:link w:val="4"/>
    <w:qFormat/>
    <w:uiPriority w:val="0"/>
    <w:rPr>
      <w:rFonts w:ascii="Times New Roman" w:hAnsi="Times New Roman" w:eastAsia="宋体" w:cs="Times New Roman"/>
      <w:b/>
    </w:rPr>
  </w:style>
  <w:style w:type="character" w:customStyle="1" w:styleId="26">
    <w:name w:val="标题 4 Char"/>
    <w:link w:val="5"/>
    <w:qFormat/>
    <w:uiPriority w:val="0"/>
    <w:rPr>
      <w:rFonts w:ascii="Arial" w:hAnsi="Arial" w:eastAsia="黑体" w:cs="Times New Roman"/>
      <w:b/>
      <w:sz w:val="28"/>
    </w:rPr>
  </w:style>
  <w:style w:type="character" w:customStyle="1" w:styleId="27">
    <w:name w:val="标题 1 Char"/>
    <w:link w:val="2"/>
    <w:qFormat/>
    <w:uiPriority w:val="0"/>
    <w:rPr>
      <w:rFonts w:ascii="Times New Roman" w:hAnsi="Times New Roman" w:eastAsia="宋体" w:cs="Times New Roman"/>
      <w:b/>
      <w:kern w:val="44"/>
      <w:sz w:val="44"/>
    </w:rPr>
  </w:style>
  <w:style w:type="character" w:customStyle="1" w:styleId="28">
    <w:name w:val="未处理的提及1"/>
    <w:basedOn w:val="20"/>
    <w:semiHidden/>
    <w:unhideWhenUsed/>
    <w:qFormat/>
    <w:uiPriority w:val="99"/>
    <w:rPr>
      <w:rFonts w:ascii="Times New Roman" w:hAnsi="Times New Roman" w:eastAsia="宋体" w:cs="Times New Roman"/>
      <w:color w:val="605E5C"/>
      <w:shd w:val="clear" w:color="auto" w:fill="E1DFDD"/>
    </w:rPr>
  </w:style>
  <w:style w:type="paragraph" w:customStyle="1" w:styleId="29">
    <w:name w:val="修订1"/>
    <w:hidden/>
    <w:semiHidden/>
    <w:qFormat/>
    <w:uiPriority w:val="99"/>
    <w:rPr>
      <w:rFonts w:ascii="Times New Roman" w:hAnsi="Times New Roman" w:eastAsia="方正仿宋_GBK" w:cs="Times New Roman"/>
      <w:kern w:val="2"/>
      <w:sz w:val="32"/>
      <w:lang w:val="en-US" w:eastAsia="zh-CN" w:bidi="ar-SA"/>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styleId="31">
    <w:name w:val="Placeholder Text"/>
    <w:basedOn w:val="20"/>
    <w:unhideWhenUsed/>
    <w:qFormat/>
    <w:uiPriority w:val="99"/>
    <w:rPr>
      <w:color w:val="808080"/>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2218</Words>
  <Characters>2293</Characters>
  <Lines>18</Lines>
  <Paragraphs>5</Paragraphs>
  <TotalTime>49</TotalTime>
  <ScaleCrop>false</ScaleCrop>
  <LinksUpToDate>false</LinksUpToDate>
  <CharactersWithSpaces>2347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2022-01-12T03:53:00Z</dcterms:created>
  <dc:creator>文印中心_刘丽</dc:creator>
  <cp:lastModifiedBy>cyl</cp:lastModifiedBy>
  <cp:lastPrinted>2025-01-15T09:30:00Z</cp:lastPrinted>
  <dcterms:modified xsi:type="dcterms:W3CDTF">2025-01-24T07:03:28Z</dcterms:modified>
  <dc:title>重庆市人民政府办公厅</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AEAC3B65493C4BD0A2ACED21E7A9E089_13</vt:lpwstr>
  </property>
  <property fmtid="{D5CDD505-2E9C-101B-9397-08002B2CF9AE}" pid="4" name="KSOTemplateDocerSaveRecord">
    <vt:lpwstr>eyJoZGlkIjoiZWFiMjUwYzZjNGNhMTBkZWZjNWFmMWRkMjMwNTc0YjUiLCJ1c2VySWQiOiIxNjIxODgwMzkxIn0=</vt:lpwstr>
  </property>
</Properties>
</file>