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76" w:lineRule="exact"/>
        <w:ind w:left="0" w:right="0"/>
        <w:textAlignment w:val="auto"/>
        <w:rPr>
          <w:rFonts w:hint="eastAsia" w:ascii="方正仿宋_GBK" w:hAnsi="方正仿宋_GBK" w:eastAsia="方正仿宋_GBK" w:cs="方正仿宋_GBK"/>
          <w:color w:val="000000"/>
          <w:sz w:val="32"/>
          <w:szCs w:val="32"/>
        </w:rPr>
      </w:pPr>
    </w:p>
    <w:p>
      <w:pPr>
        <w:keepNext w:val="0"/>
        <w:keepLines w:val="0"/>
        <w:pageBreakBefore w:val="0"/>
        <w:widowControl w:val="0"/>
        <w:kinsoku/>
        <w:wordWrap/>
        <w:overflowPunct/>
        <w:topLinePunct w:val="0"/>
        <w:autoSpaceDE/>
        <w:autoSpaceDN/>
        <w:bidi w:val="0"/>
        <w:spacing w:line="576" w:lineRule="exact"/>
        <w:ind w:left="0" w:right="0"/>
        <w:textAlignment w:val="auto"/>
        <w:rPr>
          <w:rFonts w:hint="eastAsia" w:ascii="方正仿宋_GBK" w:hAnsi="方正仿宋_GBK" w:eastAsia="方正仿宋_GBK" w:cs="方正仿宋_GBK"/>
          <w:color w:val="000000"/>
          <w:sz w:val="32"/>
          <w:szCs w:val="32"/>
        </w:rPr>
      </w:pPr>
    </w:p>
    <w:p>
      <w:pPr>
        <w:keepNext w:val="0"/>
        <w:keepLines w:val="0"/>
        <w:pageBreakBefore w:val="0"/>
        <w:widowControl w:val="0"/>
        <w:kinsoku/>
        <w:wordWrap/>
        <w:overflowPunct/>
        <w:topLinePunct w:val="0"/>
        <w:autoSpaceDE/>
        <w:autoSpaceDN/>
        <w:bidi w:val="0"/>
        <w:spacing w:line="576" w:lineRule="exact"/>
        <w:ind w:left="0" w:right="0"/>
        <w:textAlignment w:val="auto"/>
        <w:rPr>
          <w:rFonts w:hint="eastAsia" w:ascii="方正仿宋_GBK" w:hAnsi="方正仿宋_GBK" w:eastAsia="方正仿宋_GBK" w:cs="方正仿宋_GBK"/>
          <w:color w:val="000000"/>
          <w:sz w:val="32"/>
          <w:szCs w:val="32"/>
        </w:rPr>
      </w:pPr>
    </w:p>
    <w:p>
      <w:pPr>
        <w:keepNext w:val="0"/>
        <w:keepLines w:val="0"/>
        <w:pageBreakBefore w:val="0"/>
        <w:widowControl w:val="0"/>
        <w:kinsoku/>
        <w:wordWrap/>
        <w:overflowPunct/>
        <w:topLinePunct w:val="0"/>
        <w:autoSpaceDE/>
        <w:autoSpaceDN/>
        <w:bidi w:val="0"/>
        <w:spacing w:line="576" w:lineRule="exact"/>
        <w:ind w:left="0" w:right="0"/>
        <w:textAlignment w:val="auto"/>
        <w:rPr>
          <w:rFonts w:hint="eastAsia" w:ascii="方正仿宋_GBK" w:hAnsi="方正仿宋_GBK" w:eastAsia="方正仿宋_GBK" w:cs="方正仿宋_GBK"/>
          <w:color w:val="000000"/>
          <w:sz w:val="32"/>
          <w:szCs w:val="32"/>
        </w:rPr>
      </w:pPr>
    </w:p>
    <w:p>
      <w:pPr>
        <w:keepNext w:val="0"/>
        <w:keepLines w:val="0"/>
        <w:pageBreakBefore w:val="0"/>
        <w:widowControl w:val="0"/>
        <w:kinsoku/>
        <w:wordWrap/>
        <w:overflowPunct/>
        <w:topLinePunct w:val="0"/>
        <w:autoSpaceDE/>
        <w:autoSpaceDN/>
        <w:bidi w:val="0"/>
        <w:spacing w:line="576" w:lineRule="exact"/>
        <w:ind w:left="0" w:right="0"/>
        <w:textAlignment w:val="auto"/>
        <w:rPr>
          <w:rFonts w:hint="eastAsia" w:ascii="方正仿宋_GBK" w:hAnsi="方正仿宋_GBK" w:eastAsia="方正仿宋_GBK" w:cs="方正仿宋_GBK"/>
          <w:color w:val="000000"/>
          <w:sz w:val="32"/>
          <w:szCs w:val="32"/>
        </w:rPr>
      </w:pPr>
    </w:p>
    <w:p>
      <w:pPr>
        <w:keepNext w:val="0"/>
        <w:keepLines w:val="0"/>
        <w:pageBreakBefore w:val="0"/>
        <w:widowControl w:val="0"/>
        <w:kinsoku/>
        <w:wordWrap/>
        <w:overflowPunct/>
        <w:topLinePunct w:val="0"/>
        <w:autoSpaceDE/>
        <w:autoSpaceDN/>
        <w:bidi w:val="0"/>
        <w:spacing w:line="576" w:lineRule="exact"/>
        <w:ind w:left="0" w:right="0"/>
        <w:textAlignment w:val="auto"/>
        <w:rPr>
          <w:rFonts w:hint="eastAsia" w:ascii="方正仿宋_GBK" w:hAnsi="方正仿宋_GBK" w:eastAsia="方正仿宋_GBK" w:cs="方正仿宋_GBK"/>
          <w:color w:val="000000"/>
          <w:sz w:val="32"/>
          <w:szCs w:val="32"/>
        </w:rPr>
      </w:pPr>
    </w:p>
    <w:p>
      <w:pPr>
        <w:keepNext w:val="0"/>
        <w:keepLines w:val="0"/>
        <w:pageBreakBefore w:val="0"/>
        <w:widowControl w:val="0"/>
        <w:kinsoku/>
        <w:wordWrap/>
        <w:overflowPunct/>
        <w:topLinePunct w:val="0"/>
        <w:autoSpaceDE/>
        <w:autoSpaceDN/>
        <w:bidi w:val="0"/>
        <w:spacing w:line="576" w:lineRule="exact"/>
        <w:ind w:left="0" w:right="0"/>
        <w:textAlignment w:val="auto"/>
        <w:rPr>
          <w:rFonts w:hint="eastAsia" w:ascii="方正仿宋_GBK" w:hAnsi="方正仿宋_GBK" w:eastAsia="方正仿宋_GBK" w:cs="方正仿宋_GBK"/>
          <w:color w:val="000000"/>
          <w:sz w:val="32"/>
          <w:szCs w:val="32"/>
        </w:rPr>
      </w:pPr>
    </w:p>
    <w:p>
      <w:pPr>
        <w:keepNext w:val="0"/>
        <w:keepLines w:val="0"/>
        <w:pageBreakBefore w:val="0"/>
        <w:widowControl w:val="0"/>
        <w:kinsoku/>
        <w:wordWrap/>
        <w:overflowPunct/>
        <w:topLinePunct w:val="0"/>
        <w:autoSpaceDE/>
        <w:autoSpaceDN/>
        <w:bidi w:val="0"/>
        <w:spacing w:line="576" w:lineRule="exact"/>
        <w:ind w:left="0" w:right="0"/>
        <w:jc w:val="center"/>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綦发改</w:t>
      </w:r>
      <w:r>
        <w:rPr>
          <w:rFonts w:hint="eastAsia" w:ascii="方正仿宋_GBK" w:hAnsi="方正仿宋_GBK" w:eastAsia="方正仿宋_GBK" w:cs="方正仿宋_GBK"/>
          <w:sz w:val="32"/>
          <w:szCs w:val="32"/>
          <w:highlight w:val="none"/>
          <w:lang w:eastAsia="zh-CN"/>
        </w:rPr>
        <w:t>投</w:t>
      </w:r>
      <w:r>
        <w:rPr>
          <w:rFonts w:hint="eastAsia" w:ascii="方正仿宋_GBK" w:hAnsi="方正仿宋_GBK" w:eastAsia="方正仿宋_GBK" w:cs="方正仿宋_GBK"/>
          <w:sz w:val="32"/>
          <w:szCs w:val="32"/>
          <w:highlight w:val="none"/>
        </w:rPr>
        <w:t>〔20</w:t>
      </w:r>
      <w:r>
        <w:rPr>
          <w:rFonts w:hint="eastAsia" w:ascii="方正仿宋_GBK" w:hAnsi="方正仿宋_GBK" w:eastAsia="方正仿宋_GBK" w:cs="方正仿宋_GBK"/>
          <w:sz w:val="32"/>
          <w:szCs w:val="32"/>
          <w:highlight w:val="none"/>
        </w:rPr>
        <w:t>2</w:t>
      </w:r>
      <w:r>
        <w:rPr>
          <w:rFonts w:hint="eastAsia" w:ascii="方正仿宋_GBK" w:hAnsi="方正仿宋_GBK" w:eastAsia="方正仿宋_GBK" w:cs="方正仿宋_GBK"/>
          <w:sz w:val="32"/>
          <w:szCs w:val="32"/>
          <w:highlight w:val="none"/>
          <w:lang w:val="en-US" w:eastAsia="zh-CN"/>
        </w:rPr>
        <w:t>5</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1</w:t>
      </w:r>
      <w:r>
        <w:rPr>
          <w:rFonts w:hint="eastAsia" w:ascii="方正仿宋_GBK" w:hAnsi="方正仿宋_GBK" w:eastAsia="方正仿宋_GBK" w:cs="方正仿宋_GBK"/>
          <w:sz w:val="32"/>
          <w:szCs w:val="32"/>
          <w:highlight w:val="none"/>
        </w:rPr>
        <w:t>号</w:t>
      </w:r>
    </w:p>
    <w:p>
      <w:pPr>
        <w:keepNext w:val="0"/>
        <w:keepLines w:val="0"/>
        <w:pageBreakBefore w:val="0"/>
        <w:widowControl w:val="0"/>
        <w:kinsoku/>
        <w:wordWrap/>
        <w:overflowPunct/>
        <w:topLinePunct w:val="0"/>
        <w:autoSpaceDE/>
        <w:autoSpaceDN/>
        <w:bidi w:val="0"/>
        <w:spacing w:line="576" w:lineRule="exact"/>
        <w:ind w:left="0" w:right="0"/>
        <w:textAlignment w:val="auto"/>
        <w:rPr>
          <w:rFonts w:hint="eastAsia" w:ascii="方正仿宋_GBK" w:hAnsi="方正仿宋_GBK" w:eastAsia="方正仿宋_GBK" w:cs="方正仿宋_GBK"/>
          <w:color w:val="000000"/>
          <w:sz w:val="44"/>
          <w:szCs w:val="44"/>
        </w:rPr>
      </w:pPr>
    </w:p>
    <w:p>
      <w:pPr>
        <w:keepNext w:val="0"/>
        <w:keepLines w:val="0"/>
        <w:pageBreakBefore w:val="0"/>
        <w:widowControl w:val="0"/>
        <w:kinsoku/>
        <w:wordWrap/>
        <w:overflowPunct/>
        <w:topLinePunct w:val="0"/>
        <w:autoSpaceDE/>
        <w:autoSpaceDN/>
        <w:bidi w:val="0"/>
        <w:spacing w:line="576" w:lineRule="exact"/>
        <w:ind w:left="0" w:right="0"/>
        <w:textAlignment w:val="auto"/>
        <w:rPr>
          <w:rFonts w:hint="eastAsia" w:ascii="方正小标宋_GBK" w:hAnsi="方正小标宋_GBK" w:eastAsia="方正小标宋_GBK" w:cs="方正小标宋_GBK"/>
          <w:color w:val="000000"/>
          <w:sz w:val="44"/>
          <w:szCs w:val="44"/>
        </w:rPr>
      </w:pPr>
    </w:p>
    <w:p>
      <w:pPr>
        <w:keepNext w:val="0"/>
        <w:keepLines w:val="0"/>
        <w:pageBreakBefore w:val="0"/>
        <w:widowControl w:val="0"/>
        <w:tabs>
          <w:tab w:val="left" w:pos="2940"/>
        </w:tabs>
        <w:kinsoku/>
        <w:wordWrap/>
        <w:overflowPunct/>
        <w:topLinePunct w:val="0"/>
        <w:autoSpaceDE/>
        <w:autoSpaceDN/>
        <w:bidi w:val="0"/>
        <w:spacing w:line="576" w:lineRule="exact"/>
        <w:ind w:left="0" w:right="0"/>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重庆市綦江区发展和改革委员会</w:t>
      </w:r>
    </w:p>
    <w:p>
      <w:pPr>
        <w:keepNext w:val="0"/>
        <w:keepLines w:val="0"/>
        <w:pageBreakBefore w:val="0"/>
        <w:widowControl w:val="0"/>
        <w:kinsoku/>
        <w:wordWrap/>
        <w:overflowPunct/>
        <w:topLinePunct w:val="0"/>
        <w:autoSpaceDE/>
        <w:autoSpaceDN/>
        <w:bidi w:val="0"/>
        <w:spacing w:line="576" w:lineRule="exact"/>
        <w:ind w:left="0" w:right="0"/>
        <w:jc w:val="center"/>
        <w:textAlignment w:val="auto"/>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rPr>
        <w:t>关于</w:t>
      </w:r>
      <w:r>
        <w:rPr>
          <w:rFonts w:hint="eastAsia" w:ascii="方正小标宋_GBK" w:hAnsi="方正小标宋_GBK" w:eastAsia="方正小标宋_GBK" w:cs="方正小标宋_GBK"/>
          <w:color w:val="000000"/>
          <w:sz w:val="44"/>
          <w:szCs w:val="44"/>
          <w:lang w:val="en-US" w:eastAsia="zh-CN"/>
        </w:rPr>
        <w:t>綦江区共同片区保障性住房工程(一期）</w:t>
      </w:r>
    </w:p>
    <w:p>
      <w:pPr>
        <w:keepNext w:val="0"/>
        <w:keepLines w:val="0"/>
        <w:pageBreakBefore w:val="0"/>
        <w:widowControl w:val="0"/>
        <w:kinsoku/>
        <w:wordWrap/>
        <w:overflowPunct/>
        <w:topLinePunct w:val="0"/>
        <w:autoSpaceDE/>
        <w:autoSpaceDN/>
        <w:bidi w:val="0"/>
        <w:spacing w:line="576" w:lineRule="exact"/>
        <w:ind w:left="0" w:right="0"/>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rPr>
        <w:t>可行性研究报告的</w:t>
      </w:r>
      <w:r>
        <w:rPr>
          <w:rFonts w:hint="eastAsia" w:ascii="方正小标宋_GBK" w:hAnsi="方正小标宋_GBK" w:eastAsia="方正小标宋_GBK" w:cs="方正小标宋_GBK"/>
          <w:color w:val="000000"/>
          <w:sz w:val="44"/>
          <w:szCs w:val="44"/>
          <w:lang w:eastAsia="zh-CN"/>
        </w:rPr>
        <w:t>审查意见</w:t>
      </w:r>
    </w:p>
    <w:p>
      <w:pPr>
        <w:keepNext w:val="0"/>
        <w:keepLines w:val="0"/>
        <w:pageBreakBefore w:val="0"/>
        <w:widowControl w:val="0"/>
        <w:kinsoku/>
        <w:wordWrap/>
        <w:overflowPunct/>
        <w:topLinePunct w:val="0"/>
        <w:autoSpaceDE/>
        <w:autoSpaceDN/>
        <w:bidi w:val="0"/>
        <w:spacing w:line="576" w:lineRule="exact"/>
        <w:ind w:left="0" w:right="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right="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重庆</w:t>
      </w:r>
      <w:r>
        <w:rPr>
          <w:rFonts w:hint="eastAsia" w:ascii="方正仿宋_GBK" w:hAnsi="方正仿宋_GBK" w:eastAsia="方正仿宋_GBK" w:cs="方正仿宋_GBK"/>
          <w:color w:val="000000"/>
          <w:sz w:val="32"/>
          <w:szCs w:val="32"/>
          <w:lang w:val="en-US" w:eastAsia="zh-CN"/>
        </w:rPr>
        <w:t>咏城兴商贸有限公司</w:t>
      </w:r>
      <w:r>
        <w:rPr>
          <w:rFonts w:hint="eastAsia" w:ascii="方正仿宋_GBK" w:hAnsi="方正仿宋_GBK" w:eastAsia="方正仿宋_GBK" w:cs="方正仿宋_GBK"/>
          <w:color w:val="000000"/>
          <w:sz w:val="32"/>
          <w:szCs w:val="32"/>
        </w:rPr>
        <w:t>：</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方正仿宋_GBK" w:hAnsi="方正仿宋_GBK" w:eastAsia="方正仿宋_GBK" w:cs="方正仿宋_GBK"/>
          <w:color w:val="000000"/>
          <w:sz w:val="32"/>
          <w:szCs w:val="32"/>
          <w:lang w:val="zh-CN" w:eastAsia="zh-CN"/>
        </w:rPr>
      </w:pPr>
      <w:r>
        <w:rPr>
          <w:rFonts w:hint="eastAsia" w:ascii="方正仿宋_GBK" w:hAnsi="方正仿宋_GBK" w:eastAsia="方正仿宋_GBK" w:cs="方正仿宋_GBK"/>
          <w:color w:val="000000"/>
          <w:sz w:val="32"/>
          <w:szCs w:val="32"/>
          <w:lang w:val="en-US" w:eastAsia="zh-CN"/>
        </w:rPr>
        <w:t>你单位《关于提请审批重庆市綦江区共同片区保障性住房工程(一期）可行性研究报告的请示》（咏城兴文〔2024〕6号）及相关文件收悉，根据重庆同丰工程管理咨询有限公司</w:t>
      </w:r>
      <w:r>
        <w:rPr>
          <w:rFonts w:hint="eastAsia" w:ascii="方正仿宋_GBK" w:hAnsi="方正仿宋_GBK" w:eastAsia="方正仿宋_GBK" w:cs="方正仿宋_GBK"/>
          <w:color w:val="000000"/>
          <w:sz w:val="32"/>
          <w:szCs w:val="32"/>
          <w:lang w:val="zh-CN" w:eastAsia="zh-CN"/>
        </w:rPr>
        <w:t>的</w:t>
      </w:r>
      <w:r>
        <w:rPr>
          <w:rFonts w:hint="eastAsia" w:ascii="方正仿宋_GBK" w:hAnsi="方正仿宋_GBK" w:eastAsia="方正仿宋_GBK" w:cs="方正仿宋_GBK"/>
          <w:color w:val="000000"/>
          <w:sz w:val="32"/>
          <w:szCs w:val="32"/>
          <w:lang w:val="en-US" w:eastAsia="zh-CN"/>
        </w:rPr>
        <w:t>评估意见，经我委研究，原则同意</w:t>
      </w:r>
      <w:r>
        <w:rPr>
          <w:rFonts w:hint="eastAsia" w:ascii="方正仿宋_GBK" w:hAnsi="方正仿宋_GBK" w:eastAsia="方正仿宋_GBK" w:cs="方正仿宋_GBK"/>
          <w:sz w:val="32"/>
          <w:szCs w:val="32"/>
          <w:lang w:eastAsia="zh-CN"/>
        </w:rPr>
        <w:t>重庆霞晖工程咨询公司</w:t>
      </w:r>
      <w:r>
        <w:rPr>
          <w:rFonts w:hint="eastAsia" w:ascii="方正仿宋_GBK" w:hAnsi="方正仿宋_GBK" w:eastAsia="方正仿宋_GBK" w:cs="方正仿宋_GBK"/>
          <w:color w:val="000000"/>
          <w:sz w:val="32"/>
          <w:szCs w:val="32"/>
          <w:lang w:val="en-US" w:eastAsia="zh-CN"/>
        </w:rPr>
        <w:t>编制的该项目可行性研究报告</w:t>
      </w:r>
      <w:r>
        <w:rPr>
          <w:rFonts w:hint="eastAsia" w:ascii="方正仿宋_GBK" w:hAnsi="方正仿宋_GBK" w:eastAsia="方正仿宋_GBK" w:cs="方正仿宋_GBK"/>
          <w:color w:val="000000"/>
          <w:sz w:val="32"/>
          <w:szCs w:val="32"/>
          <w:lang w:val="zh-CN" w:eastAsia="zh-CN"/>
        </w:rPr>
        <w:t xml:space="preserve">，现将有关事项审查如下： </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right="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黑体_GBK" w:hAnsi="方正黑体_GBK" w:eastAsia="方正黑体_GBK" w:cs="方正黑体_GBK"/>
          <w:color w:val="000000"/>
          <w:sz w:val="32"/>
          <w:szCs w:val="32"/>
          <w:highlight w:val="none"/>
        </w:rPr>
        <w:t>项目名称：</w:t>
      </w:r>
      <w:r>
        <w:rPr>
          <w:rFonts w:hint="eastAsia" w:ascii="方正仿宋_GBK" w:hAnsi="方正仿宋_GBK" w:eastAsia="方正仿宋_GBK" w:cs="方正仿宋_GBK"/>
          <w:color w:val="000000"/>
          <w:sz w:val="32"/>
          <w:szCs w:val="32"/>
          <w:lang w:val="zh-CN" w:eastAsia="zh-CN"/>
        </w:rPr>
        <w:t>綦江区共同片区保障性住房工程（一期）</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right="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黑体_GBK" w:hAnsi="方正黑体_GBK" w:eastAsia="方正黑体_GBK" w:cs="方正黑体_GBK"/>
          <w:color w:val="000000"/>
          <w:sz w:val="32"/>
          <w:szCs w:val="32"/>
          <w:highlight w:val="none"/>
          <w:lang w:eastAsia="zh-CN"/>
        </w:rPr>
        <w:t>项目代码</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lang w:val="zh-CN" w:eastAsia="zh-CN"/>
        </w:rPr>
        <w:t>2408-500110-04-01-918560</w:t>
      </w:r>
    </w:p>
    <w:p>
      <w:pPr>
        <w:keepNext w:val="0"/>
        <w:keepLines w:val="0"/>
        <w:pageBreakBefore w:val="0"/>
        <w:widowControl w:val="0"/>
        <w:kinsoku/>
        <w:wordWrap/>
        <w:overflowPunct/>
        <w:topLinePunct w:val="0"/>
        <w:autoSpaceDE/>
        <w:autoSpaceDN/>
        <w:bidi w:val="0"/>
        <w:adjustRightInd/>
        <w:snapToGrid/>
        <w:spacing w:line="576" w:lineRule="exact"/>
        <w:ind w:left="0" w:right="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黑体_GBK" w:hAnsi="方正黑体_GBK" w:eastAsia="方正黑体_GBK" w:cs="方正黑体_GBK"/>
          <w:color w:val="000000"/>
          <w:sz w:val="32"/>
          <w:szCs w:val="32"/>
          <w:highlight w:val="none"/>
          <w:lang w:eastAsia="zh-CN"/>
        </w:rPr>
        <w:t>三</w:t>
      </w:r>
      <w:r>
        <w:rPr>
          <w:rFonts w:hint="eastAsia" w:ascii="方正黑体_GBK" w:hAnsi="方正黑体_GBK" w:eastAsia="方正黑体_GBK" w:cs="方正黑体_GBK"/>
          <w:color w:val="000000"/>
          <w:sz w:val="32"/>
          <w:szCs w:val="32"/>
          <w:highlight w:val="none"/>
        </w:rPr>
        <w:t>、项目业主：</w:t>
      </w:r>
      <w:r>
        <w:rPr>
          <w:rFonts w:hint="eastAsia" w:ascii="方正仿宋_GBK" w:hAnsi="方正仿宋_GBK" w:eastAsia="方正仿宋_GBK" w:cs="方正仿宋_GBK"/>
          <w:color w:val="000000"/>
          <w:sz w:val="32"/>
          <w:szCs w:val="32"/>
          <w:lang w:val="en-US" w:eastAsia="zh-CN"/>
        </w:rPr>
        <w:t>重庆</w:t>
      </w:r>
      <w:r>
        <w:rPr>
          <w:rFonts w:hint="eastAsia" w:ascii="方正仿宋_GBK" w:hAnsi="方正仿宋_GBK" w:eastAsia="方正仿宋_GBK" w:cs="方正仿宋_GBK"/>
          <w:color w:val="000000"/>
          <w:sz w:val="32"/>
          <w:szCs w:val="32"/>
          <w:lang w:val="en-US" w:eastAsia="zh-CN"/>
        </w:rPr>
        <w:t>咏城兴商贸有限公司</w:t>
      </w:r>
    </w:p>
    <w:p>
      <w:pPr>
        <w:keepNext w:val="0"/>
        <w:keepLines w:val="0"/>
        <w:pageBreakBefore w:val="0"/>
        <w:widowControl w:val="0"/>
        <w:kinsoku/>
        <w:wordWrap/>
        <w:overflowPunct/>
        <w:topLinePunct w:val="0"/>
        <w:autoSpaceDE/>
        <w:autoSpaceDN/>
        <w:bidi w:val="0"/>
        <w:adjustRightInd/>
        <w:snapToGrid/>
        <w:spacing w:line="576" w:lineRule="exact"/>
        <w:ind w:left="0" w:right="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黑体_GBK" w:hAnsi="方正黑体_GBK" w:eastAsia="方正黑体_GBK" w:cs="方正黑体_GBK"/>
          <w:color w:val="000000"/>
          <w:sz w:val="32"/>
          <w:szCs w:val="32"/>
          <w:highlight w:val="none"/>
          <w:lang w:eastAsia="zh-CN"/>
        </w:rPr>
        <w:t>四</w:t>
      </w:r>
      <w:r>
        <w:rPr>
          <w:rFonts w:hint="eastAsia" w:ascii="方正黑体_GBK" w:hAnsi="方正黑体_GBK" w:eastAsia="方正黑体_GBK" w:cs="方正黑体_GBK"/>
          <w:color w:val="000000"/>
          <w:sz w:val="32"/>
          <w:szCs w:val="32"/>
          <w:highlight w:val="none"/>
        </w:rPr>
        <w:t>、建设地点：</w:t>
      </w:r>
      <w:r>
        <w:rPr>
          <w:rFonts w:hint="eastAsia" w:ascii="方正仿宋_GBK" w:hAnsi="方正仿宋_GBK" w:eastAsia="方正仿宋_GBK" w:cs="方正仿宋_GBK"/>
          <w:sz w:val="28"/>
          <w:szCs w:val="28"/>
          <w:lang w:eastAsia="zh-CN"/>
        </w:rPr>
        <w:t>重庆市綦江区共同片区</w:t>
      </w:r>
    </w:p>
    <w:p>
      <w:pPr>
        <w:keepNext w:val="0"/>
        <w:keepLines w:val="0"/>
        <w:pageBreakBefore w:val="0"/>
        <w:widowControl w:val="0"/>
        <w:numPr>
          <w:ilvl w:val="0"/>
          <w:numId w:val="0"/>
        </w:numPr>
        <w:tabs>
          <w:tab w:val="left" w:pos="0"/>
        </w:tabs>
        <w:kinsoku/>
        <w:wordWrap/>
        <w:overflowPunct/>
        <w:topLinePunct w:val="0"/>
        <w:autoSpaceDE/>
        <w:autoSpaceDN/>
        <w:bidi w:val="0"/>
        <w:spacing w:line="576" w:lineRule="exact"/>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黑体_GBK" w:hAnsi="方正黑体_GBK" w:eastAsia="方正黑体_GBK" w:cs="方正黑体_GBK"/>
          <w:color w:val="000000"/>
          <w:sz w:val="32"/>
          <w:szCs w:val="32"/>
          <w:highlight w:val="none"/>
          <w:lang w:eastAsia="zh-CN"/>
        </w:rPr>
        <w:t>五</w:t>
      </w:r>
      <w:r>
        <w:rPr>
          <w:rFonts w:hint="eastAsia" w:ascii="方正黑体_GBK" w:hAnsi="方正黑体_GBK" w:eastAsia="方正黑体_GBK" w:cs="方正黑体_GBK"/>
          <w:color w:val="000000"/>
          <w:sz w:val="32"/>
          <w:szCs w:val="32"/>
          <w:highlight w:val="none"/>
        </w:rPr>
        <w:t>、规模及主要建设内容：</w:t>
      </w:r>
      <w:r>
        <w:rPr>
          <w:rFonts w:hint="eastAsia" w:ascii="方正仿宋_GBK" w:hAnsi="方正仿宋_GBK" w:eastAsia="方正仿宋_GBK" w:cs="方正仿宋_GBK"/>
          <w:color w:val="000000"/>
          <w:sz w:val="32"/>
          <w:szCs w:val="32"/>
          <w:lang w:val="en-US" w:eastAsia="zh-CN"/>
        </w:rPr>
        <w:t>项目建设内容包括保障性住房建设和配套道路建设，保障性住房占地约80.88亩，总建筑面积110456.44㎡，其中居住面积78794.16㎡、社区服务用房（包括物管用房、公厕、消防控制室、垃圾收纳厢房、电梯及人防楼梯等）594.99㎡、配套商业3433.72㎡、公共服务中心1982.57㎡、地下车库25651㎡。配套实施室外综合管网工程、道路、居民活动场所工程；配套道路占地约16.85亩，长890m；其中纵一路长约712m，标准路幅宽12m，车道数为双向两车道。横一路长约178m，标准路幅宽16m，车道数为双向两车道。</w:t>
      </w:r>
    </w:p>
    <w:p>
      <w:pPr>
        <w:keepNext w:val="0"/>
        <w:keepLines w:val="0"/>
        <w:pageBreakBefore w:val="0"/>
        <w:widowControl w:val="0"/>
        <w:kinsoku/>
        <w:wordWrap/>
        <w:overflowPunct/>
        <w:topLinePunct w:val="0"/>
        <w:autoSpaceDE/>
        <w:autoSpaceDN/>
        <w:bidi w:val="0"/>
        <w:adjustRightInd w:val="0"/>
        <w:snapToGrid w:val="0"/>
        <w:spacing w:line="576" w:lineRule="exact"/>
        <w:ind w:left="0" w:right="0" w:firstLine="640" w:firstLineChars="200"/>
        <w:textAlignment w:val="auto"/>
        <w:rPr>
          <w:rFonts w:hint="eastAsia" w:ascii="方正仿宋_GBK" w:hAnsi="方正仿宋_GBK" w:eastAsia="方正仿宋_GBK" w:cs="方正仿宋_GBK"/>
          <w:color w:val="000000"/>
          <w:sz w:val="32"/>
          <w:szCs w:val="32"/>
          <w:highlight w:val="none"/>
        </w:rPr>
      </w:pPr>
      <w:r>
        <w:rPr>
          <w:rFonts w:hint="eastAsia" w:ascii="方正黑体_GBK" w:hAnsi="方正黑体_GBK" w:eastAsia="方正黑体_GBK" w:cs="方正黑体_GBK"/>
          <w:color w:val="000000"/>
          <w:sz w:val="32"/>
          <w:szCs w:val="32"/>
          <w:highlight w:val="none"/>
          <w:lang w:eastAsia="zh-CN"/>
        </w:rPr>
        <w:t>六</w:t>
      </w:r>
      <w:r>
        <w:rPr>
          <w:rFonts w:hint="eastAsia" w:ascii="方正黑体_GBK" w:hAnsi="方正黑体_GBK" w:eastAsia="方正黑体_GBK" w:cs="方正黑体_GBK"/>
          <w:color w:val="000000"/>
          <w:sz w:val="32"/>
          <w:szCs w:val="32"/>
          <w:highlight w:val="none"/>
        </w:rPr>
        <w:t>、总投资</w:t>
      </w:r>
      <w:r>
        <w:rPr>
          <w:rFonts w:hint="eastAsia" w:ascii="方正黑体_GBK" w:hAnsi="方正黑体_GBK" w:eastAsia="方正黑体_GBK" w:cs="方正黑体_GBK"/>
          <w:color w:val="000000"/>
          <w:sz w:val="32"/>
          <w:szCs w:val="32"/>
          <w:highlight w:val="none"/>
          <w:lang w:eastAsia="zh-CN"/>
        </w:rPr>
        <w:t>及资金来源</w:t>
      </w:r>
      <w:r>
        <w:rPr>
          <w:rFonts w:hint="eastAsia" w:ascii="方正黑体_GBK" w:hAnsi="方正黑体_GBK" w:eastAsia="方正黑体_GBK" w:cs="方正黑体_GBK"/>
          <w:color w:val="000000"/>
          <w:sz w:val="32"/>
          <w:szCs w:val="32"/>
          <w:highlight w:val="none"/>
        </w:rPr>
        <w:t>：</w:t>
      </w:r>
      <w:r>
        <w:rPr>
          <w:rFonts w:hint="eastAsia" w:ascii="方正仿宋_GBK" w:hAnsi="方正仿宋_GBK" w:eastAsia="方正仿宋_GBK" w:cs="方正仿宋_GBK"/>
          <w:color w:val="000000"/>
          <w:sz w:val="32"/>
          <w:szCs w:val="32"/>
          <w:lang w:val="en-US" w:eastAsia="zh-CN"/>
        </w:rPr>
        <w:t>项目总投资为</w:t>
      </w:r>
      <w:r>
        <w:rPr>
          <w:rFonts w:hint="eastAsia" w:ascii="方正仿宋_GBK" w:hAnsi="方正仿宋_GBK" w:eastAsia="方正仿宋_GBK" w:cs="方正仿宋_GBK"/>
          <w:color w:val="000000"/>
          <w:sz w:val="32"/>
          <w:szCs w:val="32"/>
          <w:lang w:val="en-US" w:eastAsia="zh-CN"/>
        </w:rPr>
        <w:t>48596.56</w:t>
      </w:r>
      <w:r>
        <w:rPr>
          <w:rFonts w:hint="eastAsia" w:ascii="方正仿宋_GBK" w:hAnsi="方正仿宋_GBK" w:eastAsia="方正仿宋_GBK" w:cs="方正仿宋_GBK"/>
          <w:color w:val="000000"/>
          <w:sz w:val="32"/>
          <w:szCs w:val="32"/>
          <w:lang w:val="en-US" w:eastAsia="zh-CN"/>
        </w:rPr>
        <w:t>万元，其中，工程费用</w:t>
      </w:r>
      <w:r>
        <w:rPr>
          <w:rFonts w:hint="eastAsia" w:ascii="方正仿宋_GBK" w:hAnsi="方正仿宋_GBK" w:eastAsia="方正仿宋_GBK" w:cs="方正仿宋_GBK"/>
          <w:color w:val="000000"/>
          <w:sz w:val="32"/>
          <w:szCs w:val="32"/>
          <w:lang w:val="en-US" w:eastAsia="zh-CN"/>
        </w:rPr>
        <w:t xml:space="preserve">34590.98 </w:t>
      </w:r>
      <w:r>
        <w:rPr>
          <w:rFonts w:hint="eastAsia" w:ascii="方正仿宋_GBK" w:hAnsi="方正仿宋_GBK" w:eastAsia="方正仿宋_GBK" w:cs="方正仿宋_GBK"/>
          <w:color w:val="000000"/>
          <w:sz w:val="32"/>
          <w:szCs w:val="32"/>
          <w:lang w:val="en-US" w:eastAsia="zh-CN"/>
        </w:rPr>
        <w:t>万元，工程建设其他费用</w:t>
      </w:r>
      <w:r>
        <w:rPr>
          <w:rFonts w:hint="eastAsia" w:ascii="方正仿宋_GBK" w:hAnsi="方正仿宋_GBK" w:eastAsia="方正仿宋_GBK" w:cs="方正仿宋_GBK"/>
          <w:color w:val="000000"/>
          <w:sz w:val="32"/>
          <w:szCs w:val="32"/>
          <w:lang w:val="en-US" w:eastAsia="zh-CN"/>
        </w:rPr>
        <w:t>11357.49</w:t>
      </w:r>
      <w:r>
        <w:rPr>
          <w:rFonts w:hint="eastAsia" w:ascii="方正仿宋_GBK" w:hAnsi="方正仿宋_GBK" w:eastAsia="方正仿宋_GBK" w:cs="方正仿宋_GBK"/>
          <w:color w:val="000000"/>
          <w:sz w:val="32"/>
          <w:szCs w:val="32"/>
          <w:lang w:val="en-US" w:eastAsia="zh-CN"/>
        </w:rPr>
        <w:t>万元，预备费</w:t>
      </w:r>
      <w:r>
        <w:rPr>
          <w:rFonts w:hint="eastAsia" w:ascii="方正仿宋_GBK" w:hAnsi="方正仿宋_GBK" w:eastAsia="方正仿宋_GBK" w:cs="方正仿宋_GBK"/>
          <w:color w:val="000000"/>
          <w:sz w:val="32"/>
          <w:szCs w:val="32"/>
          <w:lang w:val="en-US" w:eastAsia="zh-CN"/>
        </w:rPr>
        <w:t xml:space="preserve">1838.09 </w:t>
      </w:r>
      <w:r>
        <w:rPr>
          <w:rFonts w:hint="eastAsia" w:ascii="方正仿宋_GBK" w:hAnsi="方正仿宋_GBK" w:eastAsia="方正仿宋_GBK" w:cs="方正仿宋_GBK"/>
          <w:color w:val="000000"/>
          <w:sz w:val="32"/>
          <w:szCs w:val="32"/>
          <w:lang w:val="en-US" w:eastAsia="zh-CN"/>
        </w:rPr>
        <w:t xml:space="preserve">万元，建设期利息810.00万元。 </w:t>
      </w:r>
    </w:p>
    <w:p>
      <w:pPr>
        <w:keepNext w:val="0"/>
        <w:keepLines w:val="0"/>
        <w:pageBreakBefore w:val="0"/>
        <w:widowControl w:val="0"/>
        <w:kinsoku/>
        <w:wordWrap/>
        <w:overflowPunct/>
        <w:topLinePunct w:val="0"/>
        <w:autoSpaceDE/>
        <w:autoSpaceDN/>
        <w:bidi w:val="0"/>
        <w:adjustRightInd/>
        <w:snapToGrid/>
        <w:spacing w:line="576" w:lineRule="exact"/>
        <w:ind w:left="0" w:right="0" w:firstLine="480" w:firstLineChars="150"/>
        <w:textAlignment w:val="auto"/>
        <w:rPr>
          <w:rFonts w:hint="eastAsia" w:ascii="方正仿宋_GBK" w:hAnsi="方正仿宋_GBK" w:eastAsia="方正仿宋_GBK" w:cs="方正仿宋_GBK"/>
          <w:color w:val="000000"/>
          <w:sz w:val="32"/>
          <w:szCs w:val="32"/>
          <w:highlight w:val="none"/>
        </w:rPr>
      </w:pPr>
      <w:r>
        <w:rPr>
          <w:rFonts w:hint="eastAsia" w:ascii="方正黑体_GBK" w:hAnsi="方正黑体_GBK" w:eastAsia="方正黑体_GBK" w:cs="方正黑体_GBK"/>
          <w:color w:val="000000"/>
          <w:sz w:val="32"/>
          <w:szCs w:val="32"/>
          <w:highlight w:val="none"/>
        </w:rPr>
        <w:t xml:space="preserve"> </w:t>
      </w:r>
      <w:r>
        <w:rPr>
          <w:rFonts w:hint="eastAsia" w:ascii="方正黑体_GBK" w:hAnsi="方正黑体_GBK" w:eastAsia="方正黑体_GBK" w:cs="方正黑体_GBK"/>
          <w:color w:val="000000"/>
          <w:sz w:val="32"/>
          <w:szCs w:val="32"/>
          <w:highlight w:val="none"/>
          <w:lang w:eastAsia="zh-CN"/>
        </w:rPr>
        <w:t>七</w:t>
      </w:r>
      <w:r>
        <w:rPr>
          <w:rFonts w:hint="eastAsia" w:ascii="方正黑体_GBK" w:hAnsi="方正黑体_GBK" w:eastAsia="方正黑体_GBK" w:cs="方正黑体_GBK"/>
          <w:color w:val="000000"/>
          <w:sz w:val="32"/>
          <w:szCs w:val="32"/>
          <w:highlight w:val="none"/>
        </w:rPr>
        <w:t>、建设工期：</w:t>
      </w:r>
      <w:r>
        <w:rPr>
          <w:rFonts w:hint="eastAsia" w:ascii="方正仿宋_GBK" w:hAnsi="方正仿宋_GBK" w:eastAsia="方正仿宋_GBK" w:cs="方正仿宋_GBK"/>
          <w:color w:val="000000"/>
          <w:sz w:val="32"/>
          <w:szCs w:val="32"/>
          <w:highlight w:val="none"/>
          <w:lang w:val="en-US" w:eastAsia="zh-CN"/>
        </w:rPr>
        <w:t>24</w:t>
      </w:r>
      <w:r>
        <w:rPr>
          <w:rFonts w:hint="eastAsia" w:ascii="方正仿宋_GBK" w:hAnsi="方正仿宋_GBK" w:eastAsia="方正仿宋_GBK" w:cs="方正仿宋_GBK"/>
          <w:color w:val="000000"/>
          <w:sz w:val="32"/>
          <w:szCs w:val="32"/>
          <w:highlight w:val="none"/>
        </w:rPr>
        <w:t>个月。</w:t>
      </w:r>
    </w:p>
    <w:p>
      <w:pPr>
        <w:keepNext w:val="0"/>
        <w:keepLines w:val="0"/>
        <w:pageBreakBefore w:val="0"/>
        <w:widowControl w:val="0"/>
        <w:kinsoku/>
        <w:wordWrap/>
        <w:overflowPunct/>
        <w:topLinePunct w:val="0"/>
        <w:autoSpaceDE/>
        <w:autoSpaceDN/>
        <w:bidi w:val="0"/>
        <w:adjustRightInd/>
        <w:snapToGrid/>
        <w:spacing w:line="576" w:lineRule="exact"/>
        <w:ind w:left="0" w:right="0" w:firstLine="640" w:firstLineChars="200"/>
        <w:textAlignment w:val="auto"/>
        <w:rPr>
          <w:rFonts w:hint="eastAsia" w:ascii="方正仿宋_GBK" w:hAnsi="方正仿宋_GBK" w:eastAsia="方正仿宋_GBK" w:cs="方正仿宋_GBK"/>
          <w:color w:val="000000"/>
          <w:sz w:val="32"/>
          <w:szCs w:val="32"/>
          <w:highlight w:val="none"/>
        </w:rPr>
      </w:pPr>
      <w:r>
        <w:rPr>
          <w:rFonts w:hint="eastAsia" w:ascii="方正黑体_GBK" w:hAnsi="方正黑体_GBK" w:eastAsia="方正黑体_GBK" w:cs="方正黑体_GBK"/>
          <w:color w:val="000000"/>
          <w:sz w:val="32"/>
          <w:szCs w:val="32"/>
          <w:highlight w:val="none"/>
          <w:lang w:eastAsia="zh-CN"/>
        </w:rPr>
        <w:t>八</w:t>
      </w:r>
      <w:r>
        <w:rPr>
          <w:rFonts w:hint="eastAsia" w:ascii="方正黑体_GBK" w:hAnsi="方正黑体_GBK" w:eastAsia="方正黑体_GBK" w:cs="方正黑体_GBK"/>
          <w:color w:val="000000"/>
          <w:sz w:val="32"/>
          <w:szCs w:val="32"/>
          <w:highlight w:val="none"/>
        </w:rPr>
        <w:t>、招标核准：</w:t>
      </w:r>
      <w:r>
        <w:rPr>
          <w:rFonts w:hint="eastAsia" w:ascii="方正仿宋_GBK" w:hAnsi="方正仿宋_GBK" w:eastAsia="方正仿宋_GBK" w:cs="方正仿宋_GBK"/>
          <w:color w:val="000000"/>
          <w:sz w:val="32"/>
          <w:szCs w:val="32"/>
          <w:highlight w:val="none"/>
        </w:rPr>
        <w:t>招标范围为施工</w:t>
      </w:r>
      <w:r>
        <w:rPr>
          <w:rFonts w:hint="eastAsia" w:ascii="方正仿宋_GBK" w:hAnsi="方正仿宋_GBK" w:eastAsia="方正仿宋_GBK" w:cs="方正仿宋_GBK"/>
          <w:color w:val="000000"/>
          <w:sz w:val="32"/>
          <w:szCs w:val="32"/>
          <w:highlight w:val="none"/>
          <w:lang w:eastAsia="zh-CN"/>
        </w:rPr>
        <w:t>和勘察设计、监理等服务。</w:t>
      </w:r>
      <w:r>
        <w:rPr>
          <w:rFonts w:hint="eastAsia" w:ascii="方正仿宋_GBK" w:hAnsi="方正仿宋_GBK" w:eastAsia="方正仿宋_GBK" w:cs="方正仿宋_GBK"/>
          <w:color w:val="000000"/>
          <w:sz w:val="32"/>
          <w:szCs w:val="32"/>
          <w:highlight w:val="none"/>
        </w:rPr>
        <w:t>招标方式为公开招标，招标组织形式为委托招标。</w:t>
      </w:r>
      <w:r>
        <w:rPr>
          <w:rFonts w:hint="eastAsia" w:ascii="方正仿宋_GBK" w:hAnsi="方正仿宋_GBK" w:eastAsia="方正仿宋_GBK" w:cs="方正仿宋_GBK"/>
          <w:sz w:val="32"/>
          <w:szCs w:val="32"/>
        </w:rPr>
        <w:t>招标公告在指定媒介公开发布。</w:t>
      </w:r>
      <w:r>
        <w:rPr>
          <w:rFonts w:hint="eastAsia" w:ascii="方正仿宋_GBK" w:hAnsi="方正仿宋_GBK" w:eastAsia="方正仿宋_GBK" w:cs="方正仿宋_GBK"/>
          <w:color w:val="000000"/>
          <w:sz w:val="32"/>
          <w:szCs w:val="32"/>
          <w:lang w:eastAsia="zh-CN"/>
        </w:rPr>
        <w:t>与工程建设相关</w:t>
      </w:r>
      <w:r>
        <w:rPr>
          <w:rFonts w:hint="eastAsia" w:ascii="方正仿宋_GBK" w:hAnsi="方正仿宋_GBK" w:eastAsia="方正仿宋_GBK" w:cs="方正仿宋_GBK"/>
          <w:color w:val="000000"/>
          <w:sz w:val="32"/>
          <w:szCs w:val="32"/>
        </w:rPr>
        <w:t>限额以下的服务及主要设备和材料采购的发包，按綦江府办发</w:t>
      </w:r>
      <w:r>
        <w:rPr>
          <w:rFonts w:hint="eastAsia" w:ascii="方正仿宋_GBK" w:hAnsi="方正仿宋_GBK" w:eastAsia="方正仿宋_GBK" w:cs="方正仿宋_GBK"/>
          <w:color w:val="000000"/>
          <w:kern w:val="2"/>
          <w:sz w:val="32"/>
          <w:szCs w:val="32"/>
          <w:lang w:val="en-US" w:eastAsia="zh-CN" w:bidi="ar-SA"/>
        </w:rPr>
        <w:t>〔2021〕4</w:t>
      </w:r>
      <w:r>
        <w:rPr>
          <w:rFonts w:hint="eastAsia" w:ascii="方正仿宋_GBK" w:hAnsi="方正仿宋_GBK" w:eastAsia="方正仿宋_GBK" w:cs="方正仿宋_GBK"/>
          <w:color w:val="000000"/>
          <w:sz w:val="32"/>
          <w:szCs w:val="32"/>
        </w:rPr>
        <w:t>号文件有关规定执行。</w:t>
      </w:r>
    </w:p>
    <w:p>
      <w:pPr>
        <w:keepNext w:val="0"/>
        <w:keepLines w:val="0"/>
        <w:pageBreakBefore w:val="0"/>
        <w:widowControl w:val="0"/>
        <w:kinsoku/>
        <w:wordWrap/>
        <w:overflowPunct/>
        <w:topLinePunct w:val="0"/>
        <w:autoSpaceDE/>
        <w:autoSpaceDN/>
        <w:bidi w:val="0"/>
        <w:adjustRightInd/>
        <w:snapToGrid/>
        <w:spacing w:line="576" w:lineRule="exact"/>
        <w:ind w:left="0" w:right="0" w:firstLine="640" w:firstLineChars="200"/>
        <w:textAlignment w:val="auto"/>
        <w:rPr>
          <w:rFonts w:hint="eastAsia" w:ascii="方正仿宋_GBK" w:hAnsi="方正仿宋_GBK" w:eastAsia="方正仿宋_GBK" w:cs="方正仿宋_GBK"/>
          <w:color w:val="000000"/>
          <w:sz w:val="32"/>
          <w:szCs w:val="32"/>
          <w:highlight w:val="none"/>
          <w:lang w:eastAsia="zh-CN"/>
        </w:rPr>
      </w:pPr>
      <w:r>
        <w:rPr>
          <w:rFonts w:hint="eastAsia" w:ascii="方正黑体_GBK" w:hAnsi="方正黑体_GBK" w:eastAsia="方正黑体_GBK" w:cs="方正黑体_GBK"/>
          <w:color w:val="000000"/>
          <w:sz w:val="32"/>
          <w:szCs w:val="32"/>
          <w:highlight w:val="none"/>
          <w:lang w:eastAsia="zh-CN"/>
        </w:rPr>
        <w:t>九</w:t>
      </w:r>
      <w:r>
        <w:rPr>
          <w:rFonts w:hint="eastAsia" w:ascii="方正黑体_GBK" w:hAnsi="方正黑体_GBK" w:eastAsia="方正黑体_GBK" w:cs="方正黑体_GBK"/>
          <w:color w:val="000000"/>
          <w:sz w:val="32"/>
          <w:szCs w:val="32"/>
          <w:highlight w:val="none"/>
        </w:rPr>
        <w:t>、</w:t>
      </w:r>
      <w:r>
        <w:rPr>
          <w:rFonts w:hint="eastAsia" w:ascii="方正仿宋_GBK" w:hAnsi="方正仿宋_GBK" w:eastAsia="方正仿宋_GBK" w:cs="方正仿宋_GBK"/>
          <w:color w:val="000000"/>
          <w:sz w:val="32"/>
          <w:szCs w:val="32"/>
          <w:highlight w:val="none"/>
        </w:rPr>
        <w:t>项目概算编制及评审、预算、决算审计等服务，单项合同估算价在国家规定的必须招标限额以下且在国家规定的必须招标范围之外的，</w:t>
      </w:r>
      <w:r>
        <w:rPr>
          <w:rFonts w:hint="eastAsia" w:ascii="方正仿宋_GBK" w:hAnsi="方正仿宋_GBK" w:eastAsia="方正仿宋_GBK" w:cs="方正仿宋_GBK"/>
          <w:sz w:val="32"/>
          <w:szCs w:val="32"/>
          <w:highlight w:val="none"/>
        </w:rPr>
        <w:t>按綦发改〔2021〕17号执行</w:t>
      </w:r>
      <w:r>
        <w:rPr>
          <w:rFonts w:hint="eastAsia" w:ascii="方正仿宋_GBK" w:hAnsi="方正仿宋_GBK" w:eastAsia="方正仿宋_GBK" w:cs="方正仿宋_GBK"/>
          <w:color w:val="000000"/>
          <w:sz w:val="32"/>
          <w:szCs w:val="32"/>
          <w:highlight w:val="none"/>
        </w:rPr>
        <w:t>，经相关行业主管部门审核后使用。项目初步设计批复后，将投资概算报我委核定</w:t>
      </w:r>
      <w:r>
        <w:rPr>
          <w:rFonts w:hint="eastAsia" w:ascii="方正仿宋_GBK" w:hAnsi="方正仿宋_GBK" w:eastAsia="方正仿宋_GBK" w:cs="方正仿宋_GBK"/>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right="0" w:firstLine="640" w:firstLineChars="200"/>
        <w:jc w:val="both"/>
        <w:textAlignment w:val="auto"/>
        <w:rPr>
          <w:rFonts w:hint="eastAsia" w:ascii="方正仿宋_GBK" w:hAnsi="方正仿宋_GBK" w:eastAsia="方正仿宋_GBK" w:cs="方正仿宋_GBK"/>
          <w:highlight w:val="none"/>
        </w:rPr>
      </w:pPr>
      <w:r>
        <w:rPr>
          <w:rFonts w:hint="eastAsia" w:ascii="方正黑体_GBK" w:hAnsi="方正黑体_GBK" w:eastAsia="方正黑体_GBK" w:cs="方正黑体_GBK"/>
          <w:color w:val="000000"/>
          <w:sz w:val="32"/>
          <w:szCs w:val="32"/>
          <w:highlight w:val="none"/>
          <w:lang w:val="en-US" w:eastAsia="zh-CN"/>
        </w:rPr>
        <w:t>十、其他要求：</w:t>
      </w:r>
      <w:r>
        <w:rPr>
          <w:rFonts w:hint="eastAsia" w:ascii="方正仿宋_GBK" w:hAnsi="方正仿宋_GBK" w:eastAsia="方正仿宋_GBK" w:cs="方正仿宋_GBK"/>
          <w:color w:val="000000"/>
          <w:sz w:val="32"/>
          <w:szCs w:val="32"/>
          <w:highlight w:val="none"/>
          <w:lang w:val="en-US" w:eastAsia="zh-CN"/>
        </w:rPr>
        <w:t>本项目为大力实施以工代赈项目，根据《国家以工代赈管理办法》《关于印发重庆市綦江区贯彻落实在重点工程项目中大力实施以工代赈促进当地群众就业增收工作方案重点任务分工的通知》（綦江府办〔2023〕4 号）等文件要求，在项目设计、施工等建设内容或环节中，严格落实在重点工程项目中大力实施以工代赈的相关要求，积极采取以工代赈方式，组织当地群众参与务工，加强技能培训，并及时足额发放劳务报酬。</w:t>
      </w:r>
    </w:p>
    <w:p>
      <w:pPr>
        <w:keepNext w:val="0"/>
        <w:keepLines w:val="0"/>
        <w:pageBreakBefore w:val="0"/>
        <w:widowControl w:val="0"/>
        <w:kinsoku/>
        <w:wordWrap/>
        <w:overflowPunct/>
        <w:topLinePunct w:val="0"/>
        <w:autoSpaceDE/>
        <w:autoSpaceDN/>
        <w:bidi w:val="0"/>
        <w:adjustRightInd/>
        <w:snapToGrid/>
        <w:spacing w:line="576" w:lineRule="exact"/>
        <w:ind w:left="0" w:right="0" w:firstLine="3520" w:firstLineChars="1100"/>
        <w:jc w:val="right"/>
        <w:textAlignment w:val="auto"/>
        <w:rPr>
          <w:rFonts w:hint="eastAsia" w:ascii="方正仿宋_GBK" w:hAnsi="方正仿宋_GBK" w:eastAsia="方正仿宋_GBK" w:cs="方正仿宋_GBK"/>
          <w:color w:val="000000"/>
          <w:sz w:val="32"/>
          <w:szCs w:val="32"/>
        </w:rPr>
      </w:pPr>
    </w:p>
    <w:p>
      <w:pPr>
        <w:pStyle w:val="9"/>
        <w:keepNext w:val="0"/>
        <w:keepLines w:val="0"/>
        <w:pageBreakBefore w:val="0"/>
        <w:widowControl w:val="0"/>
        <w:kinsoku/>
        <w:wordWrap/>
        <w:overflowPunct/>
        <w:topLinePunct w:val="0"/>
        <w:autoSpaceDE/>
        <w:autoSpaceDN/>
        <w:bidi w:val="0"/>
        <w:spacing w:line="576" w:lineRule="exact"/>
        <w:textAlignment w:val="auto"/>
        <w:rPr>
          <w:rFonts w:hint="eastAsia" w:ascii="方正仿宋_GBK" w:hAnsi="方正仿宋_GBK" w:eastAsia="方正仿宋_GBK" w:cs="方正仿宋_GBK"/>
          <w:color w:val="000000"/>
          <w:sz w:val="32"/>
          <w:szCs w:val="32"/>
        </w:rPr>
      </w:pPr>
    </w:p>
    <w:p>
      <w:pPr>
        <w:pStyle w:val="9"/>
        <w:keepNext w:val="0"/>
        <w:keepLines w:val="0"/>
        <w:pageBreakBefore w:val="0"/>
        <w:widowControl w:val="0"/>
        <w:kinsoku/>
        <w:wordWrap/>
        <w:overflowPunct/>
        <w:topLinePunct w:val="0"/>
        <w:autoSpaceDE/>
        <w:autoSpaceDN/>
        <w:bidi w:val="0"/>
        <w:spacing w:line="576" w:lineRule="exact"/>
        <w:textAlignment w:val="auto"/>
        <w:rPr>
          <w:rFonts w:hint="eastAsia" w:ascii="方正仿宋_GBK" w:hAnsi="方正仿宋_GBK" w:eastAsia="方正仿宋_GBK" w:cs="方正仿宋_GBK"/>
          <w:color w:val="00000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right="0" w:firstLine="3520" w:firstLineChars="1100"/>
        <w:jc w:val="righ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重庆市綦江区发展和改革委员会</w:t>
      </w:r>
    </w:p>
    <w:p>
      <w:pPr>
        <w:keepNext w:val="0"/>
        <w:keepLines w:val="0"/>
        <w:pageBreakBefore w:val="0"/>
        <w:widowControl w:val="0"/>
        <w:kinsoku/>
        <w:wordWrap/>
        <w:overflowPunct/>
        <w:topLinePunct w:val="0"/>
        <w:autoSpaceDE/>
        <w:autoSpaceDN/>
        <w:bidi w:val="0"/>
        <w:adjustRightInd/>
        <w:snapToGrid/>
        <w:spacing w:line="576" w:lineRule="exact"/>
        <w:ind w:left="0" w:right="0" w:firstLine="5120" w:firstLineChars="1600"/>
        <w:jc w:val="both"/>
        <w:textAlignment w:val="auto"/>
        <w:rPr>
          <w:rFonts w:hint="eastAsia" w:ascii="方正仿宋_GBK" w:hAnsi="方正仿宋_GBK" w:eastAsia="方正仿宋_GBK" w:cs="方正仿宋_GBK"/>
          <w:color w:val="000000"/>
          <w:sz w:val="32"/>
          <w:szCs w:val="32"/>
        </w:rPr>
      </w:pPr>
      <w:bookmarkStart w:id="0" w:name="_GoBack"/>
      <w:bookmarkEnd w:id="0"/>
      <w:r>
        <w:rPr>
          <w:rFonts w:hint="eastAsia" w:ascii="方正仿宋_GBK" w:hAnsi="方正仿宋_GBK" w:eastAsia="方正仿宋_GBK" w:cs="方正仿宋_GBK"/>
          <w:color w:val="000000"/>
          <w:sz w:val="32"/>
          <w:szCs w:val="32"/>
        </w:rPr>
        <w:t xml:space="preserve"> 202</w:t>
      </w:r>
      <w:r>
        <w:rPr>
          <w:rFonts w:hint="eastAsia" w:ascii="方正仿宋_GBK" w:hAnsi="方正仿宋_GBK" w:eastAsia="方正仿宋_GBK" w:cs="方正仿宋_GBK"/>
          <w:color w:val="000000"/>
          <w:sz w:val="32"/>
          <w:szCs w:val="32"/>
          <w:lang w:val="en-US" w:eastAsia="zh-CN"/>
        </w:rPr>
        <w:t>5</w:t>
      </w:r>
      <w:r>
        <w:rPr>
          <w:rFonts w:hint="eastAsia" w:ascii="方正仿宋_GBK" w:hAnsi="方正仿宋_GBK" w:eastAsia="方正仿宋_GBK" w:cs="方正仿宋_GBK"/>
          <w:color w:val="000000"/>
          <w:sz w:val="32"/>
          <w:szCs w:val="32"/>
        </w:rPr>
        <w:t>年</w:t>
      </w:r>
      <w:r>
        <w:rPr>
          <w:rFonts w:hint="eastAsia" w:ascii="方正仿宋_GBK" w:hAnsi="方正仿宋_GBK" w:eastAsia="方正仿宋_GBK" w:cs="方正仿宋_GBK"/>
          <w:color w:val="000000"/>
          <w:sz w:val="32"/>
          <w:szCs w:val="32"/>
          <w:lang w:val="en-US" w:eastAsia="zh-CN"/>
        </w:rPr>
        <w:t>1</w:t>
      </w:r>
      <w:r>
        <w:rPr>
          <w:rFonts w:hint="eastAsia" w:ascii="方正仿宋_GBK" w:hAnsi="方正仿宋_GBK" w:eastAsia="方正仿宋_GBK" w:cs="方正仿宋_GBK"/>
          <w:color w:val="000000"/>
          <w:sz w:val="32"/>
          <w:szCs w:val="32"/>
        </w:rPr>
        <w:t>月</w:t>
      </w:r>
      <w:r>
        <w:rPr>
          <w:rFonts w:hint="eastAsia" w:ascii="方正仿宋_GBK" w:hAnsi="方正仿宋_GBK" w:eastAsia="方正仿宋_GBK" w:cs="方正仿宋_GBK"/>
          <w:color w:val="000000"/>
          <w:sz w:val="32"/>
          <w:szCs w:val="32"/>
          <w:lang w:val="en-US" w:eastAsia="zh-CN"/>
        </w:rPr>
        <w:t>9</w:t>
      </w:r>
      <w:r>
        <w:rPr>
          <w:rFonts w:hint="eastAsia" w:ascii="方正仿宋_GBK" w:hAnsi="方正仿宋_GBK" w:eastAsia="方正仿宋_GBK" w:cs="方正仿宋_GBK"/>
          <w:color w:val="000000"/>
          <w:sz w:val="32"/>
          <w:szCs w:val="32"/>
        </w:rPr>
        <w:t>日</w:t>
      </w:r>
    </w:p>
    <w:p>
      <w:pPr>
        <w:keepNext w:val="0"/>
        <w:keepLines w:val="0"/>
        <w:pageBreakBefore w:val="0"/>
        <w:widowControl w:val="0"/>
        <w:kinsoku/>
        <w:wordWrap/>
        <w:overflowPunct/>
        <w:topLinePunct w:val="0"/>
        <w:autoSpaceDE/>
        <w:autoSpaceDN/>
        <w:bidi w:val="0"/>
        <w:spacing w:line="576" w:lineRule="exact"/>
        <w:ind w:left="0" w:right="0"/>
        <w:jc w:val="both"/>
        <w:textAlignment w:val="auto"/>
        <w:rPr>
          <w:rFonts w:hint="eastAsia" w:ascii="方正仿宋_GBK" w:hAnsi="方正仿宋_GBK" w:eastAsia="方正仿宋_GBK" w:cs="方正仿宋_GBK"/>
          <w:color w:val="000000"/>
          <w:sz w:val="32"/>
          <w:szCs w:val="32"/>
        </w:rPr>
      </w:pPr>
    </w:p>
    <w:p>
      <w:pPr>
        <w:keepNext w:val="0"/>
        <w:keepLines w:val="0"/>
        <w:pageBreakBefore w:val="0"/>
        <w:widowControl w:val="0"/>
        <w:kinsoku/>
        <w:wordWrap/>
        <w:overflowPunct/>
        <w:topLinePunct w:val="0"/>
        <w:autoSpaceDE/>
        <w:autoSpaceDN/>
        <w:bidi w:val="0"/>
        <w:spacing w:line="576" w:lineRule="exact"/>
        <w:ind w:left="0" w:right="0"/>
        <w:jc w:val="both"/>
        <w:textAlignment w:val="auto"/>
        <w:rPr>
          <w:rFonts w:hint="eastAsia" w:ascii="方正仿宋_GBK" w:hAnsi="方正仿宋_GBK" w:eastAsia="方正仿宋_GBK" w:cs="方正仿宋_GBK"/>
          <w:color w:val="000000"/>
          <w:sz w:val="32"/>
          <w:szCs w:val="32"/>
        </w:rPr>
      </w:pPr>
    </w:p>
    <w:p>
      <w:pPr>
        <w:keepNext w:val="0"/>
        <w:keepLines w:val="0"/>
        <w:pageBreakBefore w:val="0"/>
        <w:widowControl w:val="0"/>
        <w:kinsoku/>
        <w:wordWrap/>
        <w:overflowPunct/>
        <w:topLinePunct w:val="0"/>
        <w:autoSpaceDE/>
        <w:autoSpaceDN/>
        <w:bidi w:val="0"/>
        <w:spacing w:line="576" w:lineRule="exact"/>
        <w:ind w:left="0" w:right="0"/>
        <w:jc w:val="both"/>
        <w:textAlignment w:val="auto"/>
        <w:rPr>
          <w:rFonts w:hint="eastAsia" w:ascii="方正仿宋_GBK" w:hAnsi="方正仿宋_GBK" w:eastAsia="方正仿宋_GBK" w:cs="方正仿宋_GBK"/>
          <w:color w:val="000000"/>
          <w:sz w:val="32"/>
          <w:szCs w:val="32"/>
        </w:rPr>
      </w:pPr>
    </w:p>
    <w:p>
      <w:pPr>
        <w:keepNext w:val="0"/>
        <w:keepLines w:val="0"/>
        <w:pageBreakBefore w:val="0"/>
        <w:widowControl w:val="0"/>
        <w:kinsoku/>
        <w:wordWrap/>
        <w:overflowPunct/>
        <w:topLinePunct w:val="0"/>
        <w:autoSpaceDE/>
        <w:autoSpaceDN/>
        <w:bidi w:val="0"/>
        <w:spacing w:line="576" w:lineRule="exact"/>
        <w:ind w:left="0" w:right="0"/>
        <w:jc w:val="both"/>
        <w:textAlignment w:val="auto"/>
        <w:rPr>
          <w:rFonts w:hint="eastAsia" w:ascii="方正仿宋_GBK" w:hAnsi="方正仿宋_GBK" w:eastAsia="方正仿宋_GBK" w:cs="方正仿宋_GBK"/>
          <w:color w:val="000000"/>
          <w:sz w:val="32"/>
          <w:szCs w:val="32"/>
        </w:rPr>
      </w:pPr>
    </w:p>
    <w:p>
      <w:pPr>
        <w:keepNext w:val="0"/>
        <w:keepLines w:val="0"/>
        <w:pageBreakBefore w:val="0"/>
        <w:widowControl w:val="0"/>
        <w:kinsoku/>
        <w:wordWrap/>
        <w:overflowPunct/>
        <w:topLinePunct w:val="0"/>
        <w:autoSpaceDE/>
        <w:autoSpaceDN/>
        <w:bidi w:val="0"/>
        <w:spacing w:line="576" w:lineRule="exact"/>
        <w:ind w:left="0" w:right="0"/>
        <w:jc w:val="both"/>
        <w:textAlignment w:val="auto"/>
        <w:rPr>
          <w:rFonts w:hint="eastAsia" w:ascii="方正仿宋_GBK" w:hAnsi="方正仿宋_GBK" w:eastAsia="方正仿宋_GBK" w:cs="方正仿宋_GBK"/>
          <w:color w:val="000000"/>
          <w:sz w:val="32"/>
          <w:szCs w:val="32"/>
        </w:rPr>
      </w:pPr>
    </w:p>
    <w:p>
      <w:pPr>
        <w:keepNext w:val="0"/>
        <w:keepLines w:val="0"/>
        <w:pageBreakBefore w:val="0"/>
        <w:widowControl w:val="0"/>
        <w:kinsoku/>
        <w:wordWrap/>
        <w:overflowPunct/>
        <w:topLinePunct w:val="0"/>
        <w:autoSpaceDE/>
        <w:autoSpaceDN/>
        <w:bidi w:val="0"/>
        <w:spacing w:line="576" w:lineRule="exact"/>
        <w:ind w:left="0" w:right="0"/>
        <w:jc w:val="both"/>
        <w:textAlignment w:val="auto"/>
        <w:rPr>
          <w:rFonts w:hint="eastAsia" w:ascii="方正仿宋_GBK" w:hAnsi="方正仿宋_GBK" w:eastAsia="方正仿宋_GBK" w:cs="方正仿宋_GBK"/>
          <w:color w:val="000000"/>
          <w:sz w:val="32"/>
          <w:szCs w:val="32"/>
        </w:rPr>
      </w:pPr>
    </w:p>
    <w:p>
      <w:pPr>
        <w:keepNext w:val="0"/>
        <w:keepLines w:val="0"/>
        <w:pageBreakBefore w:val="0"/>
        <w:widowControl w:val="0"/>
        <w:kinsoku/>
        <w:wordWrap/>
        <w:overflowPunct/>
        <w:topLinePunct w:val="0"/>
        <w:autoSpaceDE/>
        <w:autoSpaceDN/>
        <w:bidi w:val="0"/>
        <w:spacing w:line="576" w:lineRule="exact"/>
        <w:ind w:left="0" w:right="0"/>
        <w:jc w:val="both"/>
        <w:textAlignment w:val="auto"/>
        <w:rPr>
          <w:rFonts w:hint="eastAsia" w:ascii="方正仿宋_GBK" w:hAnsi="方正仿宋_GBK" w:eastAsia="方正仿宋_GBK" w:cs="方正仿宋_GBK"/>
          <w:color w:val="000000"/>
          <w:sz w:val="32"/>
          <w:szCs w:val="32"/>
        </w:rPr>
      </w:pPr>
    </w:p>
    <w:p>
      <w:pPr>
        <w:snapToGrid w:val="0"/>
        <w:spacing w:line="570" w:lineRule="exact"/>
        <w:jc w:val="left"/>
        <w:rPr>
          <w:rFonts w:hint="eastAsia" w:ascii="方正仿宋_GBK" w:hAnsi="方正仿宋_GBK" w:eastAsia="方正仿宋_GBK" w:cs="方正仿宋_GBK"/>
          <w:sz w:val="28"/>
          <w:szCs w:val="28"/>
          <w:lang w:val="en-US" w:eastAsia="zh-CN"/>
        </w:rPr>
      </w:pPr>
    </w:p>
    <w:sectPr>
      <w:headerReference r:id="rId3" w:type="default"/>
      <w:footerReference r:id="rId4" w:type="default"/>
      <w:footerReference r:id="rId5" w:type="even"/>
      <w:pgSz w:w="11906" w:h="16838"/>
      <w:pgMar w:top="2098" w:right="1474" w:bottom="1985" w:left="1588" w:header="851" w:footer="1418"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1"/>
        <w:rFonts w:ascii="宋体" w:hAnsi="宋体"/>
        <w:sz w:val="24"/>
        <w:szCs w:val="24"/>
      </w:rPr>
    </w:pPr>
    <w:r>
      <w:rPr>
        <w:rFonts w:hint="eastAsia" w:ascii="宋体" w:hAnsi="宋体"/>
        <w:sz w:val="24"/>
        <w:szCs w:val="24"/>
      </w:rPr>
      <w:fldChar w:fldCharType="begin"/>
    </w:r>
    <w:r>
      <w:rPr>
        <w:rStyle w:val="11"/>
        <w:rFonts w:hint="eastAsia" w:ascii="宋体" w:hAnsi="宋体"/>
        <w:sz w:val="24"/>
        <w:szCs w:val="24"/>
      </w:rPr>
      <w:instrText xml:space="preserve">PAGE  </w:instrText>
    </w:r>
    <w:r>
      <w:rPr>
        <w:rFonts w:hint="eastAsia" w:ascii="宋体" w:hAnsi="宋体"/>
        <w:sz w:val="24"/>
        <w:szCs w:val="24"/>
      </w:rPr>
      <w:fldChar w:fldCharType="separate"/>
    </w:r>
    <w:r>
      <w:rPr>
        <w:rStyle w:val="11"/>
        <w:rFonts w:ascii="宋体" w:hAnsi="宋体"/>
        <w:sz w:val="24"/>
        <w:szCs w:val="24"/>
      </w:rPr>
      <w:t>- 2 -</w:t>
    </w:r>
    <w:r>
      <w:rPr>
        <w:rFonts w:hint="eastAsia" w:ascii="宋体" w:hAnsi="宋体"/>
        <w:sz w:val="24"/>
        <w:szCs w:val="24"/>
      </w:rPr>
      <w:fldChar w:fldCharType="end"/>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1"/>
      </w:rPr>
    </w:pPr>
    <w:r>
      <w:fldChar w:fldCharType="begin"/>
    </w:r>
    <w:r>
      <w:rPr>
        <w:rStyle w:val="11"/>
      </w:rPr>
      <w:instrText xml:space="preserve">PAGE  </w:instrText>
    </w:r>
    <w:r>
      <w:fldChar w:fldCharType="separate"/>
    </w:r>
    <w:r>
      <w:rPr>
        <w:rStyle w:val="11"/>
      </w:rPr>
      <w:t>- 2 -</w:t>
    </w:r>
    <w:r>
      <w:fldChar w:fldCharType="end"/>
    </w:r>
  </w:p>
  <w:p>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559891"/>
    <w:multiLevelType w:val="singleLevel"/>
    <w:tmpl w:val="CE559891"/>
    <w:lvl w:ilvl="0" w:tentative="0">
      <w:start w:val="1"/>
      <w:numFmt w:val="chineseCounting"/>
      <w:suff w:val="nothing"/>
      <w:lvlText w:val="%1、"/>
      <w:lvlJc w:val="left"/>
      <w:rPr>
        <w:rFonts w:hint="eastAsia" w:ascii="方正黑体_GBK" w:hAnsi="方正黑体_GBK" w:eastAsia="方正黑体_GBK" w:cs="方正黑体_GB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Q2YTMyZjQ4NTBjOWZlN2UxNWMzMWI1ZTljZmVkYjIifQ=="/>
  </w:docVars>
  <w:rsids>
    <w:rsidRoot w:val="00172A27"/>
    <w:rsid w:val="000004F9"/>
    <w:rsid w:val="00007F7F"/>
    <w:rsid w:val="00013B4B"/>
    <w:rsid w:val="00017AED"/>
    <w:rsid w:val="0002159D"/>
    <w:rsid w:val="0002385C"/>
    <w:rsid w:val="00090962"/>
    <w:rsid w:val="000E319F"/>
    <w:rsid w:val="00154F9D"/>
    <w:rsid w:val="00157C22"/>
    <w:rsid w:val="00172A27"/>
    <w:rsid w:val="001B1299"/>
    <w:rsid w:val="001C2AB5"/>
    <w:rsid w:val="001E018B"/>
    <w:rsid w:val="00231A8C"/>
    <w:rsid w:val="002332A0"/>
    <w:rsid w:val="00233E65"/>
    <w:rsid w:val="00271A28"/>
    <w:rsid w:val="00290AB5"/>
    <w:rsid w:val="002D4ED0"/>
    <w:rsid w:val="0037008F"/>
    <w:rsid w:val="00390007"/>
    <w:rsid w:val="003A16ED"/>
    <w:rsid w:val="003B5EE9"/>
    <w:rsid w:val="003C274D"/>
    <w:rsid w:val="003F12CA"/>
    <w:rsid w:val="00430FF3"/>
    <w:rsid w:val="00466C43"/>
    <w:rsid w:val="00545263"/>
    <w:rsid w:val="005D4BA4"/>
    <w:rsid w:val="005E7A0D"/>
    <w:rsid w:val="00604E00"/>
    <w:rsid w:val="00624DBE"/>
    <w:rsid w:val="0063476A"/>
    <w:rsid w:val="00656F42"/>
    <w:rsid w:val="006924F8"/>
    <w:rsid w:val="00754C68"/>
    <w:rsid w:val="0079567D"/>
    <w:rsid w:val="007C1A74"/>
    <w:rsid w:val="007D09D2"/>
    <w:rsid w:val="007D343B"/>
    <w:rsid w:val="007D7F0C"/>
    <w:rsid w:val="00830EE7"/>
    <w:rsid w:val="00894752"/>
    <w:rsid w:val="008A6878"/>
    <w:rsid w:val="008B2B29"/>
    <w:rsid w:val="008F3A13"/>
    <w:rsid w:val="009376F1"/>
    <w:rsid w:val="00945F3A"/>
    <w:rsid w:val="009A58AA"/>
    <w:rsid w:val="009B388D"/>
    <w:rsid w:val="00A06AD6"/>
    <w:rsid w:val="00A13879"/>
    <w:rsid w:val="00A93735"/>
    <w:rsid w:val="00B7155A"/>
    <w:rsid w:val="00BC24CE"/>
    <w:rsid w:val="00BE0CB1"/>
    <w:rsid w:val="00C36C37"/>
    <w:rsid w:val="00C470D7"/>
    <w:rsid w:val="00C905B6"/>
    <w:rsid w:val="00CE4E7F"/>
    <w:rsid w:val="00D35DFA"/>
    <w:rsid w:val="00DF6634"/>
    <w:rsid w:val="00E066B8"/>
    <w:rsid w:val="00E71F55"/>
    <w:rsid w:val="00E906A1"/>
    <w:rsid w:val="00E90880"/>
    <w:rsid w:val="00F04277"/>
    <w:rsid w:val="00F263F5"/>
    <w:rsid w:val="00F449A9"/>
    <w:rsid w:val="00F54275"/>
    <w:rsid w:val="00F84344"/>
    <w:rsid w:val="00F93B6D"/>
    <w:rsid w:val="00F9489E"/>
    <w:rsid w:val="00FA1580"/>
    <w:rsid w:val="00FE1229"/>
    <w:rsid w:val="010C291F"/>
    <w:rsid w:val="02AF0502"/>
    <w:rsid w:val="033306B7"/>
    <w:rsid w:val="03867AA9"/>
    <w:rsid w:val="058C1283"/>
    <w:rsid w:val="06BA1F9A"/>
    <w:rsid w:val="06BC498C"/>
    <w:rsid w:val="07115D2E"/>
    <w:rsid w:val="082D06DA"/>
    <w:rsid w:val="094C2E67"/>
    <w:rsid w:val="0CA3695A"/>
    <w:rsid w:val="0CA77357"/>
    <w:rsid w:val="0CC6182E"/>
    <w:rsid w:val="0F8D6527"/>
    <w:rsid w:val="0FF843CF"/>
    <w:rsid w:val="12382409"/>
    <w:rsid w:val="12836DE1"/>
    <w:rsid w:val="128643D9"/>
    <w:rsid w:val="13275678"/>
    <w:rsid w:val="133211D5"/>
    <w:rsid w:val="13BF21E6"/>
    <w:rsid w:val="147F4D9B"/>
    <w:rsid w:val="15866D34"/>
    <w:rsid w:val="178C7147"/>
    <w:rsid w:val="18D32DE4"/>
    <w:rsid w:val="1A142666"/>
    <w:rsid w:val="1A434FCB"/>
    <w:rsid w:val="1C5C6539"/>
    <w:rsid w:val="1FB54179"/>
    <w:rsid w:val="1FFA5F7B"/>
    <w:rsid w:val="20580551"/>
    <w:rsid w:val="20A06C98"/>
    <w:rsid w:val="21185DD7"/>
    <w:rsid w:val="2163105C"/>
    <w:rsid w:val="21C56C9C"/>
    <w:rsid w:val="23B41737"/>
    <w:rsid w:val="24205F28"/>
    <w:rsid w:val="258B31D9"/>
    <w:rsid w:val="265B1512"/>
    <w:rsid w:val="26C3673D"/>
    <w:rsid w:val="272054F2"/>
    <w:rsid w:val="27F12CAE"/>
    <w:rsid w:val="27F138FF"/>
    <w:rsid w:val="28834142"/>
    <w:rsid w:val="2978798F"/>
    <w:rsid w:val="2AA0743A"/>
    <w:rsid w:val="2C7C03C2"/>
    <w:rsid w:val="2D262DB3"/>
    <w:rsid w:val="2D5B6168"/>
    <w:rsid w:val="2E9438DF"/>
    <w:rsid w:val="2FF365F5"/>
    <w:rsid w:val="300503FB"/>
    <w:rsid w:val="329428EA"/>
    <w:rsid w:val="350E76DD"/>
    <w:rsid w:val="35D61FF8"/>
    <w:rsid w:val="363C35DE"/>
    <w:rsid w:val="369D2BBB"/>
    <w:rsid w:val="388F46E2"/>
    <w:rsid w:val="38A2172B"/>
    <w:rsid w:val="3A512C00"/>
    <w:rsid w:val="3AFF752E"/>
    <w:rsid w:val="3ED93369"/>
    <w:rsid w:val="3FBF4405"/>
    <w:rsid w:val="403B3F9F"/>
    <w:rsid w:val="41905B00"/>
    <w:rsid w:val="425E353C"/>
    <w:rsid w:val="42CB6D3A"/>
    <w:rsid w:val="44E430D8"/>
    <w:rsid w:val="45022E3B"/>
    <w:rsid w:val="4503219B"/>
    <w:rsid w:val="47F727B3"/>
    <w:rsid w:val="494A467B"/>
    <w:rsid w:val="49F431A0"/>
    <w:rsid w:val="4B561B74"/>
    <w:rsid w:val="4C8457B2"/>
    <w:rsid w:val="4D676041"/>
    <w:rsid w:val="4DE751BD"/>
    <w:rsid w:val="4E543767"/>
    <w:rsid w:val="4E9C52B1"/>
    <w:rsid w:val="4FB751C2"/>
    <w:rsid w:val="54C96528"/>
    <w:rsid w:val="54EC7246"/>
    <w:rsid w:val="573D3A2E"/>
    <w:rsid w:val="576C4A51"/>
    <w:rsid w:val="577761DA"/>
    <w:rsid w:val="578078FF"/>
    <w:rsid w:val="58BA055D"/>
    <w:rsid w:val="597A60CC"/>
    <w:rsid w:val="5988234A"/>
    <w:rsid w:val="5A3611BE"/>
    <w:rsid w:val="5C291D96"/>
    <w:rsid w:val="5C2C3D5F"/>
    <w:rsid w:val="5C4D5A41"/>
    <w:rsid w:val="5D520E1B"/>
    <w:rsid w:val="5DC00C6E"/>
    <w:rsid w:val="5E0B2048"/>
    <w:rsid w:val="5EB06A4D"/>
    <w:rsid w:val="5EBB2FA9"/>
    <w:rsid w:val="5FCE2165"/>
    <w:rsid w:val="6213708B"/>
    <w:rsid w:val="640351D5"/>
    <w:rsid w:val="640D116D"/>
    <w:rsid w:val="64617F2F"/>
    <w:rsid w:val="64823D6A"/>
    <w:rsid w:val="65BA13BC"/>
    <w:rsid w:val="66012AB7"/>
    <w:rsid w:val="663C3D33"/>
    <w:rsid w:val="672D6515"/>
    <w:rsid w:val="67CF42D7"/>
    <w:rsid w:val="6808358A"/>
    <w:rsid w:val="69C95C3B"/>
    <w:rsid w:val="6A021292"/>
    <w:rsid w:val="6A2E4B7D"/>
    <w:rsid w:val="6B0451FB"/>
    <w:rsid w:val="6C325A15"/>
    <w:rsid w:val="6C6F1076"/>
    <w:rsid w:val="6D2D526A"/>
    <w:rsid w:val="6FA8174B"/>
    <w:rsid w:val="7033715C"/>
    <w:rsid w:val="71171DC0"/>
    <w:rsid w:val="71A96856"/>
    <w:rsid w:val="7382358F"/>
    <w:rsid w:val="746F0A96"/>
    <w:rsid w:val="74961F24"/>
    <w:rsid w:val="749F0373"/>
    <w:rsid w:val="752B62D9"/>
    <w:rsid w:val="75687D1A"/>
    <w:rsid w:val="76133985"/>
    <w:rsid w:val="76F035ED"/>
    <w:rsid w:val="77E65BEB"/>
    <w:rsid w:val="78196932"/>
    <w:rsid w:val="783009ED"/>
    <w:rsid w:val="78E22BB8"/>
    <w:rsid w:val="795B40DC"/>
    <w:rsid w:val="7BE64F7C"/>
    <w:rsid w:val="7C1363F1"/>
    <w:rsid w:val="7D327099"/>
    <w:rsid w:val="7E7A06C7"/>
    <w:rsid w:val="7EDD0FCF"/>
    <w:rsid w:val="7F0664A2"/>
    <w:rsid w:val="7F8D0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3">
    <w:name w:val="Body Text First Indent"/>
    <w:basedOn w:val="1"/>
    <w:qFormat/>
    <w:uiPriority w:val="99"/>
    <w:pPr>
      <w:spacing w:after="120"/>
      <w:ind w:firstLine="420" w:firstLineChars="100"/>
    </w:pPr>
    <w:rPr>
      <w:szCs w:val="28"/>
    </w:rPr>
  </w:style>
  <w:style w:type="paragraph" w:styleId="4">
    <w:name w:val="Plain Text"/>
    <w:basedOn w:val="1"/>
    <w:qFormat/>
    <w:uiPriority w:val="0"/>
    <w:rPr>
      <w:rFonts w:ascii="宋体" w:hAnsi="Courier New"/>
      <w:szCs w:val="20"/>
    </w:r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99"/>
    <w:rPr>
      <w:rFonts w:ascii="Courier New" w:hAnsi="Courier New"/>
      <w:sz w:val="20"/>
    </w:rPr>
  </w:style>
  <w:style w:type="character" w:styleId="11">
    <w:name w:val="page number"/>
    <w:basedOn w:val="10"/>
    <w:qFormat/>
    <w:uiPriority w:val="0"/>
  </w:style>
  <w:style w:type="character" w:styleId="12">
    <w:name w:val="Emphasis"/>
    <w:basedOn w:val="10"/>
    <w:qFormat/>
    <w:uiPriority w:val="0"/>
    <w:rPr>
      <w:i/>
    </w:rPr>
  </w:style>
  <w:style w:type="character" w:customStyle="1" w:styleId="14">
    <w:name w:val="H-正文格式 Char"/>
    <w:link w:val="15"/>
    <w:qFormat/>
    <w:uiPriority w:val="0"/>
    <w:rPr>
      <w:kern w:val="2"/>
      <w:sz w:val="24"/>
      <w:szCs w:val="22"/>
    </w:rPr>
  </w:style>
  <w:style w:type="paragraph" w:customStyle="1" w:styleId="15">
    <w:name w:val="H-正文格式"/>
    <w:basedOn w:val="1"/>
    <w:link w:val="14"/>
    <w:qFormat/>
    <w:uiPriority w:val="0"/>
    <w:pPr>
      <w:spacing w:line="360" w:lineRule="auto"/>
      <w:ind w:firstLine="480" w:firstLineChars="200"/>
    </w:pPr>
    <w:rPr>
      <w:sz w:val="24"/>
      <w:szCs w:val="22"/>
    </w:rPr>
  </w:style>
  <w:style w:type="character" w:customStyle="1" w:styleId="16">
    <w:name w:val="font031"/>
    <w:basedOn w:val="10"/>
    <w:qFormat/>
    <w:uiPriority w:val="0"/>
    <w:rPr>
      <w:rFonts w:hint="default" w:ascii="ˎ̥" w:hAnsi="ˎ̥"/>
      <w:sz w:val="21"/>
      <w:szCs w:val="21"/>
      <w:u w:val="none"/>
    </w:rPr>
  </w:style>
  <w:style w:type="paragraph" w:customStyle="1" w:styleId="17">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番茄花园</Company>
  <Pages>4</Pages>
  <Words>1006</Words>
  <Characters>1143</Characters>
  <Lines>6</Lines>
  <Paragraphs>1</Paragraphs>
  <ScaleCrop>false</ScaleCrop>
  <LinksUpToDate>false</LinksUpToDate>
  <CharactersWithSpaces>1202</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2022-08-10T08:16:00Z</dcterms:created>
  <dc:creator>番茄花园</dc:creator>
  <cp:lastModifiedBy>Administrator</cp:lastModifiedBy>
  <cp:lastPrinted>2024-09-05T08:26:00Z</cp:lastPrinted>
  <dcterms:modified xsi:type="dcterms:W3CDTF">2025-01-10T09:16:16Z</dcterms:modified>
  <dc:title>綦计〔2007〕　号　　　　　　　　　　　签发人：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82C06E73B50B4A8DA99AFEAAFF06201B</vt:lpwstr>
  </property>
  <property fmtid="{D5CDD505-2E9C-101B-9397-08002B2CF9AE}" pid="4" name="KSOTemplateDocerSaveRecord">
    <vt:lpwstr>eyJoZGlkIjoiMmQ2YTMyZjQ4NTBjOWZlN2UxNWMzMWI1ZTljZmVkYjIiLCJ1c2VySWQiOiIxMTU1ODk2NzgzIn0=</vt:lpwstr>
  </property>
</Properties>
</file>