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綦发改审批〔2024〕2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号</w:t>
      </w:r>
    </w:p>
    <w:p>
      <w:pPr>
        <w:spacing w:line="570" w:lineRule="exact"/>
        <w:rPr>
          <w:rFonts w:hint="eastAsia" w:ascii="方正仿宋_GBK" w:hAnsi="方正仿宋_GBK" w:eastAsia="方正仿宋_GBK" w:cs="方正仿宋_GBK"/>
          <w:color w:val="000000"/>
          <w:sz w:val="44"/>
          <w:szCs w:val="44"/>
        </w:rPr>
      </w:pPr>
    </w:p>
    <w:p>
      <w:pPr>
        <w:spacing w:line="570" w:lineRule="exact"/>
        <w:rPr>
          <w:rFonts w:hint="eastAsia" w:ascii="方正仿宋_GBK" w:hAnsi="方正仿宋_GBK" w:eastAsia="方正仿宋_GBK" w:cs="方正仿宋_GBK"/>
          <w:color w:val="000000"/>
          <w:sz w:val="44"/>
          <w:szCs w:val="44"/>
        </w:rPr>
      </w:pPr>
    </w:p>
    <w:p>
      <w:pPr>
        <w:spacing w:line="57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重庆市綦江区发展和改革委员会</w:t>
      </w:r>
    </w:p>
    <w:p>
      <w:pPr>
        <w:spacing w:line="57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关于调整綦江区通惠街道登瀛社区老旧小区</w:t>
      </w:r>
    </w:p>
    <w:p>
      <w:pPr>
        <w:spacing w:line="57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改造配套基础设施项目可行性研究报告的批复</w:t>
      </w:r>
    </w:p>
    <w:p>
      <w:pPr>
        <w:spacing w:line="570" w:lineRule="exact"/>
        <w:rPr>
          <w:rFonts w:hint="eastAsia" w:ascii="方正小标宋_GBK" w:hAnsi="方正小标宋_GBK" w:eastAsia="方正小标宋_GBK" w:cs="方正小标宋_GBK"/>
          <w:sz w:val="32"/>
          <w:szCs w:val="32"/>
        </w:rPr>
      </w:pPr>
    </w:p>
    <w:p>
      <w:pPr>
        <w:spacing w:line="57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重庆市綦江区人民政府通惠街道办事处：</w:t>
      </w:r>
    </w:p>
    <w:p>
      <w:pPr>
        <w:spacing w:line="570" w:lineRule="exact"/>
        <w:ind w:firstLine="640" w:firstLineChars="200"/>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rPr>
        <w:t>你单位《关于申请调整綦江区通惠街道登瀛社区老旧小区改造配套基础设施项目可行性研究报告的请示》（通惠街办函〔2024〕13号）及相关文件收悉，根据信宇腾远工程咨询集团有限公司</w:t>
      </w:r>
      <w:r>
        <w:rPr>
          <w:rFonts w:hint="eastAsia" w:ascii="方正仿宋_GBK" w:hAnsi="方正仿宋_GBK" w:eastAsia="方正仿宋_GBK" w:cs="方正仿宋_GBK"/>
          <w:color w:val="000000"/>
          <w:sz w:val="32"/>
          <w:szCs w:val="32"/>
          <w:lang w:val="zh-CN"/>
        </w:rPr>
        <w:t>的</w:t>
      </w:r>
      <w:r>
        <w:rPr>
          <w:rFonts w:hint="eastAsia" w:ascii="方正仿宋_GBK" w:hAnsi="方正仿宋_GBK" w:eastAsia="方正仿宋_GBK" w:cs="方正仿宋_GBK"/>
          <w:color w:val="000000"/>
          <w:sz w:val="32"/>
          <w:szCs w:val="32"/>
        </w:rPr>
        <w:t>评估意见，经我委研究，原则</w:t>
      </w:r>
      <w:r>
        <w:rPr>
          <w:rFonts w:hint="eastAsia" w:ascii="方正仿宋_GBK" w:hAnsi="方正仿宋_GBK" w:eastAsia="方正仿宋_GBK" w:cs="方正仿宋_GBK"/>
          <w:sz w:val="32"/>
          <w:szCs w:val="32"/>
        </w:rPr>
        <w:t>同意中图设计有限公司编制的该项目可行性研究报告，调整该项目建设内容、投资金额</w:t>
      </w:r>
      <w:r>
        <w:rPr>
          <w:rFonts w:hint="eastAsia" w:ascii="方正仿宋_GBK" w:hAnsi="方正仿宋_GBK" w:eastAsia="方正仿宋_GBK" w:cs="方正仿宋_GBK"/>
          <w:color w:val="000000"/>
          <w:sz w:val="32"/>
          <w:szCs w:val="32"/>
          <w:lang w:val="zh-CN"/>
        </w:rPr>
        <w:t xml:space="preserve">，现将有关事项批复如下： </w:t>
      </w:r>
    </w:p>
    <w:p>
      <w:pPr>
        <w:numPr>
          <w:ilvl w:val="0"/>
          <w:numId w:val="1"/>
        </w:numPr>
        <w:spacing w:line="570"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项目名称：</w:t>
      </w:r>
      <w:r>
        <w:rPr>
          <w:rFonts w:hint="eastAsia" w:ascii="方正仿宋_GBK" w:hAnsi="方正仿宋_GBK" w:eastAsia="方正仿宋_GBK" w:cs="方正仿宋_GBK"/>
          <w:color w:val="000000"/>
          <w:sz w:val="32"/>
          <w:szCs w:val="32"/>
        </w:rPr>
        <w:t>綦江区通惠街道登瀛社区老旧小区改造配套基础设施项目</w:t>
      </w:r>
    </w:p>
    <w:p>
      <w:pPr>
        <w:numPr>
          <w:ilvl w:val="0"/>
          <w:numId w:val="1"/>
        </w:numPr>
        <w:spacing w:line="570"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项目代码：</w:t>
      </w:r>
      <w:r>
        <w:rPr>
          <w:rFonts w:hint="eastAsia" w:ascii="方正仿宋_GBK" w:hAnsi="方正仿宋_GBK" w:eastAsia="方正仿宋_GBK" w:cs="方正仿宋_GBK"/>
          <w:color w:val="000000"/>
          <w:sz w:val="32"/>
          <w:szCs w:val="32"/>
        </w:rPr>
        <w:t>2302-500110-04-05-555626</w:t>
      </w:r>
    </w:p>
    <w:p>
      <w:pPr>
        <w:spacing w:line="570"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三、项目业主：</w:t>
      </w:r>
      <w:r>
        <w:rPr>
          <w:rFonts w:hint="eastAsia" w:ascii="方正仿宋_GBK" w:hAnsi="方正仿宋_GBK" w:eastAsia="方正仿宋_GBK" w:cs="方正仿宋_GBK"/>
          <w:color w:val="000000"/>
          <w:sz w:val="32"/>
          <w:szCs w:val="32"/>
        </w:rPr>
        <w:t>重庆市綦江区人民政府通惠街道办事处</w:t>
      </w:r>
    </w:p>
    <w:p>
      <w:pPr>
        <w:spacing w:line="570"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四、建设地点：</w:t>
      </w:r>
      <w:r>
        <w:rPr>
          <w:rFonts w:hint="eastAsia" w:ascii="方正仿宋_GBK" w:hAnsi="方正仿宋_GBK" w:eastAsia="方正仿宋_GBK" w:cs="方正仿宋_GBK"/>
          <w:sz w:val="32"/>
          <w:szCs w:val="32"/>
        </w:rPr>
        <w:t>綦江区通惠街道</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五、规模及主要建设内容：</w:t>
      </w:r>
      <w:r>
        <w:rPr>
          <w:rFonts w:hint="eastAsia" w:ascii="方正仿宋_GBK" w:hAnsi="方正仿宋_GBK" w:eastAsia="方正仿宋_GBK" w:cs="方正仿宋_GBK"/>
          <w:color w:val="000000"/>
          <w:sz w:val="32"/>
          <w:szCs w:val="32"/>
        </w:rPr>
        <w:t>主要包括配套建设管网运维服务中心约7161.15平方米，室外水电气管网约650米，道路及附属设施约4282.89平方米。</w:t>
      </w:r>
    </w:p>
    <w:p>
      <w:pPr>
        <w:spacing w:line="570" w:lineRule="exact"/>
        <w:ind w:firstLine="640" w:firstLineChars="200"/>
        <w:rPr>
          <w:rStyle w:val="14"/>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六、总投资及资金来源：</w:t>
      </w:r>
      <w:r>
        <w:rPr>
          <w:rFonts w:hint="eastAsia" w:ascii="方正仿宋_GBK" w:hAnsi="方正仿宋_GBK" w:eastAsia="方正仿宋_GBK" w:cs="方正仿宋_GBK"/>
          <w:color w:val="000000"/>
          <w:sz w:val="32"/>
          <w:szCs w:val="32"/>
        </w:rPr>
        <w:t xml:space="preserve">项目估算总投资为5029.83万元，其中，工程费用4204.55万元，工程建设其他费用452.7万元，预备费372.58 万元。资金来源为上级补助及区级财政。 </w:t>
      </w:r>
    </w:p>
    <w:p>
      <w:pPr>
        <w:spacing w:line="570" w:lineRule="exact"/>
        <w:ind w:firstLine="480" w:firstLineChars="15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 xml:space="preserve"> 七、建设工期：</w:t>
      </w:r>
      <w:r>
        <w:rPr>
          <w:rFonts w:hint="eastAsia" w:ascii="方正仿宋_GBK" w:hAnsi="方正仿宋_GBK" w:eastAsia="方正仿宋_GBK" w:cs="方正仿宋_GBK"/>
          <w:color w:val="000000"/>
          <w:sz w:val="32"/>
          <w:szCs w:val="32"/>
        </w:rPr>
        <w:t>共计18个月。</w:t>
      </w:r>
    </w:p>
    <w:p>
      <w:pPr>
        <w:spacing w:line="570"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八、招标核准：</w:t>
      </w:r>
      <w:r>
        <w:rPr>
          <w:rFonts w:hint="eastAsia" w:ascii="方正仿宋_GBK" w:hAnsi="方正仿宋_GBK" w:eastAsia="方正仿宋_GBK" w:cs="方正仿宋_GBK"/>
          <w:color w:val="000000"/>
          <w:sz w:val="32"/>
          <w:szCs w:val="32"/>
        </w:rPr>
        <w:t>招标范围为施工，招标方式为公开招标，招标组织形式为委托招标。招标文件报公共资源交易监督管理部门备案后在指定媒介公开发布。与工程建设相关限额以下的勘察、设计、监理等服务及主要设备和材料采购的发包，按綦江府办发〔2021〕4号文件有关规定执行。</w:t>
      </w:r>
    </w:p>
    <w:p>
      <w:pPr>
        <w:spacing w:line="576"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九、</w:t>
      </w:r>
      <w:r>
        <w:rPr>
          <w:rFonts w:hint="eastAsia" w:ascii="方正仿宋_GBK" w:hAnsi="方正仿宋_GBK" w:eastAsia="方正仿宋_GBK" w:cs="方正仿宋_GBK"/>
          <w:color w:val="000000"/>
          <w:sz w:val="32"/>
          <w:szCs w:val="32"/>
        </w:rPr>
        <w:t>项目概算编制及评审、预算、决算审计等服务，单项合同估算价在国家规定的必须招标限额以下且在国家规定的必须招标范围之外的，</w:t>
      </w:r>
      <w:r>
        <w:rPr>
          <w:rFonts w:hint="eastAsia" w:ascii="方正仿宋_GBK" w:hAnsi="方正仿宋_GBK" w:eastAsia="方正仿宋_GBK" w:cs="方正仿宋_GBK"/>
          <w:sz w:val="32"/>
          <w:szCs w:val="32"/>
        </w:rPr>
        <w:t>按綦发改〔2021〕17号执行</w:t>
      </w:r>
      <w:r>
        <w:rPr>
          <w:rFonts w:hint="eastAsia" w:ascii="方正仿宋_GBK" w:hAnsi="方正仿宋_GBK" w:eastAsia="方正仿宋_GBK" w:cs="方正仿宋_GBK"/>
          <w:color w:val="000000"/>
          <w:sz w:val="32"/>
          <w:szCs w:val="32"/>
        </w:rPr>
        <w:t>，经相关行业主管部门审核后使用。项目初步设计批复后，将投资概算报我委核定。</w:t>
      </w:r>
    </w:p>
    <w:p>
      <w:pPr>
        <w:pStyle w:val="3"/>
        <w:spacing w:line="576"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kern w:val="2"/>
          <w:sz w:val="32"/>
          <w:szCs w:val="32"/>
          <w:lang w:val="en-US" w:eastAsia="zh-CN" w:bidi="ar-SA"/>
        </w:rPr>
        <w:t>十、其他要求：</w:t>
      </w:r>
      <w:r>
        <w:rPr>
          <w:rFonts w:hint="eastAsia" w:ascii="方正仿宋_GBK" w:hAnsi="方正仿宋_GBK" w:eastAsia="方正仿宋_GBK" w:cs="方正仿宋_GBK"/>
          <w:color w:val="000000"/>
          <w:sz w:val="32"/>
          <w:szCs w:val="32"/>
        </w:rPr>
        <w:t>本项目为大力实施以工代赈项目，根据《国家以工代赈管理办法》《关于印发重庆市綦江区贯彻落实在重点工程项目中大力实施以工代赈促进当地群众就业增收工作方案重点任务分工的通知》（綦江府办〔2023〕4号）等文件要求，在项目设计、施工等建设内容或环节中，严格落实在重点工程项目中大力实施以工代赈的相关要求，积极采取以工代赈方式，组织当地群众参与务工，加强技能培训，并及时足额发放劳务报酬。</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原批复文件《关于</w:t>
      </w:r>
      <w:r>
        <w:rPr>
          <w:rFonts w:hint="eastAsia" w:ascii="方正仿宋_GBK" w:hAnsi="方正仿宋_GBK" w:eastAsia="方正仿宋_GBK" w:cs="方正仿宋_GBK"/>
          <w:color w:val="000000"/>
          <w:sz w:val="32"/>
          <w:szCs w:val="32"/>
        </w:rPr>
        <w:t>綦江区通惠街道登瀛社区老旧小区改造配套基础设施项目</w:t>
      </w:r>
      <w:r>
        <w:rPr>
          <w:rFonts w:hint="eastAsia" w:ascii="方正仿宋_GBK" w:hAnsi="方正仿宋_GBK" w:eastAsia="方正仿宋_GBK" w:cs="方正仿宋_GBK"/>
          <w:sz w:val="32"/>
          <w:szCs w:val="32"/>
        </w:rPr>
        <w:t>可行性研究报告的批复》（綦发改投发〔2022〕344号）作废。</w:t>
      </w:r>
    </w:p>
    <w:p>
      <w:pPr>
        <w:spacing w:line="570" w:lineRule="exact"/>
        <w:ind w:right="160"/>
        <w:rPr>
          <w:rFonts w:hint="eastAsia" w:ascii="方正仿宋_GBK" w:hAnsi="方正仿宋_GBK" w:eastAsia="方正仿宋_GBK" w:cs="方正仿宋_GBK"/>
          <w:color w:val="000000"/>
          <w:sz w:val="32"/>
          <w:szCs w:val="32"/>
        </w:rPr>
      </w:pPr>
    </w:p>
    <w:p>
      <w:pPr>
        <w:spacing w:line="570" w:lineRule="exact"/>
        <w:ind w:right="160"/>
        <w:rPr>
          <w:rFonts w:hint="eastAsia" w:ascii="方正仿宋_GBK" w:hAnsi="方正仿宋_GBK" w:eastAsia="方正仿宋_GBK" w:cs="方正仿宋_GBK"/>
          <w:color w:val="000000"/>
          <w:sz w:val="32"/>
          <w:szCs w:val="32"/>
        </w:rPr>
      </w:pPr>
    </w:p>
    <w:p>
      <w:pPr>
        <w:spacing w:line="570" w:lineRule="exact"/>
        <w:ind w:right="160" w:firstLine="3520" w:firstLineChars="1100"/>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重庆市綦江区发展和改革委员会</w:t>
      </w:r>
    </w:p>
    <w:p>
      <w:pPr>
        <w:spacing w:line="570" w:lineRule="exact"/>
        <w:ind w:right="640" w:firstLine="4480" w:firstLineChars="14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2024年1月29日</w:t>
      </w:r>
    </w:p>
    <w:p>
      <w:pPr>
        <w:spacing w:line="570" w:lineRule="exact"/>
        <w:ind w:right="640" w:firstLine="640" w:firstLineChars="200"/>
        <w:rPr>
          <w:rFonts w:hint="eastAsia" w:eastAsia="方正仿宋_GBK"/>
          <w:color w:val="000000"/>
          <w:sz w:val="32"/>
          <w:szCs w:val="32"/>
          <w:lang w:eastAsia="zh-CN"/>
        </w:rPr>
      </w:pPr>
      <w:bookmarkStart w:id="0" w:name="_GoBack"/>
      <w:bookmarkEnd w:id="0"/>
      <w:r>
        <w:rPr>
          <w:rFonts w:hint="eastAsia" w:eastAsia="方正仿宋_GBK"/>
          <w:color w:val="000000"/>
          <w:sz w:val="32"/>
          <w:szCs w:val="32"/>
          <w:lang w:eastAsia="zh-CN"/>
        </w:rPr>
        <w:t>（此件公开发布）</w:t>
      </w:r>
    </w:p>
    <w:p>
      <w:pPr>
        <w:spacing w:line="570" w:lineRule="exact"/>
        <w:ind w:right="640"/>
        <w:rPr>
          <w:rFonts w:eastAsia="方正仿宋_GBK"/>
          <w:color w:val="000000"/>
          <w:sz w:val="32"/>
          <w:szCs w:val="32"/>
        </w:rPr>
      </w:pPr>
    </w:p>
    <w:p>
      <w:pPr>
        <w:spacing w:line="570" w:lineRule="exact"/>
        <w:ind w:right="640"/>
        <w:rPr>
          <w:rFonts w:eastAsia="方正仿宋_GBK"/>
          <w:color w:val="000000"/>
          <w:sz w:val="32"/>
          <w:szCs w:val="32"/>
        </w:rPr>
      </w:pPr>
    </w:p>
    <w:p>
      <w:pPr>
        <w:spacing w:line="570" w:lineRule="exact"/>
        <w:ind w:right="640"/>
        <w:rPr>
          <w:rFonts w:eastAsia="方正仿宋_GBK"/>
          <w:color w:val="000000"/>
          <w:sz w:val="32"/>
          <w:szCs w:val="32"/>
        </w:rPr>
      </w:pPr>
    </w:p>
    <w:p>
      <w:pPr>
        <w:snapToGrid w:val="0"/>
        <w:spacing w:line="570" w:lineRule="exact"/>
        <w:jc w:val="left"/>
        <w:rPr>
          <w:rFonts w:eastAsia="方正仿宋_GBK"/>
          <w:sz w:val="28"/>
          <w:szCs w:val="28"/>
        </w:rPr>
      </w:pPr>
    </w:p>
    <w:sectPr>
      <w:headerReference r:id="rId3" w:type="default"/>
      <w:footerReference r:id="rId4" w:type="default"/>
      <w:footerReference r:id="rId5" w:type="even"/>
      <w:pgSz w:w="11906" w:h="16838"/>
      <w:pgMar w:top="2098" w:right="1474" w:bottom="1985" w:left="1588"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宋体" w:hAnsi="宋体"/>
        <w:sz w:val="24"/>
        <w:szCs w:val="24"/>
      </w:rPr>
    </w:pPr>
    <w:r>
      <w:rPr>
        <w:rFonts w:hint="eastAsia" w:ascii="宋体" w:hAnsi="宋体"/>
        <w:sz w:val="24"/>
        <w:szCs w:val="24"/>
      </w:rPr>
      <w:fldChar w:fldCharType="begin"/>
    </w:r>
    <w:r>
      <w:rPr>
        <w:rStyle w:val="9"/>
        <w:rFonts w:hint="eastAsia" w:ascii="宋体" w:hAnsi="宋体"/>
        <w:sz w:val="24"/>
        <w:szCs w:val="24"/>
      </w:rPr>
      <w:instrText xml:space="preserve">PAGE  </w:instrText>
    </w:r>
    <w:r>
      <w:rPr>
        <w:rFonts w:hint="eastAsia" w:ascii="宋体" w:hAnsi="宋体"/>
        <w:sz w:val="24"/>
        <w:szCs w:val="24"/>
      </w:rPr>
      <w:fldChar w:fldCharType="separate"/>
    </w:r>
    <w:r>
      <w:rPr>
        <w:rStyle w:val="9"/>
        <w:rFonts w:ascii="宋体" w:hAnsi="宋体"/>
        <w:sz w:val="24"/>
        <w:szCs w:val="24"/>
      </w:rPr>
      <w:t>- 2 -</w:t>
    </w:r>
    <w:r>
      <w:rPr>
        <w:rFonts w:hint="eastAsia" w:ascii="宋体" w:hAnsi="宋体"/>
        <w:sz w:val="24"/>
        <w:szCs w:val="24"/>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separate"/>
    </w:r>
    <w:r>
      <w:rPr>
        <w:rStyle w:val="9"/>
      </w:rPr>
      <w:t>- 2 -</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59891"/>
    <w:multiLevelType w:val="singleLevel"/>
    <w:tmpl w:val="CE559891"/>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NjZWNiY2Y2YTAwMTQzMzVkYWMyNDE5YTE3NjkifQ=="/>
  </w:docVars>
  <w:rsids>
    <w:rsidRoot w:val="00172A27"/>
    <w:rsid w:val="000004F9"/>
    <w:rsid w:val="00007F7F"/>
    <w:rsid w:val="00013B4B"/>
    <w:rsid w:val="00017AED"/>
    <w:rsid w:val="0002159D"/>
    <w:rsid w:val="0002385C"/>
    <w:rsid w:val="00090962"/>
    <w:rsid w:val="000E319F"/>
    <w:rsid w:val="00154F9D"/>
    <w:rsid w:val="00157C22"/>
    <w:rsid w:val="00172A27"/>
    <w:rsid w:val="001B1299"/>
    <w:rsid w:val="001C2AB5"/>
    <w:rsid w:val="001E018B"/>
    <w:rsid w:val="00231A8C"/>
    <w:rsid w:val="002332A0"/>
    <w:rsid w:val="00233E65"/>
    <w:rsid w:val="00271A28"/>
    <w:rsid w:val="00290AB5"/>
    <w:rsid w:val="002D4ED0"/>
    <w:rsid w:val="0037008F"/>
    <w:rsid w:val="00390007"/>
    <w:rsid w:val="003A16ED"/>
    <w:rsid w:val="003B5EE9"/>
    <w:rsid w:val="003C274D"/>
    <w:rsid w:val="003F12CA"/>
    <w:rsid w:val="00430FF3"/>
    <w:rsid w:val="00466C43"/>
    <w:rsid w:val="00545263"/>
    <w:rsid w:val="005D4BA4"/>
    <w:rsid w:val="005E7A0D"/>
    <w:rsid w:val="00604E00"/>
    <w:rsid w:val="00624DBE"/>
    <w:rsid w:val="0063476A"/>
    <w:rsid w:val="00656F42"/>
    <w:rsid w:val="006924F8"/>
    <w:rsid w:val="00754C68"/>
    <w:rsid w:val="0079567D"/>
    <w:rsid w:val="007C1A74"/>
    <w:rsid w:val="007D09D2"/>
    <w:rsid w:val="007D343B"/>
    <w:rsid w:val="007D7F0C"/>
    <w:rsid w:val="00830EE7"/>
    <w:rsid w:val="00894752"/>
    <w:rsid w:val="008A6878"/>
    <w:rsid w:val="008B2B29"/>
    <w:rsid w:val="008F3A13"/>
    <w:rsid w:val="009376F1"/>
    <w:rsid w:val="00945F3A"/>
    <w:rsid w:val="009A58AA"/>
    <w:rsid w:val="009B388D"/>
    <w:rsid w:val="009C5B93"/>
    <w:rsid w:val="00A06AD6"/>
    <w:rsid w:val="00A13879"/>
    <w:rsid w:val="00A93735"/>
    <w:rsid w:val="00B32668"/>
    <w:rsid w:val="00B60339"/>
    <w:rsid w:val="00B7155A"/>
    <w:rsid w:val="00BC24CE"/>
    <w:rsid w:val="00BE0CB1"/>
    <w:rsid w:val="00C36C37"/>
    <w:rsid w:val="00C470D7"/>
    <w:rsid w:val="00C905B6"/>
    <w:rsid w:val="00CE4E7F"/>
    <w:rsid w:val="00D35DFA"/>
    <w:rsid w:val="00DF6634"/>
    <w:rsid w:val="00E066B8"/>
    <w:rsid w:val="00E71F55"/>
    <w:rsid w:val="00E906A1"/>
    <w:rsid w:val="00E90880"/>
    <w:rsid w:val="00F04277"/>
    <w:rsid w:val="00F201F7"/>
    <w:rsid w:val="00F263F5"/>
    <w:rsid w:val="00F449A9"/>
    <w:rsid w:val="00F54275"/>
    <w:rsid w:val="00F84344"/>
    <w:rsid w:val="00F93B6D"/>
    <w:rsid w:val="00F9489E"/>
    <w:rsid w:val="00FA1580"/>
    <w:rsid w:val="00FC3294"/>
    <w:rsid w:val="00FE1229"/>
    <w:rsid w:val="010C291F"/>
    <w:rsid w:val="02AF0502"/>
    <w:rsid w:val="033306B7"/>
    <w:rsid w:val="04896392"/>
    <w:rsid w:val="058C1283"/>
    <w:rsid w:val="06BA1F9A"/>
    <w:rsid w:val="06BC498C"/>
    <w:rsid w:val="07115D2E"/>
    <w:rsid w:val="082D06DA"/>
    <w:rsid w:val="0CA3695A"/>
    <w:rsid w:val="0CA77357"/>
    <w:rsid w:val="0CC6182E"/>
    <w:rsid w:val="0DB96675"/>
    <w:rsid w:val="0F786064"/>
    <w:rsid w:val="0F8D6527"/>
    <w:rsid w:val="0FF843CF"/>
    <w:rsid w:val="12382409"/>
    <w:rsid w:val="128643D9"/>
    <w:rsid w:val="128D1881"/>
    <w:rsid w:val="131E6AAE"/>
    <w:rsid w:val="132B4218"/>
    <w:rsid w:val="133211D5"/>
    <w:rsid w:val="147F4D9B"/>
    <w:rsid w:val="15866D34"/>
    <w:rsid w:val="18D32DE4"/>
    <w:rsid w:val="1A142666"/>
    <w:rsid w:val="1A434FCB"/>
    <w:rsid w:val="1B8D3B96"/>
    <w:rsid w:val="1C5C6539"/>
    <w:rsid w:val="1F0246DD"/>
    <w:rsid w:val="1FB54179"/>
    <w:rsid w:val="2163105C"/>
    <w:rsid w:val="21C56C9C"/>
    <w:rsid w:val="23716333"/>
    <w:rsid w:val="23B41737"/>
    <w:rsid w:val="24205F28"/>
    <w:rsid w:val="258B31D9"/>
    <w:rsid w:val="265B1512"/>
    <w:rsid w:val="26C3673D"/>
    <w:rsid w:val="272054F2"/>
    <w:rsid w:val="27F138FF"/>
    <w:rsid w:val="28834142"/>
    <w:rsid w:val="2978798F"/>
    <w:rsid w:val="299625ED"/>
    <w:rsid w:val="29D53801"/>
    <w:rsid w:val="2AA0743A"/>
    <w:rsid w:val="2D5B6168"/>
    <w:rsid w:val="2D66243F"/>
    <w:rsid w:val="2E9438DF"/>
    <w:rsid w:val="307715A9"/>
    <w:rsid w:val="350E76DD"/>
    <w:rsid w:val="35D61FF8"/>
    <w:rsid w:val="363C35DE"/>
    <w:rsid w:val="369D2BBB"/>
    <w:rsid w:val="388F46E2"/>
    <w:rsid w:val="38A2172B"/>
    <w:rsid w:val="3A512C00"/>
    <w:rsid w:val="3AFF752E"/>
    <w:rsid w:val="3B856BE5"/>
    <w:rsid w:val="3C8C7D0F"/>
    <w:rsid w:val="3D8064F0"/>
    <w:rsid w:val="3ED93369"/>
    <w:rsid w:val="403B3F9F"/>
    <w:rsid w:val="409D5751"/>
    <w:rsid w:val="41905B00"/>
    <w:rsid w:val="42CB6D3A"/>
    <w:rsid w:val="44E430D8"/>
    <w:rsid w:val="45022E3B"/>
    <w:rsid w:val="4503219B"/>
    <w:rsid w:val="452A361B"/>
    <w:rsid w:val="47F727B3"/>
    <w:rsid w:val="49220DB3"/>
    <w:rsid w:val="494A467B"/>
    <w:rsid w:val="4B561B74"/>
    <w:rsid w:val="4C8457B2"/>
    <w:rsid w:val="4D676041"/>
    <w:rsid w:val="4E9C52B1"/>
    <w:rsid w:val="4FB751C2"/>
    <w:rsid w:val="52B27BAC"/>
    <w:rsid w:val="53630831"/>
    <w:rsid w:val="54C96528"/>
    <w:rsid w:val="54EC7246"/>
    <w:rsid w:val="573D3A2E"/>
    <w:rsid w:val="576C4A51"/>
    <w:rsid w:val="578078FF"/>
    <w:rsid w:val="597A60CC"/>
    <w:rsid w:val="5A3611BE"/>
    <w:rsid w:val="5C2C3D5F"/>
    <w:rsid w:val="5C4D5A41"/>
    <w:rsid w:val="5DC00C6E"/>
    <w:rsid w:val="5E0B2048"/>
    <w:rsid w:val="5E2F07FF"/>
    <w:rsid w:val="5EB06A4D"/>
    <w:rsid w:val="5EBB2FA9"/>
    <w:rsid w:val="5F1D7E11"/>
    <w:rsid w:val="5F594AEA"/>
    <w:rsid w:val="5FCE2165"/>
    <w:rsid w:val="6213708B"/>
    <w:rsid w:val="640D116D"/>
    <w:rsid w:val="64823D6A"/>
    <w:rsid w:val="65BA13BC"/>
    <w:rsid w:val="66012AB7"/>
    <w:rsid w:val="67CF42D7"/>
    <w:rsid w:val="6808358A"/>
    <w:rsid w:val="6AB325AE"/>
    <w:rsid w:val="6C325A15"/>
    <w:rsid w:val="6C6F1076"/>
    <w:rsid w:val="6D2D526A"/>
    <w:rsid w:val="71171DC0"/>
    <w:rsid w:val="71A96856"/>
    <w:rsid w:val="7382358F"/>
    <w:rsid w:val="746F0A96"/>
    <w:rsid w:val="74961F24"/>
    <w:rsid w:val="749F0373"/>
    <w:rsid w:val="752B62D9"/>
    <w:rsid w:val="77E65BEB"/>
    <w:rsid w:val="78196932"/>
    <w:rsid w:val="783009ED"/>
    <w:rsid w:val="78E22BB8"/>
    <w:rsid w:val="78F94D33"/>
    <w:rsid w:val="7BE64F7C"/>
    <w:rsid w:val="7C1363F1"/>
    <w:rsid w:val="7E7A06C7"/>
    <w:rsid w:val="7EDD0FCF"/>
    <w:rsid w:val="7F066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character" w:customStyle="1" w:styleId="12">
    <w:name w:val="H-正文格式 Char"/>
    <w:link w:val="13"/>
    <w:qFormat/>
    <w:uiPriority w:val="0"/>
    <w:rPr>
      <w:kern w:val="2"/>
      <w:sz w:val="24"/>
      <w:szCs w:val="22"/>
    </w:rPr>
  </w:style>
  <w:style w:type="paragraph" w:customStyle="1" w:styleId="13">
    <w:name w:val="H-正文格式"/>
    <w:basedOn w:val="1"/>
    <w:link w:val="12"/>
    <w:qFormat/>
    <w:uiPriority w:val="0"/>
    <w:pPr>
      <w:spacing w:line="360" w:lineRule="auto"/>
      <w:ind w:firstLine="480" w:firstLineChars="200"/>
    </w:pPr>
    <w:rPr>
      <w:sz w:val="24"/>
      <w:szCs w:val="22"/>
    </w:rPr>
  </w:style>
  <w:style w:type="character" w:customStyle="1" w:styleId="14">
    <w:name w:val="font031"/>
    <w:basedOn w:val="8"/>
    <w:qFormat/>
    <w:uiPriority w:val="0"/>
    <w:rPr>
      <w:rFonts w:hint="default" w:ascii="ˎ̥" w:hAnsi="ˎ̥"/>
      <w:sz w:val="21"/>
      <w:szCs w:val="21"/>
      <w:u w:val="none"/>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4</Pages>
  <Words>175</Words>
  <Characters>1004</Characters>
  <Lines>8</Lines>
  <Paragraphs>2</Paragraphs>
  <ScaleCrop>false</ScaleCrop>
  <LinksUpToDate>false</LinksUpToDate>
  <CharactersWithSpaces>1177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2022-08-10T08:16:00Z</dcterms:created>
  <dc:creator>番茄花园</dc:creator>
  <cp:lastModifiedBy>Administrator</cp:lastModifiedBy>
  <cp:lastPrinted>2023-09-19T08:49:00Z</cp:lastPrinted>
  <dcterms:modified xsi:type="dcterms:W3CDTF">2024-12-26T10:18:37Z</dcterms:modified>
  <dc:title>綦计〔2007〕　号　　　　　　　　　　　签发人：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3F180C6EEE16406C986622F8474B4274_13</vt:lpwstr>
  </property>
</Properties>
</file>