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76" w:lineRule="exact"/>
        <w:jc w:val="center"/>
        <w:rPr>
          <w:rFonts w:eastAsia="方正小标宋_GBK"/>
          <w:sz w:val="44"/>
          <w:szCs w:val="44"/>
        </w:rPr>
      </w:pPr>
    </w:p>
    <w:p>
      <w:pPr>
        <w:adjustRightInd w:val="0"/>
        <w:snapToGrid w:val="0"/>
        <w:spacing w:line="576" w:lineRule="exact"/>
        <w:jc w:val="center"/>
        <w:rPr>
          <w:rFonts w:eastAsia="方正小标宋_GBK"/>
          <w:sz w:val="44"/>
          <w:szCs w:val="44"/>
        </w:rPr>
      </w:pPr>
    </w:p>
    <w:p>
      <w:pPr>
        <w:adjustRightInd w:val="0"/>
        <w:snapToGrid w:val="0"/>
        <w:spacing w:line="576" w:lineRule="exact"/>
        <w:jc w:val="center"/>
        <w:rPr>
          <w:rFonts w:eastAsia="方正小标宋_GBK"/>
          <w:sz w:val="44"/>
          <w:szCs w:val="44"/>
        </w:rPr>
      </w:pPr>
    </w:p>
    <w:p>
      <w:pPr>
        <w:wordWrap/>
        <w:adjustRightInd w:val="0"/>
        <w:snapToGrid w:val="0"/>
        <w:spacing w:before="0" w:after="0" w:line="576" w:lineRule="exact"/>
        <w:ind w:right="0"/>
        <w:jc w:val="both"/>
        <w:textAlignment w:val="auto"/>
        <w:outlineLvl w:val="9"/>
        <w:rPr>
          <w:rFonts w:eastAsia="方正小标宋_GBK"/>
          <w:sz w:val="44"/>
          <w:szCs w:val="44"/>
        </w:rPr>
      </w:pPr>
    </w:p>
    <w:p>
      <w:pPr>
        <w:wordWrap/>
        <w:adjustRightInd w:val="0"/>
        <w:spacing w:before="0" w:after="0" w:line="576" w:lineRule="exact"/>
        <w:ind w:right="0"/>
        <w:textAlignment w:val="auto"/>
        <w:outlineLvl w:val="9"/>
      </w:pPr>
    </w:p>
    <w:p>
      <w:pPr>
        <w:wordWrap/>
        <w:adjustRightInd w:val="0"/>
        <w:snapToGrid w:val="0"/>
        <w:spacing w:before="0" w:after="0" w:line="576" w:lineRule="exact"/>
        <w:ind w:right="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u w:val="none"/>
          <w:lang w:val="en-US" w:eastAsia="zh-CN"/>
        </w:rPr>
        <w:t>綦</w:t>
      </w:r>
      <w:r>
        <w:rPr>
          <w:rFonts w:hint="eastAsia" w:ascii="方正仿宋_GBK" w:hAnsi="方正仿宋_GBK" w:eastAsia="方正仿宋_GBK" w:cs="方正仿宋_GBK"/>
          <w:color w:val="auto"/>
          <w:u w:val="none"/>
          <w:lang w:eastAsia="zh-CN"/>
        </w:rPr>
        <w:t>发改</w:t>
      </w:r>
      <w:r>
        <w:rPr>
          <w:rFonts w:hint="eastAsia" w:ascii="方正仿宋_GBK" w:hAnsi="方正仿宋_GBK" w:eastAsia="方正仿宋_GBK" w:cs="方正仿宋_GBK"/>
          <w:color w:val="auto"/>
        </w:rPr>
        <w:t>投诉</w:t>
      </w:r>
      <w:r>
        <w:rPr>
          <w:rFonts w:hint="eastAsia" w:ascii="方正仿宋_GBK" w:hAnsi="方正仿宋_GBK" w:eastAsia="方正仿宋_GBK" w:cs="方正仿宋_GBK"/>
          <w:color w:val="auto"/>
          <w:lang w:eastAsia="en-US"/>
        </w:rPr>
        <w:t>决〔</w:t>
      </w:r>
      <w:r>
        <w:rPr>
          <w:rFonts w:hint="eastAsia" w:ascii="方正仿宋_GBK" w:hAnsi="方正仿宋_GBK" w:eastAsia="方正仿宋_GBK" w:cs="方正仿宋_GBK"/>
          <w:color w:val="auto"/>
          <w:lang w:val="en-US" w:eastAsia="zh-CN"/>
        </w:rPr>
        <w:t>2023</w:t>
      </w:r>
      <w:r>
        <w:rPr>
          <w:rFonts w:hint="eastAsia" w:ascii="方正仿宋_GBK" w:hAnsi="方正仿宋_GBK" w:eastAsia="方正仿宋_GBK" w:cs="方正仿宋_GBK"/>
          <w:color w:val="auto"/>
          <w:lang w:eastAsia="en-US"/>
        </w:rPr>
        <w:t>〕</w:t>
      </w:r>
      <w:r>
        <w:rPr>
          <w:rFonts w:hint="eastAsia" w:ascii="方正仿宋_GBK" w:hAnsi="方正仿宋_GBK" w:eastAsia="方正仿宋_GBK" w:cs="方正仿宋_GBK"/>
          <w:color w:val="auto"/>
          <w:lang w:val="en-US" w:eastAsia="zh-CN"/>
        </w:rPr>
        <w:t>1</w:t>
      </w:r>
      <w:r>
        <w:rPr>
          <w:rFonts w:hint="eastAsia" w:ascii="方正仿宋_GBK" w:hAnsi="方正仿宋_GBK" w:eastAsia="方正仿宋_GBK" w:cs="方正仿宋_GBK"/>
          <w:sz w:val="32"/>
          <w:szCs w:val="32"/>
        </w:rPr>
        <w:t>号</w:t>
      </w:r>
    </w:p>
    <w:p>
      <w:pPr>
        <w:wordWrap/>
        <w:adjustRightInd w:val="0"/>
        <w:snapToGrid/>
        <w:spacing w:before="0" w:after="0" w:line="576" w:lineRule="exact"/>
        <w:ind w:left="0" w:leftChars="0" w:right="0"/>
        <w:jc w:val="center"/>
        <w:textAlignment w:val="auto"/>
        <w:outlineLvl w:val="9"/>
        <w:rPr>
          <w:rFonts w:hint="eastAsia" w:ascii="方正仿宋_GBK" w:hAnsi="方正仿宋_GBK" w:eastAsia="方正仿宋_GBK" w:cs="方正仿宋_GBK"/>
          <w:b/>
          <w:spacing w:val="-10"/>
          <w:sz w:val="44"/>
          <w:szCs w:val="44"/>
        </w:rPr>
      </w:pPr>
    </w:p>
    <w:p>
      <w:pPr>
        <w:widowControl w:val="0"/>
        <w:wordWrap/>
        <w:adjustRightInd/>
        <w:snapToGrid/>
        <w:spacing w:before="0" w:after="0" w:line="552" w:lineRule="exact"/>
        <w:ind w:left="0" w:leftChars="0" w:right="0"/>
        <w:jc w:val="center"/>
        <w:textAlignment w:val="auto"/>
        <w:outlineLvl w:val="9"/>
        <w:rPr>
          <w:rFonts w:hint="eastAsia" w:ascii="方正小标宋_GBK" w:hAnsi="方正小标宋_GBK" w:eastAsia="方正小标宋_GBK" w:cs="方正小标宋_GBK"/>
          <w:bCs/>
          <w:color w:val="010000"/>
          <w:sz w:val="44"/>
          <w:szCs w:val="44"/>
          <w:lang w:eastAsia="zh-CN"/>
        </w:rPr>
      </w:pPr>
      <w:r>
        <w:rPr>
          <w:rFonts w:hint="eastAsia" w:ascii="方正小标宋_GBK" w:hAnsi="方正小标宋_GBK" w:eastAsia="方正小标宋_GBK" w:cs="方正小标宋_GBK"/>
          <w:bCs/>
          <w:color w:val="010000"/>
          <w:sz w:val="44"/>
          <w:szCs w:val="44"/>
          <w:lang w:eastAsia="zh-CN"/>
        </w:rPr>
        <w:t>重庆市綦江区发展和改革委员会</w:t>
      </w:r>
    </w:p>
    <w:p>
      <w:pPr>
        <w:widowControl/>
        <w:kinsoku w:val="0"/>
        <w:wordWrap w:val="0"/>
        <w:topLinePunct w:val="1"/>
        <w:adjustRightInd/>
        <w:snapToGrid/>
        <w:spacing w:before="0" w:after="0" w:line="552" w:lineRule="exact"/>
        <w:ind w:right="0"/>
        <w:jc w:val="center"/>
        <w:textAlignment w:val="auto"/>
        <w:outlineLvl w:val="9"/>
        <w:rPr>
          <w:rFonts w:hint="eastAsia" w:ascii="方正小标宋_GBK" w:hAnsi="方正小标宋_GBK" w:eastAsia="方正小标宋_GBK" w:cs="方正小标宋_GBK"/>
          <w:bCs/>
          <w:color w:val="auto"/>
          <w:sz w:val="44"/>
          <w:szCs w:val="44"/>
          <w:lang w:eastAsia="en-US"/>
        </w:rPr>
      </w:pPr>
      <w:r>
        <w:rPr>
          <w:rFonts w:hint="eastAsia" w:ascii="方正小标宋_GBK" w:hAnsi="方正小标宋_GBK" w:eastAsia="方正小标宋_GBK" w:cs="方正小标宋_GBK"/>
          <w:bCs/>
          <w:color w:val="auto"/>
          <w:sz w:val="44"/>
          <w:szCs w:val="44"/>
          <w:lang w:val="en-US" w:eastAsia="zh-CN"/>
        </w:rPr>
        <w:t xml:space="preserve"> </w:t>
      </w:r>
      <w:r>
        <w:rPr>
          <w:rFonts w:hint="eastAsia" w:ascii="方正小标宋_GBK" w:hAnsi="方正小标宋_GBK" w:eastAsia="方正小标宋_GBK" w:cs="方正小标宋_GBK"/>
          <w:bCs/>
          <w:color w:val="auto"/>
          <w:sz w:val="44"/>
          <w:szCs w:val="44"/>
        </w:rPr>
        <w:t>招投标</w:t>
      </w:r>
      <w:r>
        <w:rPr>
          <w:rFonts w:hint="eastAsia" w:ascii="方正小标宋_GBK" w:hAnsi="方正小标宋_GBK" w:eastAsia="方正小标宋_GBK" w:cs="方正小标宋_GBK"/>
          <w:bCs/>
          <w:color w:val="auto"/>
          <w:sz w:val="44"/>
          <w:szCs w:val="44"/>
          <w:lang w:eastAsia="en-US"/>
        </w:rPr>
        <w:t>投诉</w:t>
      </w:r>
      <w:r>
        <w:rPr>
          <w:rFonts w:hint="eastAsia" w:ascii="方正小标宋_GBK" w:hAnsi="方正小标宋_GBK" w:eastAsia="方正小标宋_GBK" w:cs="方正小标宋_GBK"/>
          <w:bCs/>
          <w:color w:val="auto"/>
          <w:sz w:val="44"/>
          <w:szCs w:val="44"/>
        </w:rPr>
        <w:t>行政</w:t>
      </w:r>
      <w:r>
        <w:rPr>
          <w:rFonts w:hint="eastAsia" w:ascii="方正小标宋_GBK" w:hAnsi="方正小标宋_GBK" w:eastAsia="方正小标宋_GBK" w:cs="方正小标宋_GBK"/>
          <w:bCs/>
          <w:color w:val="auto"/>
          <w:sz w:val="44"/>
          <w:szCs w:val="44"/>
          <w:lang w:eastAsia="en-US"/>
        </w:rPr>
        <w:t>处理决定书</w:t>
      </w:r>
    </w:p>
    <w:p>
      <w:pPr>
        <w:widowControl/>
        <w:wordWrap w:val="0"/>
        <w:adjustRightInd/>
        <w:snapToGrid/>
        <w:spacing w:before="0" w:after="0" w:line="552" w:lineRule="exact"/>
        <w:ind w:right="0"/>
        <w:jc w:val="center"/>
        <w:textAlignment w:val="auto"/>
        <w:outlineLvl w:val="9"/>
        <w:rPr>
          <w:rFonts w:ascii="仿宋" w:hAnsi="仿宋" w:eastAsia="仿宋"/>
          <w:b/>
          <w:color w:val="auto"/>
          <w:kern w:val="2"/>
          <w:sz w:val="44"/>
          <w:szCs w:val="44"/>
          <w:lang w:eastAsia="en-US"/>
        </w:rPr>
      </w:pPr>
    </w:p>
    <w:p>
      <w:pPr>
        <w:pStyle w:val="5"/>
        <w:widowControl/>
        <w:spacing w:before="0" w:beforeAutospacing="0" w:after="0" w:afterAutospacing="0" w:line="555" w:lineRule="atLeast"/>
        <w:ind w:left="0" w:right="0" w:firstLine="420"/>
        <w:rPr>
          <w:rFonts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投诉人：</w:t>
      </w:r>
      <w:r>
        <w:rPr>
          <w:rFonts w:hint="eastAsia" w:ascii="方正仿宋_GBK" w:hAnsi="方正仿宋_GBK" w:eastAsia="方正仿宋_GBK" w:cs="方正仿宋_GBK"/>
          <w:i w:val="0"/>
          <w:caps w:val="0"/>
          <w:color w:val="000000"/>
          <w:spacing w:val="0"/>
          <w:sz w:val="31"/>
          <w:szCs w:val="31"/>
        </w:rPr>
        <w:t>广东万政工程有限公司</w:t>
      </w:r>
    </w:p>
    <w:p>
      <w:pPr>
        <w:pStyle w:val="5"/>
        <w:widowControl/>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法定代表人：吴某某</w:t>
      </w:r>
    </w:p>
    <w:p>
      <w:pPr>
        <w:pStyle w:val="5"/>
        <w:widowControl/>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统一社会信用代码：91440606749971335C</w:t>
      </w:r>
    </w:p>
    <w:p>
      <w:pPr>
        <w:pStyle w:val="5"/>
        <w:widowControl/>
        <w:spacing w:before="0" w:beforeAutospacing="0" w:after="0" w:afterAutospacing="0" w:line="555" w:lineRule="atLeast"/>
        <w:ind w:left="420" w:right="0" w:hanging="63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    地址：佛山市顺德区容桂街道********</w:t>
      </w:r>
    </w:p>
    <w:p>
      <w:pPr>
        <w:pStyle w:val="5"/>
        <w:widowControl/>
        <w:spacing w:before="0" w:beforeAutospacing="0" w:after="0" w:afterAutospacing="0" w:line="555" w:lineRule="atLeast"/>
        <w:ind w:left="0" w:right="0" w:firstLine="420"/>
        <w:rPr>
          <w:rFonts w:hint="eastAsia" w:ascii="方正仿宋_GBK" w:hAnsi="方正仿宋_GBK" w:eastAsia="方正仿宋_GBK" w:cs="方正仿宋_GBK"/>
          <w:i w:val="0"/>
          <w:caps w:val="0"/>
          <w:color w:val="000000"/>
          <w:spacing w:val="0"/>
          <w:sz w:val="31"/>
          <w:szCs w:val="31"/>
        </w:rPr>
      </w:pPr>
    </w:p>
    <w:p>
      <w:pPr>
        <w:pStyle w:val="5"/>
        <w:widowControl/>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被投诉人：重庆市綦江区横山学校</w:t>
      </w:r>
    </w:p>
    <w:p>
      <w:pPr>
        <w:pStyle w:val="5"/>
        <w:widowControl/>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法定代表人：杨某 </w:t>
      </w:r>
    </w:p>
    <w:p>
      <w:pPr>
        <w:pStyle w:val="5"/>
        <w:widowControl/>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统一社会信用代码：125002224505162154</w:t>
      </w:r>
    </w:p>
    <w:p>
      <w:pPr>
        <w:pStyle w:val="5"/>
        <w:widowControl/>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地址：重庆市綦江区横山镇****</w:t>
      </w:r>
    </w:p>
    <w:p>
      <w:pPr>
        <w:widowControl/>
        <w:wordWrap/>
        <w:adjustRightInd/>
        <w:snapToGrid/>
        <w:spacing w:before="0" w:after="0" w:line="536" w:lineRule="exact"/>
        <w:ind w:left="0" w:leftChars="0" w:right="0" w:firstLine="640" w:firstLineChars="200"/>
        <w:jc w:val="both"/>
        <w:textAlignment w:val="auto"/>
        <w:outlineLvl w:val="9"/>
        <w:rPr>
          <w:rFonts w:hint="eastAsia" w:ascii="方正仿宋_GBK" w:hAnsi="方正仿宋_GBK" w:cs="方正仿宋_GBK"/>
          <w:color w:val="auto"/>
          <w:kern w:val="2"/>
          <w:lang w:eastAsia="en-US"/>
        </w:rPr>
      </w:pPr>
      <w:r>
        <w:rPr>
          <w:rFonts w:hint="eastAsia" w:ascii="方正仿宋_GBK" w:hAnsi="方正仿宋_GBK" w:cs="方正仿宋_GBK"/>
          <w:color w:val="auto"/>
          <w:kern w:val="2"/>
          <w:lang w:eastAsia="en-US"/>
        </w:rPr>
        <w:t>本机关于</w:t>
      </w:r>
      <w:r>
        <w:rPr>
          <w:rFonts w:hint="eastAsia" w:ascii="方正仿宋_GBK" w:hAnsi="方正仿宋_GBK" w:cs="方正仿宋_GBK"/>
          <w:color w:val="auto"/>
          <w:kern w:val="2"/>
          <w:lang w:val="en-US" w:eastAsia="zh-CN"/>
        </w:rPr>
        <w:t>2023</w:t>
      </w:r>
      <w:r>
        <w:rPr>
          <w:rFonts w:hint="eastAsia" w:ascii="方正仿宋_GBK" w:hAnsi="方正仿宋_GBK" w:cs="方正仿宋_GBK"/>
          <w:color w:val="auto"/>
          <w:kern w:val="2"/>
          <w:lang w:eastAsia="en-US"/>
        </w:rPr>
        <w:t>年</w:t>
      </w:r>
      <w:r>
        <w:rPr>
          <w:rFonts w:hint="eastAsia" w:ascii="方正仿宋_GBK" w:hAnsi="方正仿宋_GBK" w:cs="方正仿宋_GBK"/>
          <w:color w:val="auto"/>
          <w:kern w:val="2"/>
          <w:lang w:val="en-US" w:eastAsia="zh-CN"/>
        </w:rPr>
        <w:t>4</w:t>
      </w:r>
      <w:r>
        <w:rPr>
          <w:rFonts w:hint="eastAsia" w:ascii="方正仿宋_GBK" w:hAnsi="方正仿宋_GBK" w:cs="方正仿宋_GBK"/>
          <w:color w:val="auto"/>
          <w:kern w:val="2"/>
          <w:lang w:eastAsia="en-US"/>
        </w:rPr>
        <w:t>月</w:t>
      </w:r>
      <w:r>
        <w:rPr>
          <w:rFonts w:hint="eastAsia" w:ascii="方正仿宋_GBK" w:hAnsi="方正仿宋_GBK" w:cs="方正仿宋_GBK"/>
          <w:color w:val="auto"/>
          <w:kern w:val="2"/>
          <w:lang w:val="en-US" w:eastAsia="zh-CN"/>
        </w:rPr>
        <w:t>19</w:t>
      </w:r>
      <w:r>
        <w:rPr>
          <w:rFonts w:hint="eastAsia" w:ascii="方正仿宋_GBK" w:hAnsi="方正仿宋_GBK" w:cs="方正仿宋_GBK"/>
          <w:color w:val="auto"/>
          <w:kern w:val="2"/>
          <w:lang w:eastAsia="en-US"/>
        </w:rPr>
        <w:t>日收到投诉人对</w:t>
      </w:r>
      <w:r>
        <w:rPr>
          <w:rFonts w:hint="eastAsia" w:ascii="方正仿宋_GBK" w:hAnsi="方正仿宋_GBK" w:cs="方正仿宋_GBK"/>
          <w:color w:val="auto"/>
          <w:kern w:val="2"/>
          <w:lang w:val="en-US" w:eastAsia="zh-CN"/>
        </w:rPr>
        <w:t>横山学校篮球实训基地项目</w:t>
      </w:r>
      <w:r>
        <w:rPr>
          <w:rFonts w:hint="eastAsia" w:ascii="方正仿宋_GBK" w:hAnsi="方正仿宋_GBK" w:cs="方正仿宋_GBK"/>
          <w:color w:val="auto"/>
          <w:kern w:val="2"/>
          <w:lang w:eastAsia="en-US"/>
        </w:rPr>
        <w:t>招标投标活动的投诉</w:t>
      </w:r>
      <w:r>
        <w:rPr>
          <w:rFonts w:hint="eastAsia" w:ascii="方正仿宋_GBK" w:hAnsi="方正仿宋_GBK" w:cs="方正仿宋_GBK"/>
          <w:color w:val="auto"/>
          <w:kern w:val="2"/>
        </w:rPr>
        <w:t>并依法受理</w:t>
      </w:r>
      <w:r>
        <w:rPr>
          <w:rFonts w:hint="eastAsia" w:ascii="方正仿宋_GBK" w:hAnsi="方正仿宋_GBK" w:cs="方正仿宋_GBK"/>
          <w:color w:val="auto"/>
          <w:kern w:val="2"/>
          <w:lang w:eastAsia="en-US"/>
        </w:rPr>
        <w:t>，</w:t>
      </w:r>
      <w:r>
        <w:rPr>
          <w:rFonts w:hint="eastAsia" w:ascii="方正仿宋_GBK" w:hAnsi="方正仿宋_GBK" w:cs="方正仿宋_GBK"/>
          <w:color w:val="auto"/>
          <w:kern w:val="2"/>
        </w:rPr>
        <w:t>现</w:t>
      </w:r>
      <w:r>
        <w:rPr>
          <w:rFonts w:hint="eastAsia" w:ascii="方正仿宋_GBK" w:hAnsi="方正仿宋_GBK" w:cs="方正仿宋_GBK"/>
          <w:color w:val="auto"/>
          <w:kern w:val="2"/>
          <w:lang w:eastAsia="en-US"/>
        </w:rPr>
        <w:t>作出处理决定。</w:t>
      </w:r>
    </w:p>
    <w:p>
      <w:pPr>
        <w:widowControl/>
        <w:wordWrap/>
        <w:adjustRightInd/>
        <w:snapToGrid/>
        <w:spacing w:before="0" w:after="0" w:line="536" w:lineRule="exact"/>
        <w:ind w:left="0" w:leftChars="0" w:right="0" w:firstLine="640" w:firstLineChars="200"/>
        <w:jc w:val="both"/>
        <w:textAlignment w:val="auto"/>
        <w:outlineLvl w:val="9"/>
        <w:rPr>
          <w:rFonts w:hint="eastAsia" w:ascii="方正黑体_GBK" w:hAnsi="方正黑体_GBK" w:eastAsia="方正黑体_GBK" w:cs="方正黑体_GBK"/>
          <w:color w:val="auto"/>
          <w:kern w:val="2"/>
          <w:lang w:eastAsia="en-US"/>
        </w:rPr>
      </w:pPr>
      <w:r>
        <w:rPr>
          <w:rFonts w:hint="eastAsia" w:ascii="方正黑体_GBK" w:hAnsi="方正黑体_GBK" w:eastAsia="方正黑体_GBK" w:cs="方正黑体_GBK"/>
          <w:color w:val="auto"/>
          <w:kern w:val="2"/>
        </w:rPr>
        <w:t>一</w:t>
      </w:r>
      <w:r>
        <w:rPr>
          <w:rFonts w:hint="eastAsia" w:ascii="方正黑体_GBK" w:hAnsi="方正黑体_GBK" w:eastAsia="方正黑体_GBK" w:cs="方正黑体_GBK"/>
          <w:color w:val="auto"/>
          <w:kern w:val="2"/>
          <w:lang w:eastAsia="en-US"/>
        </w:rPr>
        <w:t>、投诉人的投诉事项及主张</w:t>
      </w:r>
    </w:p>
    <w:p>
      <w:pPr>
        <w:widowControl/>
        <w:wordWrap/>
        <w:adjustRightInd/>
        <w:snapToGrid/>
        <w:spacing w:before="0" w:after="0" w:line="536" w:lineRule="exact"/>
        <w:ind w:left="0" w:leftChars="0" w:right="0" w:firstLine="640" w:firstLineChars="200"/>
        <w:jc w:val="both"/>
        <w:textAlignment w:val="auto"/>
        <w:outlineLvl w:val="9"/>
        <w:rPr>
          <w:rFonts w:hint="eastAsia" w:ascii="方正仿宋_GBK" w:hAnsi="方正仿宋_GBK" w:cs="方正仿宋_GBK"/>
          <w:color w:val="auto"/>
          <w:kern w:val="2"/>
        </w:rPr>
      </w:pPr>
      <w:r>
        <w:rPr>
          <w:rFonts w:hint="default" w:ascii="Times New Roman" w:hAnsi="Times New Roman" w:eastAsia="方正仿宋_GBK" w:cs="Times New Roman"/>
          <w:sz w:val="32"/>
          <w:szCs w:val="32"/>
        </w:rPr>
        <w:t>投诉人认为</w:t>
      </w:r>
      <w:r>
        <w:rPr>
          <w:rFonts w:hint="eastAsia" w:ascii="Times New Roman" w:hAnsi="Times New Roman" w:eastAsia="方正仿宋_GBK" w:cs="Times New Roman"/>
          <w:sz w:val="32"/>
          <w:szCs w:val="32"/>
          <w:lang w:eastAsia="zh-CN"/>
        </w:rPr>
        <w:t>：</w:t>
      </w:r>
      <w:r>
        <w:rPr>
          <w:rFonts w:hint="eastAsia" w:ascii="Times New Roman" w:hAnsi="Times New Roman" w:cs="Times New Roman"/>
          <w:sz w:val="32"/>
          <w:szCs w:val="32"/>
          <w:lang w:val="en-US" w:eastAsia="zh-CN"/>
        </w:rPr>
        <w:t>该公司在参加</w:t>
      </w:r>
      <w:r>
        <w:rPr>
          <w:rFonts w:hint="eastAsia" w:ascii="方正仿宋_GBK" w:hAnsi="方正仿宋_GBK" w:cs="方正仿宋_GBK"/>
          <w:color w:val="auto"/>
          <w:kern w:val="2"/>
          <w:lang w:val="en-US" w:eastAsia="zh-CN"/>
        </w:rPr>
        <w:t>横山学校篮球实训基地项目投标时，严格按照招标文件</w:t>
      </w:r>
      <w:r>
        <w:rPr>
          <w:rFonts w:hint="eastAsia" w:ascii="方正仿宋_GBK" w:hAnsi="方正仿宋_GBK" w:eastAsia="方正仿宋_GBK" w:cs="方正仿宋_GBK"/>
          <w:sz w:val="32"/>
          <w:szCs w:val="32"/>
          <w:u w:val="none"/>
          <w:lang w:val="en-US" w:eastAsia="zh-CN"/>
        </w:rPr>
        <w:t>第二章“投标人须知”第1.3.2项、第1.3.3项规定</w:t>
      </w:r>
      <w:r>
        <w:rPr>
          <w:rFonts w:hint="eastAsia" w:ascii="方正仿宋_GBK" w:hAnsi="方正仿宋_GBK" w:cs="方正仿宋_GBK"/>
          <w:sz w:val="32"/>
          <w:szCs w:val="32"/>
          <w:u w:val="none"/>
          <w:lang w:val="en-US" w:eastAsia="zh-CN"/>
        </w:rPr>
        <w:t>响应了工程工期和质量，并严格按照相关格式和要求填写，评标委员会否决其投标理由不成立。</w:t>
      </w:r>
      <w:r>
        <w:rPr>
          <w:rFonts w:hint="default" w:ascii="Times New Roman" w:hAnsi="Times New Roman" w:eastAsia="方正仿宋_GBK" w:cs="Times New Roman"/>
          <w:sz w:val="32"/>
          <w:szCs w:val="32"/>
        </w:rPr>
        <w:t>向本机关提出投诉</w:t>
      </w:r>
      <w:r>
        <w:rPr>
          <w:rFonts w:hint="eastAsia" w:ascii="Times New Roman" w:hAnsi="Times New Roman" w:cs="Times New Roman"/>
          <w:sz w:val="32"/>
          <w:szCs w:val="32"/>
          <w:lang w:eastAsia="zh-CN"/>
        </w:rPr>
        <w:t>，</w:t>
      </w:r>
      <w:r>
        <w:rPr>
          <w:rFonts w:hint="eastAsia" w:ascii="方正仿宋_GBK" w:hAnsi="方正仿宋_GBK" w:cs="方正仿宋_GBK"/>
          <w:sz w:val="32"/>
          <w:szCs w:val="32"/>
          <w:u w:val="none"/>
          <w:lang w:val="en-US" w:eastAsia="zh-CN"/>
        </w:rPr>
        <w:t>要求评标委员会重新选定合格中标人。</w:t>
      </w:r>
    </w:p>
    <w:p>
      <w:pPr>
        <w:widowControl/>
        <w:wordWrap/>
        <w:adjustRightInd/>
        <w:snapToGrid/>
        <w:spacing w:before="0" w:after="0" w:line="536" w:lineRule="exact"/>
        <w:ind w:left="0" w:leftChars="0" w:right="0" w:firstLine="640" w:firstLineChars="200"/>
        <w:jc w:val="both"/>
        <w:textAlignment w:val="auto"/>
        <w:outlineLvl w:val="9"/>
        <w:rPr>
          <w:rFonts w:hint="eastAsia" w:ascii="方正黑体_GBK" w:hAnsi="方正黑体_GBK" w:eastAsia="方正黑体_GBK" w:cs="方正黑体_GBK"/>
          <w:color w:val="auto"/>
          <w:kern w:val="2"/>
          <w:lang w:eastAsia="en-US"/>
        </w:rPr>
      </w:pPr>
      <w:r>
        <w:rPr>
          <w:rFonts w:hint="eastAsia" w:ascii="方正黑体_GBK" w:hAnsi="方正黑体_GBK" w:eastAsia="方正黑体_GBK" w:cs="方正黑体_GBK"/>
          <w:color w:val="auto"/>
          <w:kern w:val="2"/>
        </w:rPr>
        <w:t>二</w:t>
      </w:r>
      <w:r>
        <w:rPr>
          <w:rFonts w:hint="eastAsia" w:ascii="方正黑体_GBK" w:hAnsi="方正黑体_GBK" w:eastAsia="方正黑体_GBK" w:cs="方正黑体_GBK"/>
          <w:color w:val="auto"/>
          <w:kern w:val="2"/>
          <w:lang w:eastAsia="en-US"/>
        </w:rPr>
        <w:t>、被投诉人的答</w:t>
      </w:r>
      <w:r>
        <w:rPr>
          <w:rFonts w:hint="eastAsia" w:ascii="方正黑体_GBK" w:hAnsi="方正黑体_GBK" w:eastAsia="方正黑体_GBK" w:cs="方正黑体_GBK"/>
          <w:color w:val="auto"/>
          <w:kern w:val="2"/>
          <w:lang w:eastAsia="zh-CN"/>
        </w:rPr>
        <w:t>复</w:t>
      </w:r>
      <w:r>
        <w:rPr>
          <w:rFonts w:hint="eastAsia" w:ascii="方正黑体_GBK" w:hAnsi="方正黑体_GBK" w:eastAsia="方正黑体_GBK" w:cs="方正黑体_GBK"/>
          <w:color w:val="auto"/>
          <w:kern w:val="2"/>
          <w:lang w:eastAsia="en-US"/>
        </w:rPr>
        <w:t>及请求</w:t>
      </w:r>
    </w:p>
    <w:p>
      <w:pPr>
        <w:widowControl w:val="0"/>
        <w:wordWrap/>
        <w:adjustRightInd/>
        <w:snapToGrid/>
        <w:spacing w:before="0" w:after="0" w:line="536"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针对投诉人</w:t>
      </w:r>
      <w:r>
        <w:rPr>
          <w:rFonts w:hint="eastAsia" w:ascii="方正仿宋_GBK" w:hAnsi="方正仿宋_GBK" w:eastAsia="方正仿宋_GBK" w:cs="方正仿宋_GBK"/>
          <w:color w:val="auto"/>
          <w:kern w:val="2"/>
          <w:sz w:val="32"/>
          <w:szCs w:val="32"/>
          <w:lang w:val="en-US" w:eastAsia="zh-CN"/>
        </w:rPr>
        <w:t>广东万政工程有限公司</w:t>
      </w:r>
      <w:r>
        <w:rPr>
          <w:rFonts w:hint="eastAsia" w:ascii="方正仿宋_GBK" w:hAnsi="方正仿宋_GBK" w:eastAsia="方正仿宋_GBK" w:cs="方正仿宋_GBK"/>
          <w:sz w:val="32"/>
          <w:szCs w:val="32"/>
        </w:rPr>
        <w:t>提出的投诉事项，被投诉人</w:t>
      </w:r>
      <w:r>
        <w:rPr>
          <w:rFonts w:hint="eastAsia" w:ascii="方正仿宋_GBK" w:hAnsi="方正仿宋_GBK" w:eastAsia="方正仿宋_GBK" w:cs="方正仿宋_GBK"/>
          <w:color w:val="auto"/>
          <w:kern w:val="2"/>
          <w:sz w:val="32"/>
          <w:szCs w:val="32"/>
          <w:lang w:val="en-US" w:eastAsia="zh-CN"/>
        </w:rPr>
        <w:t>重庆市綦江区横山学校</w:t>
      </w:r>
      <w:r>
        <w:rPr>
          <w:rFonts w:hint="eastAsia" w:ascii="方正仿宋_GBK" w:hAnsi="方正仿宋_GBK" w:eastAsia="方正仿宋_GBK" w:cs="方正仿宋_GBK"/>
          <w:sz w:val="32"/>
          <w:szCs w:val="32"/>
        </w:rPr>
        <w:t>认为：</w:t>
      </w:r>
    </w:p>
    <w:p>
      <w:pPr>
        <w:widowControl/>
        <w:wordWrap/>
        <w:adjustRightInd/>
        <w:snapToGrid/>
        <w:spacing w:before="0" w:after="0" w:line="536"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2"/>
        </w:rPr>
      </w:pPr>
      <w:r>
        <w:rPr>
          <w:rFonts w:hint="eastAsia" w:ascii="方正仿宋_GBK" w:hAnsi="方正仿宋_GBK" w:eastAsia="方正仿宋_GBK" w:cs="方正仿宋_GBK"/>
          <w:kern w:val="0"/>
          <w:sz w:val="32"/>
          <w:szCs w:val="32"/>
          <w:lang w:val="en-US" w:eastAsia="zh-CN"/>
        </w:rPr>
        <w:t>横山学校篮球实训基地项目招标文件于2023年3月23日在重庆市綦江区发展和改革委员会备案后，在指定媒介重庆市公共资源监督网和重庆市公共资源交易网（綦江区）发布公告</w:t>
      </w:r>
      <w:r>
        <w:rPr>
          <w:rFonts w:hint="eastAsia" w:ascii="方正仿宋_GBK" w:hAnsi="方正仿宋_GBK" w:eastAsia="方正仿宋_GBK" w:cs="方正仿宋_GBK"/>
          <w:sz w:val="32"/>
          <w:szCs w:val="32"/>
          <w:u w:val="none"/>
          <w:lang w:val="en-US" w:eastAsia="zh-CN"/>
        </w:rPr>
        <w:t>。2023年4月14日，该项目在綦江区公共资源服务公司开标，潜在投标人在规定时间内完成解密的电子投标文件的共15家，招标人在监督人员监督下对潜在投标人的投标保证金缴纳情况、信用情况完成查询。同日，招标人在重庆市综合评标专家库中抽取评标专家，组建评标委员会。评标委员会在工程招投标监督部门的监督下独立评标，评标结束后，向招标人提交了评标报告，并推选出了中标候选人。4月17日，招标人根据评标报告，在</w:t>
      </w:r>
      <w:r>
        <w:rPr>
          <w:rFonts w:hint="eastAsia" w:ascii="方正仿宋_GBK" w:hAnsi="方正仿宋_GBK" w:eastAsia="方正仿宋_GBK" w:cs="方正仿宋_GBK"/>
          <w:kern w:val="0"/>
          <w:sz w:val="32"/>
          <w:szCs w:val="32"/>
          <w:lang w:val="en-US" w:eastAsia="zh-CN"/>
        </w:rPr>
        <w:t>重庆市公共资源监督网和重庆市公共资源交易网（綦江区）上公示了中标候选人，公示期为：4月17日—4月20日。4月18日，招标人收到</w:t>
      </w:r>
      <w:r>
        <w:rPr>
          <w:rFonts w:hint="eastAsia" w:ascii="方正仿宋_GBK" w:hAnsi="方正仿宋_GBK" w:eastAsia="方正仿宋_GBK" w:cs="方正仿宋_GBK"/>
          <w:color w:val="auto"/>
          <w:kern w:val="2"/>
          <w:lang w:val="en-US" w:eastAsia="zh-CN"/>
        </w:rPr>
        <w:t>广东万政工程有限公司对中标结果的异议函，招标人在查阅了该项目的招投标文件、评标报告等相关资料后，当日对异议单位给与了书面回复。该项目的招投标活动均符合招标投标法律法规的相关要求，且严格按照评标委员会的评标报告公示中标候选人，投诉人投诉的情况无法律依据。</w:t>
      </w:r>
    </w:p>
    <w:p>
      <w:pPr>
        <w:widowControl/>
        <w:wordWrap/>
        <w:adjustRightInd/>
        <w:snapToGrid/>
        <w:spacing w:before="0" w:after="0" w:line="536" w:lineRule="exact"/>
        <w:ind w:left="0" w:leftChars="0" w:right="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auto"/>
          <w:kern w:val="2"/>
          <w:lang w:eastAsia="zh-CN"/>
        </w:rPr>
        <w:t>三、</w:t>
      </w:r>
      <w:r>
        <w:rPr>
          <w:rFonts w:hint="eastAsia" w:ascii="方正黑体_GBK" w:hAnsi="方正黑体_GBK" w:eastAsia="方正黑体_GBK" w:cs="方正黑体_GBK"/>
          <w:color w:val="auto"/>
          <w:kern w:val="2"/>
          <w:lang w:eastAsia="en-US"/>
        </w:rPr>
        <w:t>调查认定的基本事实</w:t>
      </w:r>
    </w:p>
    <w:p>
      <w:pPr>
        <w:widowControl w:val="0"/>
        <w:tabs>
          <w:tab w:val="left" w:pos="632"/>
        </w:tabs>
        <w:wordWrap/>
        <w:adjustRightInd w:val="0"/>
        <w:snapToGrid/>
        <w:spacing w:before="0" w:after="0" w:line="536" w:lineRule="exact"/>
        <w:ind w:left="0" w:leftChars="0" w:right="0" w:firstLine="630"/>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本机关受理投诉后，调阅了项目招标文件、答疑及其附件等档案资料，核查了投诉人及被投诉人提供的相关证据材料</w:t>
      </w:r>
      <w:r>
        <w:rPr>
          <w:rFonts w:hint="eastAsia" w:ascii="方正仿宋_GBK" w:hAnsi="方正仿宋_GBK" w:eastAsia="方正仿宋_GBK" w:cs="方正仿宋_GBK"/>
          <w:sz w:val="32"/>
          <w:szCs w:val="32"/>
          <w:lang w:eastAsia="zh-CN"/>
        </w:rPr>
        <w:t>，书面问询了评标专家、</w:t>
      </w:r>
      <w:r>
        <w:rPr>
          <w:rFonts w:hint="eastAsia" w:ascii="方正仿宋_GBK" w:hAnsi="方正仿宋_GBK" w:eastAsia="方正仿宋_GBK" w:cs="方正仿宋_GBK"/>
          <w:sz w:val="32"/>
          <w:szCs w:val="32"/>
          <w:lang w:val="en-US" w:eastAsia="zh-CN"/>
        </w:rPr>
        <w:t>被投诉人</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。调查结果如下：</w:t>
      </w:r>
    </w:p>
    <w:p>
      <w:pPr>
        <w:widowControl w:val="0"/>
        <w:tabs>
          <w:tab w:val="left" w:pos="632"/>
        </w:tabs>
        <w:wordWrap/>
        <w:adjustRightInd w:val="0"/>
        <w:snapToGrid/>
        <w:spacing w:before="0" w:after="0" w:line="536" w:lineRule="exact"/>
        <w:ind w:left="0" w:leftChars="0" w:right="0" w:firstLine="630"/>
        <w:jc w:val="both"/>
        <w:textAlignment w:val="baseline"/>
        <w:outlineLvl w:val="9"/>
        <w:rPr>
          <w:rFonts w:hint="eastAsia" w:ascii="方正仿宋_GBK" w:hAnsi="方正仿宋_GBK" w:eastAsia="方正仿宋_GBK" w:cs="方正仿宋_GBK"/>
          <w:sz w:val="32"/>
          <w:szCs w:val="32"/>
          <w:u w:val="none"/>
          <w:lang w:val="en-US"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lang w:val="en-US" w:eastAsia="zh-CN"/>
        </w:rPr>
        <w:t>关于项目的招标情况</w:t>
      </w:r>
    </w:p>
    <w:p>
      <w:pPr>
        <w:widowControl w:val="0"/>
        <w:tabs>
          <w:tab w:val="left" w:pos="632"/>
        </w:tabs>
        <w:wordWrap/>
        <w:adjustRightInd w:val="0"/>
        <w:snapToGrid/>
        <w:spacing w:before="0" w:after="0" w:line="536" w:lineRule="exact"/>
        <w:ind w:left="0" w:leftChars="0" w:right="0" w:firstLine="640" w:firstLineChars="200"/>
        <w:jc w:val="both"/>
        <w:textAlignment w:val="baseline"/>
        <w:outlineLvl w:val="9"/>
        <w:rPr>
          <w:rFonts w:hint="eastAsia"/>
          <w:lang w:val="en-US" w:eastAsia="zh-CN"/>
        </w:rPr>
      </w:pPr>
      <w:r>
        <w:rPr>
          <w:rFonts w:hint="eastAsia" w:ascii="Times New Roman" w:hAnsi="Times New Roman" w:eastAsia="方正仿宋_GBK" w:cs="Times New Roman"/>
          <w:kern w:val="0"/>
          <w:sz w:val="32"/>
          <w:szCs w:val="32"/>
          <w:lang w:val="en-US" w:eastAsia="zh-CN"/>
        </w:rPr>
        <w:t>横山学校篮球实训基地项目</w:t>
      </w:r>
      <w:r>
        <w:rPr>
          <w:rFonts w:hint="eastAsia" w:ascii="Times New Roman" w:hAnsi="Times New Roman" w:cs="Times New Roman"/>
          <w:kern w:val="0"/>
          <w:sz w:val="32"/>
          <w:szCs w:val="32"/>
          <w:lang w:val="en-US" w:eastAsia="zh-CN"/>
        </w:rPr>
        <w:t>于2023年3月23日在我委备案后，在指定媒介重庆市公共资源监督网和重庆市公共资源交易网（綦江区）发布招标公告等信息，挂网期间无异议、无投诉。</w:t>
      </w:r>
      <w:r>
        <w:rPr>
          <w:rFonts w:hint="eastAsia" w:ascii="方正仿宋_GBK" w:hAnsi="方正仿宋_GBK" w:cs="方正仿宋_GBK"/>
          <w:sz w:val="32"/>
          <w:szCs w:val="32"/>
          <w:u w:val="none"/>
          <w:lang w:val="en-US" w:eastAsia="zh-CN"/>
        </w:rPr>
        <w:t>2023年4月14日，在綦江区公共资源服务公司完成开标、评标，招标人根据评标报告公示中标候选人，并按程序书面回复对中标结果的异议。该项目招标投标活动未违背《招标投标法》、《重庆市招标投标条例》等法律法规的要求。</w:t>
      </w:r>
    </w:p>
    <w:p>
      <w:pPr>
        <w:widowControl w:val="0"/>
        <w:numPr>
          <w:ilvl w:val="0"/>
          <w:numId w:val="1"/>
        </w:numPr>
        <w:tabs>
          <w:tab w:val="left" w:pos="632"/>
        </w:tabs>
        <w:wordWrap/>
        <w:adjustRightInd w:val="0"/>
        <w:snapToGrid/>
        <w:spacing w:before="0" w:after="0" w:line="536" w:lineRule="exact"/>
        <w:ind w:left="0" w:leftChars="0" w:right="0" w:firstLine="630"/>
        <w:jc w:val="both"/>
        <w:textAlignment w:val="baseline"/>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关于项目的评标情况</w:t>
      </w:r>
    </w:p>
    <w:p>
      <w:pPr>
        <w:widowControl w:val="0"/>
        <w:numPr>
          <w:numId w:val="0"/>
        </w:numPr>
        <w:tabs>
          <w:tab w:val="left" w:pos="632"/>
        </w:tabs>
        <w:wordWrap/>
        <w:adjustRightInd w:val="0"/>
        <w:snapToGrid/>
        <w:spacing w:before="0" w:after="0" w:line="536" w:lineRule="exact"/>
        <w:ind w:left="0" w:leftChars="0" w:right="0" w:firstLine="640" w:firstLineChars="200"/>
        <w:jc w:val="both"/>
        <w:textAlignment w:val="baseline"/>
        <w:outlineLvl w:val="9"/>
        <w:rPr>
          <w:rFonts w:hint="eastAsia" w:ascii="方正仿宋_GBK" w:hAnsi="方正仿宋_GBK" w:cs="方正仿宋_GBK"/>
          <w:spacing w:val="-11"/>
          <w:sz w:val="32"/>
          <w:szCs w:val="32"/>
          <w:u w:val="none"/>
          <w:lang w:val="en-US" w:eastAsia="zh-CN"/>
        </w:rPr>
      </w:pPr>
      <w:r>
        <w:rPr>
          <w:rFonts w:hint="eastAsia" w:ascii="方正仿宋_GBK" w:hAnsi="方正仿宋_GBK" w:eastAsia="方正仿宋_GBK" w:cs="方正仿宋_GBK"/>
          <w:b w:val="0"/>
          <w:bCs w:val="0"/>
          <w:sz w:val="32"/>
          <w:szCs w:val="32"/>
          <w:lang w:val="en-US" w:eastAsia="zh-CN"/>
        </w:rPr>
        <w:t>2023年4月14日，</w:t>
      </w:r>
      <w:r>
        <w:rPr>
          <w:rFonts w:hint="eastAsia" w:ascii="Times New Roman" w:hAnsi="Times New Roman" w:eastAsia="方正仿宋_GBK" w:cs="Times New Roman"/>
          <w:b w:val="0"/>
          <w:bCs w:val="0"/>
          <w:spacing w:val="-11"/>
          <w:kern w:val="0"/>
          <w:sz w:val="32"/>
          <w:szCs w:val="32"/>
          <w:lang w:val="en-US" w:eastAsia="zh-CN"/>
        </w:rPr>
        <w:t>横山学校篮球实训基地项目</w:t>
      </w:r>
      <w:r>
        <w:rPr>
          <w:rFonts w:hint="eastAsia" w:ascii="方正仿宋_GBK" w:hAnsi="方正仿宋_GBK" w:cs="方正仿宋_GBK"/>
          <w:spacing w:val="-11"/>
          <w:sz w:val="32"/>
          <w:szCs w:val="32"/>
          <w:u w:val="none"/>
          <w:lang w:val="en-US" w:eastAsia="zh-CN"/>
        </w:rPr>
        <w:t>在綦江区公共资源服务公司开标，参与投标的企业共15家。在监督部门监督下，招标人在重庆市综合评标专家库中抽取5名评标专家，组建评标委员会。评标委员会成员根据招标文件评标办法和要求进行独立评审。</w:t>
      </w:r>
    </w:p>
    <w:p>
      <w:pPr>
        <w:widowControl w:val="0"/>
        <w:numPr>
          <w:numId w:val="0"/>
        </w:numPr>
        <w:tabs>
          <w:tab w:val="left" w:pos="632"/>
        </w:tabs>
        <w:wordWrap/>
        <w:adjustRightInd w:val="0"/>
        <w:snapToGrid/>
        <w:spacing w:before="0" w:after="0" w:line="536" w:lineRule="exact"/>
        <w:ind w:left="0" w:leftChars="0" w:right="0" w:firstLine="640" w:firstLineChars="200"/>
        <w:jc w:val="both"/>
        <w:textAlignment w:val="baseline"/>
        <w:outlineLvl w:val="9"/>
        <w:rPr>
          <w:rFonts w:hint="eastAsia" w:ascii="方正仿宋_GBK" w:hAnsi="方正仿宋_GBK" w:cs="方正仿宋_GBK"/>
          <w:color w:val="auto"/>
          <w:kern w:val="2"/>
          <w:lang w:val="en-US" w:eastAsia="zh-CN"/>
        </w:rPr>
      </w:pPr>
      <w:r>
        <w:rPr>
          <w:rFonts w:hint="eastAsia" w:ascii="方正仿宋_GBK" w:hAnsi="方正仿宋_GBK" w:cs="方正仿宋_GBK"/>
          <w:sz w:val="32"/>
          <w:szCs w:val="32"/>
          <w:u w:val="none"/>
          <w:lang w:val="en-US" w:eastAsia="zh-CN"/>
        </w:rPr>
        <w:t>在资格审查阶段，</w:t>
      </w:r>
      <w:r>
        <w:rPr>
          <w:rFonts w:hint="eastAsia" w:ascii="方正仿宋_GBK" w:hAnsi="方正仿宋_GBK" w:cs="方正仿宋_GBK"/>
          <w:color w:val="auto"/>
          <w:kern w:val="2"/>
          <w:lang w:val="en-US" w:eastAsia="zh-CN"/>
        </w:rPr>
        <w:t>广东万政工程有限公司资格审查（投标函中工期和工程质量响应的认定）部分专家提出争议，5名评标专家分别陈述了意见，经过集体讨论、表决，其中：4名专家认为该公司投标函中表述的工期和工程质量响应与招标文件中</w:t>
      </w:r>
      <w:r>
        <w:rPr>
          <w:rFonts w:hint="eastAsia" w:ascii="方正仿宋_GBK" w:hAnsi="方正仿宋_GBK" w:eastAsia="方正仿宋_GBK" w:cs="方正仿宋_GBK"/>
          <w:sz w:val="32"/>
          <w:szCs w:val="32"/>
          <w:u w:val="none"/>
          <w:lang w:val="en-US" w:eastAsia="zh-CN"/>
        </w:rPr>
        <w:t>第二章“投标人须知”第1.3.2项、第1.3.3项规定</w:t>
      </w:r>
      <w:r>
        <w:rPr>
          <w:rFonts w:hint="eastAsia" w:ascii="方正仿宋_GBK" w:hAnsi="方正仿宋_GBK" w:cs="方正仿宋_GBK"/>
          <w:sz w:val="32"/>
          <w:szCs w:val="32"/>
          <w:u w:val="none"/>
          <w:lang w:val="en-US" w:eastAsia="zh-CN"/>
        </w:rPr>
        <w:t>不符，根据</w:t>
      </w:r>
      <w:r>
        <w:rPr>
          <w:rFonts w:hint="eastAsia" w:ascii="方正仿宋_GBK" w:hAnsi="方正仿宋_GBK" w:eastAsia="方正仿宋_GBK" w:cs="方正仿宋_GBK"/>
          <w:sz w:val="32"/>
          <w:szCs w:val="32"/>
          <w:u w:val="none"/>
          <w:lang w:val="en-US" w:eastAsia="zh-CN"/>
        </w:rPr>
        <w:t>招标文件《否决投标情形一览表》A-20</w:t>
      </w:r>
      <w:r>
        <w:rPr>
          <w:rFonts w:hint="eastAsia" w:ascii="方正仿宋_GBK" w:hAnsi="方正仿宋_GBK" w:cs="方正仿宋_GBK"/>
          <w:sz w:val="32"/>
          <w:szCs w:val="32"/>
          <w:u w:val="none"/>
          <w:lang w:val="en-US" w:eastAsia="zh-CN"/>
        </w:rPr>
        <w:t>、</w:t>
      </w:r>
      <w:r>
        <w:rPr>
          <w:rFonts w:hint="eastAsia" w:ascii="方正仿宋_GBK" w:hAnsi="方正仿宋_GBK" w:eastAsia="方正仿宋_GBK" w:cs="方正仿宋_GBK"/>
          <w:sz w:val="32"/>
          <w:szCs w:val="32"/>
          <w:u w:val="none"/>
          <w:lang w:val="en-US" w:eastAsia="zh-CN"/>
        </w:rPr>
        <w:t>A-21</w:t>
      </w:r>
      <w:r>
        <w:rPr>
          <w:rFonts w:hint="eastAsia" w:ascii="方正仿宋_GBK" w:hAnsi="方正仿宋_GBK" w:cs="方正仿宋_GBK"/>
          <w:sz w:val="32"/>
          <w:szCs w:val="32"/>
          <w:u w:val="none"/>
          <w:lang w:val="en-US" w:eastAsia="zh-CN"/>
        </w:rPr>
        <w:t>的规定，对其投标资格审查不予通过。</w:t>
      </w:r>
      <w:r>
        <w:rPr>
          <w:rFonts w:hint="eastAsia" w:ascii="方正仿宋_GBK" w:hAnsi="方正仿宋_GBK" w:cs="方正仿宋_GBK"/>
          <w:color w:val="auto"/>
          <w:kern w:val="2"/>
          <w:lang w:val="en-US" w:eastAsia="zh-CN"/>
        </w:rPr>
        <w:t>按照简单多数原则，评标委员会对其作出了否决投标的决定。评标委员会对不同意见作了记载。评标活动符合《重庆市综合评标专家库和评标专家管理暂行办法》相关要求。</w:t>
      </w:r>
    </w:p>
    <w:p>
      <w:pPr>
        <w:widowControl w:val="0"/>
        <w:numPr>
          <w:numId w:val="0"/>
        </w:numPr>
        <w:tabs>
          <w:tab w:val="left" w:pos="632"/>
        </w:tabs>
        <w:wordWrap/>
        <w:adjustRightInd w:val="0"/>
        <w:snapToGrid/>
        <w:spacing w:before="0" w:after="0" w:line="536" w:lineRule="exact"/>
        <w:ind w:left="0" w:leftChars="0" w:right="0" w:firstLine="640" w:firstLineChars="200"/>
        <w:jc w:val="both"/>
        <w:textAlignment w:val="baseline"/>
        <w:outlineLvl w:val="9"/>
        <w:rPr>
          <w:rFonts w:hint="eastAsia"/>
          <w:b w:val="0"/>
          <w:bCs w:val="0"/>
        </w:rPr>
      </w:pPr>
      <w:r>
        <w:rPr>
          <w:rFonts w:hint="eastAsia"/>
          <w:b w:val="0"/>
          <w:bCs w:val="0"/>
          <w:lang w:val="en-US" w:eastAsia="zh-CN"/>
        </w:rPr>
        <w:t>以上情况有评标过程记载资料和评标专家的问询函复佐证。</w:t>
      </w:r>
    </w:p>
    <w:p>
      <w:pPr>
        <w:tabs>
          <w:tab w:val="left" w:pos="632"/>
        </w:tabs>
        <w:wordWrap/>
        <w:snapToGrid/>
        <w:spacing w:before="0" w:after="0" w:line="536" w:lineRule="exact"/>
        <w:ind w:left="0" w:leftChars="0" w:right="0" w:firstLine="640" w:firstLineChars="200"/>
        <w:jc w:val="both"/>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四、处理意见及依据</w:t>
      </w:r>
    </w:p>
    <w:p>
      <w:pPr>
        <w:tabs>
          <w:tab w:val="left" w:pos="632"/>
        </w:tabs>
        <w:wordWrap/>
        <w:snapToGrid/>
        <w:spacing w:before="0" w:after="0" w:line="536" w:lineRule="exact"/>
        <w:ind w:left="0" w:leftChars="0" w:right="0" w:firstLine="630"/>
        <w:jc w:val="both"/>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根据调查认定的基本事实，投诉人</w:t>
      </w:r>
      <w:r>
        <w:rPr>
          <w:rFonts w:hint="eastAsia" w:ascii="方正仿宋_GBK" w:hAnsi="方正仿宋_GBK" w:eastAsia="方正仿宋_GBK" w:cs="方正仿宋_GBK"/>
          <w:color w:val="auto"/>
          <w:kern w:val="2"/>
          <w:sz w:val="32"/>
          <w:szCs w:val="32"/>
          <w:lang w:val="en-US" w:eastAsia="zh-CN"/>
        </w:rPr>
        <w:t>广东万政工程有限公司</w:t>
      </w:r>
      <w:r>
        <w:rPr>
          <w:rFonts w:hint="eastAsia" w:ascii="方正仿宋_GBK" w:hAnsi="方正仿宋_GBK" w:eastAsia="方正仿宋_GBK" w:cs="方正仿宋_GBK"/>
          <w:sz w:val="32"/>
          <w:szCs w:val="32"/>
        </w:rPr>
        <w:t>的投诉缺乏事实根据和法律依据，经研究，本机关决定：根据《工程建设项目招标投标活动投诉处理办法》第二十条</w:t>
      </w:r>
      <w:r>
        <w:rPr>
          <w:rFonts w:hint="eastAsia" w:ascii="方正仿宋_GBK" w:hAnsi="方正仿宋_GBK" w:eastAsia="方正仿宋_GBK" w:cs="方正仿宋_GBK"/>
          <w:sz w:val="32"/>
          <w:szCs w:val="32"/>
          <w:lang w:eastAsia="zh-CN"/>
        </w:rPr>
        <w:t>、《重庆市招标投标活动投诉处理实施细则（修订）》第三十四条</w:t>
      </w:r>
      <w:r>
        <w:rPr>
          <w:rFonts w:hint="eastAsia" w:ascii="方正仿宋_GBK" w:hAnsi="方正仿宋_GBK" w:eastAsia="方正仿宋_GBK" w:cs="方正仿宋_GBK"/>
          <w:sz w:val="32"/>
          <w:szCs w:val="32"/>
        </w:rPr>
        <w:t>规定，驳回投诉人</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投诉。</w:t>
      </w:r>
    </w:p>
    <w:p>
      <w:pPr>
        <w:widowControl/>
        <w:wordWrap/>
        <w:adjustRightInd/>
        <w:snapToGrid/>
        <w:spacing w:before="0" w:after="0" w:line="536" w:lineRule="exact"/>
        <w:ind w:left="0" w:leftChars="0" w:right="0" w:firstLine="640" w:firstLineChars="200"/>
        <w:jc w:val="both"/>
        <w:textAlignment w:val="auto"/>
        <w:outlineLvl w:val="9"/>
        <w:rPr>
          <w:rFonts w:hint="eastAsia" w:ascii="方正仿宋_GBK" w:hAnsi="方正仿宋_GBK" w:cs="方正仿宋_GBK"/>
          <w:color w:val="auto"/>
          <w:kern w:val="2"/>
          <w:lang w:eastAsia="en-US"/>
        </w:rPr>
      </w:pPr>
      <w:r>
        <w:rPr>
          <w:rFonts w:hint="eastAsia" w:ascii="方正仿宋_GBK" w:hAnsi="方正仿宋_GBK" w:cs="方正仿宋_GBK"/>
          <w:color w:val="auto"/>
          <w:kern w:val="2"/>
        </w:rPr>
        <w:t>如对</w:t>
      </w:r>
      <w:r>
        <w:rPr>
          <w:rFonts w:hint="eastAsia" w:ascii="方正仿宋_GBK" w:hAnsi="方正仿宋_GBK" w:cs="方正仿宋_GBK"/>
          <w:color w:val="auto"/>
          <w:kern w:val="2"/>
          <w:lang w:eastAsia="en-US"/>
        </w:rPr>
        <w:t>本</w:t>
      </w:r>
      <w:r>
        <w:rPr>
          <w:rFonts w:hint="eastAsia" w:ascii="方正仿宋_GBK" w:hAnsi="方正仿宋_GBK" w:cs="方正仿宋_GBK"/>
          <w:color w:val="auto"/>
          <w:kern w:val="2"/>
        </w:rPr>
        <w:t>行政</w:t>
      </w:r>
      <w:r>
        <w:rPr>
          <w:rFonts w:hint="eastAsia" w:ascii="方正仿宋_GBK" w:hAnsi="方正仿宋_GBK" w:cs="方正仿宋_GBK"/>
          <w:color w:val="auto"/>
          <w:kern w:val="2"/>
          <w:lang w:eastAsia="en-US"/>
        </w:rPr>
        <w:t>处理决定</w:t>
      </w:r>
      <w:r>
        <w:rPr>
          <w:rFonts w:hint="eastAsia" w:ascii="方正仿宋_GBK" w:hAnsi="方正仿宋_GBK" w:cs="方正仿宋_GBK"/>
          <w:color w:val="auto"/>
          <w:kern w:val="2"/>
        </w:rPr>
        <w:t>不服</w:t>
      </w:r>
      <w:r>
        <w:rPr>
          <w:rFonts w:hint="eastAsia" w:ascii="方正仿宋_GBK" w:hAnsi="方正仿宋_GBK" w:cs="方正仿宋_GBK"/>
          <w:color w:val="auto"/>
          <w:kern w:val="2"/>
          <w:lang w:eastAsia="en-US"/>
        </w:rPr>
        <w:t>，可</w:t>
      </w:r>
      <w:r>
        <w:rPr>
          <w:rFonts w:hint="eastAsia" w:ascii="方正仿宋_GBK" w:hAnsi="方正仿宋_GBK" w:cs="方正仿宋_GBK"/>
          <w:color w:val="auto"/>
          <w:kern w:val="2"/>
        </w:rPr>
        <w:t>在</w:t>
      </w:r>
      <w:r>
        <w:rPr>
          <w:rFonts w:hint="eastAsia" w:ascii="方正仿宋_GBK" w:hAnsi="方正仿宋_GBK" w:cs="方正仿宋_GBK"/>
          <w:color w:val="auto"/>
          <w:kern w:val="2"/>
          <w:lang w:eastAsia="en-US"/>
        </w:rPr>
        <w:t>收到本决定</w:t>
      </w:r>
      <w:r>
        <w:rPr>
          <w:rFonts w:hint="eastAsia" w:ascii="方正仿宋_GBK" w:hAnsi="方正仿宋_GBK" w:cs="方正仿宋_GBK"/>
          <w:color w:val="auto"/>
          <w:kern w:val="2"/>
          <w:lang w:eastAsia="zh-CN"/>
        </w:rPr>
        <w:t>书</w:t>
      </w:r>
      <w:r>
        <w:rPr>
          <w:rFonts w:hint="eastAsia" w:ascii="方正仿宋_GBK" w:hAnsi="方正仿宋_GBK" w:cs="方正仿宋_GBK"/>
          <w:color w:val="auto"/>
          <w:kern w:val="2"/>
          <w:lang w:eastAsia="en-US"/>
        </w:rPr>
        <w:t>之日起</w:t>
      </w:r>
      <w:r>
        <w:rPr>
          <w:rFonts w:hint="eastAsia" w:ascii="方正仿宋_GBK" w:hAnsi="方正仿宋_GBK" w:cs="方正仿宋_GBK"/>
          <w:color w:val="auto"/>
          <w:kern w:val="2"/>
        </w:rPr>
        <w:t>60</w:t>
      </w:r>
      <w:r>
        <w:rPr>
          <w:rFonts w:hint="eastAsia" w:ascii="方正仿宋_GBK" w:hAnsi="方正仿宋_GBK" w:cs="方正仿宋_GBK"/>
          <w:color w:val="auto"/>
          <w:kern w:val="2"/>
          <w:lang w:eastAsia="en-US"/>
        </w:rPr>
        <w:t>日内依法向</w:t>
      </w:r>
      <w:r>
        <w:rPr>
          <w:rFonts w:hint="eastAsia" w:ascii="方正仿宋_GBK" w:hAnsi="方正仿宋_GBK" w:cs="方正仿宋_GBK"/>
          <w:color w:val="auto"/>
          <w:kern w:val="2"/>
          <w:u w:val="none"/>
          <w:lang w:val="en-US" w:eastAsia="zh-CN"/>
        </w:rPr>
        <w:t>重庆市綦江区人民政府</w:t>
      </w:r>
      <w:r>
        <w:rPr>
          <w:rFonts w:hint="eastAsia" w:ascii="方正仿宋_GBK" w:hAnsi="方正仿宋_GBK" w:cs="方正仿宋_GBK"/>
          <w:color w:val="auto"/>
          <w:kern w:val="2"/>
        </w:rPr>
        <w:t>提起</w:t>
      </w:r>
      <w:r>
        <w:rPr>
          <w:rFonts w:hint="eastAsia" w:ascii="方正仿宋_GBK" w:hAnsi="方正仿宋_GBK" w:cs="方正仿宋_GBK"/>
          <w:color w:val="auto"/>
          <w:kern w:val="2"/>
          <w:lang w:eastAsia="en-US"/>
        </w:rPr>
        <w:t>行政复议，或</w:t>
      </w:r>
      <w:r>
        <w:rPr>
          <w:rFonts w:hint="eastAsia" w:ascii="方正仿宋_GBK" w:hAnsi="方正仿宋_GBK" w:cs="方正仿宋_GBK"/>
          <w:color w:val="auto"/>
          <w:kern w:val="2"/>
        </w:rPr>
        <w:t>在</w:t>
      </w:r>
      <w:r>
        <w:rPr>
          <w:rFonts w:hint="eastAsia" w:ascii="方正仿宋_GBK" w:hAnsi="方正仿宋_GBK" w:cs="方正仿宋_GBK"/>
          <w:color w:val="auto"/>
          <w:kern w:val="2"/>
          <w:lang w:eastAsia="en-US"/>
        </w:rPr>
        <w:t>收到本决定</w:t>
      </w:r>
      <w:r>
        <w:rPr>
          <w:rFonts w:hint="eastAsia" w:ascii="方正仿宋_GBK" w:hAnsi="方正仿宋_GBK" w:cs="方正仿宋_GBK"/>
          <w:color w:val="auto"/>
          <w:kern w:val="2"/>
          <w:lang w:eastAsia="zh-CN"/>
        </w:rPr>
        <w:t>书</w:t>
      </w:r>
      <w:r>
        <w:rPr>
          <w:rFonts w:hint="eastAsia" w:ascii="方正仿宋_GBK" w:hAnsi="方正仿宋_GBK" w:cs="方正仿宋_GBK"/>
          <w:color w:val="auto"/>
          <w:kern w:val="2"/>
          <w:lang w:eastAsia="en-US"/>
        </w:rPr>
        <w:t>之日起</w:t>
      </w:r>
      <w:r>
        <w:rPr>
          <w:rFonts w:hint="eastAsia" w:ascii="方正仿宋_GBK" w:hAnsi="方正仿宋_GBK" w:cs="方正仿宋_GBK"/>
          <w:color w:val="auto"/>
          <w:kern w:val="2"/>
        </w:rPr>
        <w:t>6</w:t>
      </w:r>
      <w:r>
        <w:rPr>
          <w:rFonts w:hint="eastAsia" w:ascii="方正仿宋_GBK" w:hAnsi="方正仿宋_GBK" w:cs="方正仿宋_GBK"/>
          <w:color w:val="auto"/>
          <w:kern w:val="2"/>
          <w:lang w:eastAsia="en-US"/>
        </w:rPr>
        <w:t>个月内依法向</w:t>
      </w:r>
      <w:r>
        <w:rPr>
          <w:rFonts w:hint="eastAsia" w:ascii="方正仿宋_GBK" w:hAnsi="方正仿宋_GBK" w:cs="方正仿宋_GBK"/>
          <w:color w:val="auto"/>
          <w:kern w:val="2"/>
        </w:rPr>
        <w:t>有管辖权的</w:t>
      </w:r>
      <w:r>
        <w:rPr>
          <w:rFonts w:hint="eastAsia" w:ascii="方正仿宋_GBK" w:hAnsi="方正仿宋_GBK" w:cs="方正仿宋_GBK"/>
          <w:color w:val="auto"/>
          <w:kern w:val="2"/>
          <w:lang w:eastAsia="en-US"/>
        </w:rPr>
        <w:t>人民法院提起行政诉讼。</w:t>
      </w:r>
    </w:p>
    <w:p>
      <w:pPr>
        <w:widowControl/>
        <w:wordWrap/>
        <w:adjustRightInd/>
        <w:snapToGrid/>
        <w:spacing w:before="0" w:after="0" w:line="536" w:lineRule="exact"/>
        <w:ind w:left="0" w:leftChars="0" w:right="0" w:firstLine="0" w:firstLineChars="0"/>
        <w:jc w:val="both"/>
        <w:textAlignment w:val="auto"/>
        <w:outlineLvl w:val="9"/>
        <w:rPr>
          <w:rFonts w:hint="eastAsia" w:ascii="方正仿宋_GBK" w:hAnsi="方正仿宋_GBK" w:cs="方正仿宋_GBK"/>
          <w:color w:val="auto"/>
          <w:kern w:val="2"/>
          <w:lang w:eastAsia="en-US"/>
        </w:rPr>
      </w:pPr>
    </w:p>
    <w:p>
      <w:pPr>
        <w:widowControl/>
        <w:wordWrap/>
        <w:adjustRightInd/>
        <w:snapToGrid/>
        <w:spacing w:before="0" w:after="0" w:line="536" w:lineRule="exact"/>
        <w:ind w:left="0" w:leftChars="0" w:right="0" w:firstLine="0" w:firstLineChars="0"/>
        <w:textAlignment w:val="auto"/>
        <w:outlineLvl w:val="9"/>
        <w:rPr>
          <w:rFonts w:hint="eastAsia" w:ascii="方正仿宋_GBK" w:hAnsi="方正仿宋_GBK" w:cs="方正仿宋_GBK"/>
          <w:color w:val="auto"/>
          <w:kern w:val="2"/>
          <w:lang w:eastAsia="en-US"/>
        </w:rPr>
      </w:pPr>
    </w:p>
    <w:p>
      <w:pPr>
        <w:widowControl/>
        <w:wordWrap/>
        <w:adjustRightInd/>
        <w:snapToGrid/>
        <w:spacing w:before="0" w:after="0" w:line="536" w:lineRule="exact"/>
        <w:ind w:left="0" w:leftChars="0" w:right="0"/>
        <w:jc w:val="both"/>
        <w:textAlignment w:val="auto"/>
        <w:outlineLvl w:val="9"/>
        <w:rPr>
          <w:rFonts w:hint="eastAsia" w:ascii="方正仿宋_GBK" w:hAnsi="方正仿宋_GBK" w:cs="方正仿宋_GBK"/>
          <w:color w:val="auto"/>
          <w:kern w:val="2"/>
          <w:lang w:val="en-US" w:eastAsia="zh-CN"/>
        </w:rPr>
      </w:pPr>
      <w:r>
        <w:rPr>
          <w:rFonts w:hint="eastAsia" w:ascii="方正仿宋_GBK" w:hAnsi="方正仿宋_GBK" w:cs="方正仿宋_GBK"/>
          <w:color w:val="auto"/>
          <w:kern w:val="2"/>
          <w:lang w:val="en-US" w:eastAsia="zh-CN"/>
        </w:rPr>
        <w:t xml:space="preserve">                        重庆市綦江区发展和改革委员会</w:t>
      </w:r>
    </w:p>
    <w:p>
      <w:pPr>
        <w:widowControl/>
        <w:wordWrap/>
        <w:adjustRightInd/>
        <w:snapToGrid/>
        <w:spacing w:before="0" w:after="0" w:line="536" w:lineRule="exact"/>
        <w:ind w:left="0" w:leftChars="0" w:right="0"/>
        <w:jc w:val="both"/>
        <w:textAlignment w:val="auto"/>
        <w:outlineLvl w:val="9"/>
        <w:rPr>
          <w:rFonts w:hint="eastAsia" w:ascii="方正仿宋_GBK" w:hAnsi="方正仿宋_GBK" w:cs="方正仿宋_GBK"/>
          <w:color w:val="auto"/>
          <w:lang w:val="en-US" w:eastAsia="zh-CN"/>
        </w:rPr>
      </w:pPr>
      <w:r>
        <w:rPr>
          <w:rFonts w:hint="eastAsia" w:ascii="方正仿宋_GBK" w:hAnsi="方正仿宋_GBK" w:cs="方正仿宋_GBK"/>
          <w:color w:val="auto"/>
          <w:lang w:val="en-US" w:eastAsia="zh-CN"/>
        </w:rPr>
        <w:t xml:space="preserve">                              2023</w:t>
      </w:r>
      <w:r>
        <w:rPr>
          <w:rFonts w:hint="eastAsia" w:ascii="方正仿宋_GBK" w:hAnsi="方正仿宋_GBK" w:cs="方正仿宋_GBK"/>
          <w:color w:val="auto"/>
          <w:lang w:eastAsia="en-US"/>
        </w:rPr>
        <w:t>年</w:t>
      </w:r>
      <w:r>
        <w:rPr>
          <w:rFonts w:hint="eastAsia" w:ascii="方正仿宋_GBK" w:hAnsi="方正仿宋_GBK" w:cs="方正仿宋_GBK"/>
          <w:color w:val="auto"/>
          <w:lang w:val="en-US" w:eastAsia="zh-CN"/>
        </w:rPr>
        <w:t>4</w:t>
      </w:r>
      <w:r>
        <w:rPr>
          <w:rFonts w:hint="eastAsia" w:ascii="方正仿宋_GBK" w:hAnsi="方正仿宋_GBK" w:cs="方正仿宋_GBK"/>
          <w:color w:val="auto"/>
          <w:lang w:eastAsia="en-US"/>
        </w:rPr>
        <w:t>月</w:t>
      </w:r>
      <w:r>
        <w:rPr>
          <w:rFonts w:hint="eastAsia" w:ascii="方正仿宋_GBK" w:hAnsi="方正仿宋_GBK" w:cs="方正仿宋_GBK"/>
          <w:color w:val="auto"/>
          <w:lang w:val="en-US" w:eastAsia="zh-CN"/>
        </w:rPr>
        <w:t>28</w:t>
      </w:r>
      <w:r>
        <w:rPr>
          <w:rFonts w:hint="eastAsia" w:ascii="方正仿宋_GBK" w:hAnsi="方正仿宋_GBK" w:cs="方正仿宋_GBK"/>
          <w:color w:val="auto"/>
          <w:lang w:eastAsia="en-US"/>
        </w:rPr>
        <w:t>日</w:t>
      </w:r>
      <w:r>
        <w:rPr>
          <w:rFonts w:hint="eastAsia" w:ascii="方正仿宋_GBK" w:hAnsi="方正仿宋_GBK" w:cs="方正仿宋_GBK"/>
          <w:color w:val="auto"/>
          <w:lang w:val="en-US" w:eastAsia="zh-CN"/>
        </w:rPr>
        <w:t xml:space="preserve">  </w:t>
      </w:r>
    </w:p>
    <w:p>
      <w:pPr>
        <w:widowControl/>
        <w:wordWrap/>
        <w:adjustRightInd/>
        <w:snapToGrid/>
        <w:spacing w:before="0" w:after="0" w:line="536" w:lineRule="exact"/>
        <w:ind w:left="0" w:leftChars="0" w:right="0"/>
        <w:jc w:val="both"/>
        <w:textAlignment w:val="auto"/>
        <w:outlineLvl w:val="9"/>
        <w:rPr>
          <w:rFonts w:hint="eastAsia" w:ascii="方正仿宋_GBK" w:hAnsi="方正仿宋_GBK" w:cs="方正仿宋_GBK"/>
          <w:color w:val="auto"/>
          <w:lang w:val="en-US" w:eastAsia="zh-CN"/>
        </w:rPr>
      </w:pPr>
      <w:r>
        <w:rPr>
          <w:rFonts w:hint="eastAsia" w:ascii="方正仿宋_GBK" w:hAnsi="方正仿宋_GBK" w:cs="方正仿宋_GBK"/>
          <w:color w:val="auto"/>
          <w:lang w:val="en-US" w:eastAsia="zh-CN"/>
        </w:rPr>
        <w:t xml:space="preserve">  </w:t>
      </w:r>
      <w:bookmarkStart w:id="0" w:name="_GoBack"/>
      <w:bookmarkEnd w:id="0"/>
      <w:r>
        <w:rPr>
          <w:rFonts w:hint="eastAsia" w:ascii="方正仿宋_GBK" w:hAnsi="方正仿宋_GBK" w:cs="方正仿宋_GBK"/>
          <w:color w:val="auto"/>
          <w:lang w:val="en-US" w:eastAsia="zh-CN"/>
        </w:rPr>
        <w:t xml:space="preserve">（此件公开发布） </w:t>
      </w:r>
    </w:p>
    <w:p>
      <w:pPr>
        <w:widowControl/>
        <w:wordWrap/>
        <w:adjustRightInd/>
        <w:snapToGrid/>
        <w:spacing w:before="0" w:after="0" w:line="60" w:lineRule="exact"/>
        <w:ind w:left="0" w:leftChars="0" w:right="0" w:firstLine="0" w:firstLineChars="0"/>
        <w:jc w:val="both"/>
        <w:textAlignment w:val="auto"/>
        <w:outlineLvl w:val="9"/>
        <w:rPr>
          <w:rFonts w:hint="eastAsia" w:ascii="方正仿宋_GBK" w:hAnsi="方正仿宋_GBK" w:cs="方正仿宋_GBK"/>
          <w:color w:val="auto"/>
          <w:lang w:val="en-US" w:eastAsia="zh-CN"/>
        </w:rPr>
      </w:pPr>
    </w:p>
    <w:p>
      <w:pPr>
        <w:widowControl/>
        <w:wordWrap/>
        <w:adjustRightInd/>
        <w:snapToGrid/>
        <w:spacing w:before="0" w:after="0" w:line="60" w:lineRule="exact"/>
        <w:ind w:left="0" w:leftChars="0" w:right="0" w:firstLine="0" w:firstLineChars="0"/>
        <w:jc w:val="both"/>
        <w:textAlignment w:val="auto"/>
        <w:outlineLvl w:val="9"/>
        <w:rPr>
          <w:rFonts w:hint="eastAsia" w:ascii="方正仿宋_GBK" w:hAnsi="方正仿宋_GBK" w:cs="方正仿宋_GBK"/>
          <w:color w:val="auto"/>
          <w:lang w:val="en-US" w:eastAsia="zh-CN"/>
        </w:rPr>
      </w:pPr>
    </w:p>
    <w:p>
      <w:pPr>
        <w:widowControl/>
        <w:wordWrap/>
        <w:adjustRightInd/>
        <w:snapToGrid/>
        <w:spacing w:before="0" w:after="0" w:line="60" w:lineRule="exact"/>
        <w:ind w:left="0" w:leftChars="0" w:right="0" w:firstLine="0" w:firstLineChars="0"/>
        <w:jc w:val="both"/>
        <w:textAlignment w:val="auto"/>
        <w:outlineLvl w:val="9"/>
        <w:rPr>
          <w:rFonts w:hint="eastAsia" w:ascii="方正仿宋_GBK" w:hAnsi="方正仿宋_GBK" w:cs="方正仿宋_GBK"/>
          <w:color w:val="auto"/>
          <w:lang w:val="en-US" w:eastAsia="zh-CN"/>
        </w:rPr>
      </w:pPr>
    </w:p>
    <w:p>
      <w:pPr>
        <w:widowControl/>
        <w:wordWrap/>
        <w:adjustRightInd/>
        <w:snapToGrid/>
        <w:spacing w:before="0" w:after="0" w:line="60" w:lineRule="exact"/>
        <w:ind w:left="0" w:leftChars="0" w:right="0" w:firstLine="0" w:firstLineChars="0"/>
        <w:jc w:val="both"/>
        <w:textAlignment w:val="auto"/>
        <w:outlineLvl w:val="9"/>
        <w:rPr>
          <w:rFonts w:hint="eastAsia" w:ascii="方正仿宋_GBK" w:hAnsi="方正仿宋_GBK" w:cs="方正仿宋_GBK"/>
          <w:color w:val="auto"/>
          <w:lang w:val="en-US" w:eastAsia="zh-CN"/>
        </w:rPr>
      </w:pPr>
    </w:p>
    <w:p>
      <w:pPr>
        <w:widowControl/>
        <w:wordWrap/>
        <w:adjustRightInd/>
        <w:snapToGrid/>
        <w:spacing w:before="0" w:after="0" w:line="60" w:lineRule="exact"/>
        <w:ind w:left="0" w:leftChars="0" w:right="0" w:firstLine="0" w:firstLineChars="0"/>
        <w:jc w:val="both"/>
        <w:textAlignment w:val="auto"/>
        <w:outlineLvl w:val="9"/>
        <w:rPr>
          <w:rFonts w:hint="eastAsia" w:ascii="方正仿宋_GBK" w:hAnsi="方正仿宋_GBK" w:cs="方正仿宋_GBK"/>
          <w:color w:val="auto"/>
          <w:lang w:val="en-US" w:eastAsia="zh-CN"/>
        </w:rPr>
      </w:pPr>
    </w:p>
    <w:p>
      <w:pPr>
        <w:widowControl/>
        <w:wordWrap/>
        <w:adjustRightInd/>
        <w:snapToGrid/>
        <w:spacing w:before="0" w:after="0" w:line="60" w:lineRule="exact"/>
        <w:ind w:left="0" w:leftChars="0" w:right="0" w:firstLine="0" w:firstLineChars="0"/>
        <w:jc w:val="both"/>
        <w:textAlignment w:val="auto"/>
        <w:outlineLvl w:val="9"/>
      </w:pPr>
      <w:r>
        <w:rPr>
          <w:rFonts w:hint="eastAsia" w:ascii="方正仿宋_GBK" w:hAnsi="方正仿宋_GBK" w:cs="方正仿宋_GBK"/>
          <w:color w:val="auto"/>
          <w:lang w:val="en-US" w:eastAsia="zh-CN"/>
        </w:rPr>
        <w:t xml:space="preserve">     </w:t>
      </w:r>
    </w:p>
    <w:sectPr>
      <w:footerReference r:id="rId4" w:type="default"/>
      <w:pgSz w:w="11906" w:h="16838"/>
      <w:pgMar w:top="2098" w:right="1474" w:bottom="1984" w:left="1587" w:header="851" w:footer="1474" w:gutter="0"/>
      <w:paperSrc w:first="0" w:oth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方正仿宋_GBK" w:cs="Times New Roman"/>
        <w:sz w:val="18"/>
        <w:szCs w:val="32"/>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eastAsia="方正楷体_GBK" w:cs="Times New Roman"/>
                    <w:sz w:val="28"/>
                    <w:szCs w:val="28"/>
                    <w:lang w:eastAsia="zh-CN"/>
                  </w:rPr>
                  <w:fldChar w:fldCharType="begin"/>
                </w:r>
                <w:r>
                  <w:rPr>
                    <w:rFonts w:hint="default" w:ascii="Times New Roman" w:hAnsi="Times New Roman" w:eastAsia="方正楷体_GBK" w:cs="Times New Roman"/>
                    <w:sz w:val="28"/>
                    <w:szCs w:val="28"/>
                    <w:lang w:eastAsia="zh-CN"/>
                  </w:rPr>
                  <w:instrText xml:space="preserve"> PAGE  \* MERGEFORMAT </w:instrText>
                </w:r>
                <w:r>
                  <w:rPr>
                    <w:rFonts w:hint="default" w:ascii="Times New Roman" w:hAnsi="Times New Roman" w:eastAsia="方正楷体_GBK" w:cs="Times New Roman"/>
                    <w:sz w:val="28"/>
                    <w:szCs w:val="28"/>
                    <w:lang w:eastAsia="zh-CN"/>
                  </w:rPr>
                  <w:fldChar w:fldCharType="separate"/>
                </w:r>
                <w:r>
                  <w:rPr>
                    <w:rFonts w:hint="default" w:ascii="Times New Roman" w:hAnsi="Times New Roman" w:eastAsia="方正楷体_GBK" w:cs="Times New Roman"/>
                    <w:sz w:val="28"/>
                    <w:szCs w:val="28"/>
                    <w:lang w:eastAsia="zh-CN"/>
                  </w:rPr>
                  <w:t>1</w:t>
                </w:r>
                <w:r>
                  <w:rPr>
                    <w:rFonts w:hint="default" w:ascii="Times New Roman" w:hAnsi="Times New Roman" w:eastAsia="方正楷体_GBK" w:cs="Times New Roman"/>
                    <w:sz w:val="28"/>
                    <w:szCs w:val="28"/>
                    <w:lang w:eastAsia="zh-CN"/>
                  </w:rPr>
                  <w:fldChar w:fldCharType="end"/>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cs="Times New Roman"/>
                    <w:sz w:val="28"/>
                    <w:szCs w:val="28"/>
                    <w:lang w:eastAsia="zh-CN"/>
                  </w:rPr>
                  <w:t>—</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586175">
    <w:nsid w:val="644A3A3F"/>
    <w:multiLevelType w:val="singleLevel"/>
    <w:tmpl w:val="644A3A3F"/>
    <w:lvl w:ilvl="0" w:tentative="1">
      <w:start w:val="2"/>
      <w:numFmt w:val="chineseCounting"/>
      <w:suff w:val="nothing"/>
      <w:lvlText w:val="（%1）"/>
      <w:lvlJc w:val="left"/>
    </w:lvl>
  </w:abstractNum>
  <w:num w:numId="1">
    <w:abstractNumId w:val="16825861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szCs w:val="20"/>
      <w:lang w:val="en-US" w:eastAsia="zh-CN" w:bidi="ar-SA"/>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3CDR</dc:creator>
  <cp:lastModifiedBy>Administrator</cp:lastModifiedBy>
  <cp:lastPrinted>2023-04-28T03:11:00Z</cp:lastPrinted>
  <dcterms:modified xsi:type="dcterms:W3CDTF">2024-08-08T08:02:09Z</dcterms:modified>
  <dc:title>綦发改投诉决〔2023〕1号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