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rPr>
      </w:pPr>
      <w:r>
        <w:rPr>
          <w:rFonts w:hint="eastAsia" w:ascii="方正小标宋_GBK" w:hAnsi="方正小标宋_GBK" w:eastAsia="方正小标宋_GBK" w:cs="方正小标宋_GBK"/>
          <w:i w:val="0"/>
          <w:iCs w:val="0"/>
          <w:caps w:val="0"/>
          <w:color w:val="auto"/>
          <w:spacing w:val="0"/>
          <w:sz w:val="44"/>
          <w:szCs w:val="44"/>
          <w:shd w:val="clear" w:fill="FFFFFF"/>
        </w:rPr>
        <w:t>重庆市綦江区城市管理局</w:t>
      </w:r>
      <w:r>
        <w:rPr>
          <w:rFonts w:hint="eastAsia" w:ascii="方正小标宋_GBK" w:hAnsi="方正小标宋_GBK" w:eastAsia="方正小标宋_GBK" w:cs="方正小标宋_GBK"/>
          <w:i w:val="0"/>
          <w:iCs w:val="0"/>
          <w:caps w:val="0"/>
          <w:color w:val="auto"/>
          <w:spacing w:val="0"/>
          <w:sz w:val="44"/>
          <w:szCs w:val="44"/>
          <w:shd w:val="clear" w:fill="FFFFFF"/>
          <w:lang w:val="en-US" w:eastAsia="zh-CN"/>
        </w:rPr>
        <w:t>2023</w:t>
      </w:r>
      <w:r>
        <w:rPr>
          <w:rFonts w:hint="eastAsia" w:ascii="方正小标宋_GBK" w:hAnsi="方正小标宋_GBK" w:eastAsia="方正小标宋_GBK" w:cs="方正小标宋_GBK"/>
          <w:i w:val="0"/>
          <w:iCs w:val="0"/>
          <w:caps w:val="0"/>
          <w:color w:val="auto"/>
          <w:spacing w:val="0"/>
          <w:sz w:val="44"/>
          <w:szCs w:val="44"/>
          <w:shd w:val="clear" w:fill="FFFFFF"/>
        </w:rPr>
        <w:t>年政府信息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rPr>
      </w:pPr>
      <w:r>
        <w:rPr>
          <w:rFonts w:hint="eastAsia" w:ascii="方正小标宋_GBK" w:hAnsi="方正小标宋_GBK" w:eastAsia="方正小标宋_GBK" w:cs="方正小标宋_GBK"/>
          <w:i w:val="0"/>
          <w:iCs w:val="0"/>
          <w:caps w:val="0"/>
          <w:color w:val="auto"/>
          <w:spacing w:val="0"/>
          <w:sz w:val="44"/>
          <w:szCs w:val="44"/>
          <w:shd w:val="clear" w:fill="FFFFFF"/>
        </w:rPr>
        <w:t>公开工作年度报告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textAlignment w:val="auto"/>
        <w:rPr>
          <w:rFonts w:ascii="方正仿宋_GBK" w:hAnsi="方正仿宋_GBK" w:eastAsia="方正仿宋_GBK" w:cs="方正仿宋_GBK"/>
          <w:b w:val="0"/>
          <w:bCs w:val="0"/>
          <w:i w:val="0"/>
          <w:iCs w:val="0"/>
          <w:caps w:val="0"/>
          <w:color w:val="auto"/>
          <w:spacing w:val="0"/>
          <w:sz w:val="32"/>
          <w:szCs w:val="32"/>
          <w:shd w:val="clear" w:fill="FFFFFF"/>
        </w:rPr>
      </w:pPr>
      <w:r>
        <w:rPr>
          <w:rFonts w:ascii="方正仿宋_GBK" w:hAnsi="方正仿宋_GBK" w:eastAsia="方正仿宋_GBK" w:cs="方正仿宋_GBK"/>
          <w:b w:val="0"/>
          <w:bCs w:val="0"/>
          <w:i w:val="0"/>
          <w:iCs w:val="0"/>
          <w:caps w:val="0"/>
          <w:color w:val="auto"/>
          <w:spacing w:val="0"/>
          <w:sz w:val="32"/>
          <w:szCs w:val="32"/>
          <w:shd w:val="clear" w:fill="FFFFFF"/>
        </w:rPr>
        <w:t>根据《中华人民共和国政府信息公开条例》（以下简称《条例》）规定和区委、区政府有关</w:t>
      </w:r>
      <w:r>
        <w:rPr>
          <w:rFonts w:hint="eastAsia" w:ascii="方正仿宋_GBK" w:hAnsi="方正仿宋_GBK" w:eastAsia="方正仿宋_GBK" w:cs="方正仿宋_GBK"/>
          <w:b w:val="0"/>
          <w:bCs w:val="0"/>
          <w:i w:val="0"/>
          <w:iCs w:val="0"/>
          <w:caps w:val="0"/>
          <w:color w:val="auto"/>
          <w:spacing w:val="0"/>
          <w:sz w:val="32"/>
          <w:szCs w:val="32"/>
          <w:shd w:val="clear" w:fill="FFFFFF"/>
          <w:lang w:val="en-US" w:eastAsia="zh-CN"/>
        </w:rPr>
        <w:t>工作</w:t>
      </w:r>
      <w:r>
        <w:rPr>
          <w:rFonts w:ascii="方正仿宋_GBK" w:hAnsi="方正仿宋_GBK" w:eastAsia="方正仿宋_GBK" w:cs="方正仿宋_GBK"/>
          <w:b w:val="0"/>
          <w:bCs w:val="0"/>
          <w:i w:val="0"/>
          <w:iCs w:val="0"/>
          <w:caps w:val="0"/>
          <w:color w:val="auto"/>
          <w:spacing w:val="0"/>
          <w:sz w:val="32"/>
          <w:szCs w:val="32"/>
          <w:shd w:val="clear" w:fill="FFFFFF"/>
        </w:rPr>
        <w:t>要求，特向社会公布重庆市綦江区城市管理局</w:t>
      </w:r>
      <w:r>
        <w:rPr>
          <w:rFonts w:hint="eastAsia" w:ascii="方正仿宋_GBK" w:hAnsi="方正仿宋_GBK" w:eastAsia="方正仿宋_GBK" w:cs="方正仿宋_GBK"/>
          <w:b w:val="0"/>
          <w:bCs w:val="0"/>
          <w:i w:val="0"/>
          <w:iCs w:val="0"/>
          <w:caps w:val="0"/>
          <w:color w:val="auto"/>
          <w:spacing w:val="0"/>
          <w:sz w:val="32"/>
          <w:szCs w:val="32"/>
          <w:shd w:val="clear" w:fill="FFFFFF"/>
          <w:lang w:val="en-US" w:eastAsia="zh-CN"/>
        </w:rPr>
        <w:t>2023</w:t>
      </w:r>
      <w:r>
        <w:rPr>
          <w:rFonts w:ascii="方正仿宋_GBK" w:hAnsi="方正仿宋_GBK" w:eastAsia="方正仿宋_GBK" w:cs="方正仿宋_GBK"/>
          <w:b w:val="0"/>
          <w:bCs w:val="0"/>
          <w:i w:val="0"/>
          <w:iCs w:val="0"/>
          <w:caps w:val="0"/>
          <w:color w:val="auto"/>
          <w:spacing w:val="0"/>
          <w:sz w:val="32"/>
          <w:szCs w:val="32"/>
          <w:shd w:val="clear" w:fill="FFFFFF"/>
        </w:rPr>
        <w:t>年政府信息公开工作年度报告。报告中所列数据的统计期限为</w:t>
      </w:r>
      <w:r>
        <w:rPr>
          <w:rFonts w:hint="eastAsia" w:ascii="方正仿宋_GBK" w:hAnsi="方正仿宋_GBK" w:eastAsia="方正仿宋_GBK" w:cs="方正仿宋_GBK"/>
          <w:b w:val="0"/>
          <w:bCs w:val="0"/>
          <w:i w:val="0"/>
          <w:iCs w:val="0"/>
          <w:caps w:val="0"/>
          <w:color w:val="auto"/>
          <w:spacing w:val="0"/>
          <w:sz w:val="32"/>
          <w:szCs w:val="32"/>
          <w:shd w:val="clear" w:fill="FFFFFF"/>
          <w:lang w:val="en-US" w:eastAsia="zh-CN"/>
        </w:rPr>
        <w:t>2023</w:t>
      </w:r>
      <w:r>
        <w:rPr>
          <w:rFonts w:ascii="方正仿宋_GBK" w:hAnsi="方正仿宋_GBK" w:eastAsia="方正仿宋_GBK" w:cs="方正仿宋_GBK"/>
          <w:b w:val="0"/>
          <w:bCs w:val="0"/>
          <w:i w:val="0"/>
          <w:iCs w:val="0"/>
          <w:caps w:val="0"/>
          <w:color w:val="auto"/>
          <w:spacing w:val="0"/>
          <w:sz w:val="32"/>
          <w:szCs w:val="32"/>
          <w:shd w:val="clear" w:fill="FFFFFF"/>
        </w:rPr>
        <w:t>年1月1日至2</w:t>
      </w:r>
      <w:r>
        <w:rPr>
          <w:rFonts w:hint="eastAsia" w:ascii="方正仿宋_GBK" w:hAnsi="方正仿宋_GBK" w:eastAsia="方正仿宋_GBK" w:cs="方正仿宋_GBK"/>
          <w:b w:val="0"/>
          <w:bCs w:val="0"/>
          <w:i w:val="0"/>
          <w:iCs w:val="0"/>
          <w:caps w:val="0"/>
          <w:color w:val="auto"/>
          <w:spacing w:val="0"/>
          <w:sz w:val="32"/>
          <w:szCs w:val="32"/>
          <w:shd w:val="clear" w:fill="FFFFFF"/>
          <w:lang w:val="en-US" w:eastAsia="zh-CN"/>
        </w:rPr>
        <w:t>023</w:t>
      </w:r>
      <w:r>
        <w:rPr>
          <w:rFonts w:ascii="方正仿宋_GBK" w:hAnsi="方正仿宋_GBK" w:eastAsia="方正仿宋_GBK" w:cs="方正仿宋_GBK"/>
          <w:b w:val="0"/>
          <w:bCs w:val="0"/>
          <w:i w:val="0"/>
          <w:iCs w:val="0"/>
          <w:caps w:val="0"/>
          <w:color w:val="auto"/>
          <w:spacing w:val="0"/>
          <w:sz w:val="32"/>
          <w:szCs w:val="32"/>
          <w:shd w:val="clear" w:fill="FFFFFF"/>
        </w:rPr>
        <w:t>年12月31日。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textAlignment w:val="auto"/>
        <w:rPr>
          <w:color w:val="auto"/>
          <w:sz w:val="32"/>
          <w:szCs w:val="32"/>
        </w:rPr>
      </w:pPr>
      <w:r>
        <w:rPr>
          <w:rFonts w:ascii="方正仿宋_GBK" w:hAnsi="方正仿宋_GBK" w:eastAsia="方正仿宋_GBK" w:cs="方正仿宋_GBK"/>
          <w:b w:val="0"/>
          <w:bCs w:val="0"/>
          <w:i w:val="0"/>
          <w:iCs w:val="0"/>
          <w:caps w:val="0"/>
          <w:color w:val="auto"/>
          <w:spacing w:val="0"/>
          <w:sz w:val="32"/>
          <w:szCs w:val="32"/>
          <w:shd w:val="clear" w:fill="FFFFFF"/>
        </w:rPr>
        <w:t>本报告包括</w:t>
      </w:r>
      <w:r>
        <w:rPr>
          <w:rFonts w:hint="eastAsia" w:ascii="方正仿宋_GBK" w:hAnsi="方正仿宋_GBK" w:eastAsia="方正仿宋_GBK" w:cs="方正仿宋_GBK"/>
          <w:b w:val="0"/>
          <w:bCs w:val="0"/>
          <w:i w:val="0"/>
          <w:iCs w:val="0"/>
          <w:caps w:val="0"/>
          <w:color w:val="auto"/>
          <w:spacing w:val="0"/>
          <w:sz w:val="32"/>
          <w:szCs w:val="32"/>
          <w:shd w:val="clear" w:fill="FFFFFF"/>
        </w:rPr>
        <w:t>总体情况、行政机关主动公开政府信息情况、行政机关收到和处理政府信息公开申请情况、因政府信息公开被行政复议提起行政诉讼情况、政府信息公开工作存在的主要问题及改进情况、其他需要报告的事项等共6部分内容。重庆市綦江区人民政府公众信息网站上可查阅本报告。如对本报告有疑问，请与重庆市綦江区城市管理局联系（地址：重庆市綦江区文龙街道虹桥路30号，邮编</w:t>
      </w:r>
      <w:r>
        <w:rPr>
          <w:rFonts w:hint="eastAsia" w:ascii="方正仿宋_GBK" w:hAnsi="方正仿宋_GBK" w:eastAsia="方正仿宋_GBK" w:cs="方正仿宋_GBK"/>
          <w:b w:val="0"/>
          <w:bCs w:val="0"/>
          <w:i w:val="0"/>
          <w:iCs w:val="0"/>
          <w:caps w:val="0"/>
          <w:color w:val="auto"/>
          <w:spacing w:val="0"/>
          <w:sz w:val="32"/>
          <w:szCs w:val="32"/>
          <w:shd w:val="clear" w:fill="FFFFFF"/>
          <w:lang w:eastAsia="zh-CN"/>
        </w:rPr>
        <w:t>：</w:t>
      </w:r>
      <w:r>
        <w:rPr>
          <w:rFonts w:hint="eastAsia" w:ascii="方正仿宋_GBK" w:hAnsi="方正仿宋_GBK" w:eastAsia="方正仿宋_GBK" w:cs="方正仿宋_GBK"/>
          <w:b w:val="0"/>
          <w:bCs w:val="0"/>
          <w:i w:val="0"/>
          <w:iCs w:val="0"/>
          <w:caps w:val="0"/>
          <w:color w:val="auto"/>
          <w:spacing w:val="0"/>
          <w:sz w:val="32"/>
          <w:szCs w:val="32"/>
          <w:shd w:val="clear" w:fill="FFFFFF"/>
        </w:rPr>
        <w:t>401420，电话：023-48652186</w:t>
      </w:r>
      <w:r>
        <w:rPr>
          <w:rFonts w:hint="eastAsia" w:ascii="方正仿宋_GBK" w:hAnsi="方正仿宋_GBK" w:eastAsia="方正仿宋_GBK" w:cs="方正仿宋_GBK"/>
          <w:b w:val="0"/>
          <w:bCs w:val="0"/>
          <w:i w:val="0"/>
          <w:iCs w:val="0"/>
          <w:caps w:val="0"/>
          <w:color w:val="auto"/>
          <w:spacing w:val="0"/>
          <w:sz w:val="32"/>
          <w:szCs w:val="32"/>
          <w:shd w:val="clear" w:fill="FFFFFF"/>
          <w:lang w:eastAsia="zh-CN"/>
        </w:rPr>
        <w:t>，</w:t>
      </w:r>
      <w:r>
        <w:rPr>
          <w:rFonts w:hint="eastAsia" w:ascii="方正仿宋_GBK" w:hAnsi="方正仿宋_GBK" w:eastAsia="方正仿宋_GBK" w:cs="方正仿宋_GBK"/>
          <w:b w:val="0"/>
          <w:bCs w:val="0"/>
          <w:i w:val="0"/>
          <w:iCs w:val="0"/>
          <w:caps w:val="0"/>
          <w:color w:val="auto"/>
          <w:spacing w:val="0"/>
          <w:sz w:val="32"/>
          <w:szCs w:val="32"/>
          <w:shd w:val="clear" w:fill="FFFFFF"/>
        </w:rPr>
        <w:t>传真：</w:t>
      </w:r>
      <w:r>
        <w:rPr>
          <w:rFonts w:hint="eastAsia" w:ascii="方正仿宋_GBK" w:hAnsi="方正仿宋_GBK" w:eastAsia="方正仿宋_GBK" w:cs="方正仿宋_GBK"/>
          <w:b w:val="0"/>
          <w:bCs w:val="0"/>
          <w:i w:val="0"/>
          <w:iCs w:val="0"/>
          <w:caps w:val="0"/>
          <w:color w:val="auto"/>
          <w:spacing w:val="0"/>
          <w:sz w:val="32"/>
          <w:szCs w:val="32"/>
          <w:u w:val="none"/>
          <w:shd w:val="clear" w:fill="FFFFFF"/>
        </w:rPr>
        <w:t>023-48652078</w:t>
      </w:r>
      <w:r>
        <w:rPr>
          <w:rFonts w:hint="eastAsia" w:ascii="方正仿宋_GBK" w:hAnsi="方正仿宋_GBK" w:eastAsia="方正仿宋_GBK" w:cs="方正仿宋_GBK"/>
          <w:b w:val="0"/>
          <w:bCs w:val="0"/>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sz w:val="32"/>
          <w:szCs w:val="32"/>
        </w:rPr>
      </w:pPr>
      <w:r>
        <w:rPr>
          <w:rFonts w:ascii="方正黑体_GBK" w:hAnsi="方正黑体_GBK" w:eastAsia="方正黑体_GBK" w:cs="方正黑体_GBK"/>
          <w:b w:val="0"/>
          <w:bCs w:val="0"/>
          <w:i w:val="0"/>
          <w:iCs w:val="0"/>
          <w:caps w:val="0"/>
          <w:color w:val="333333"/>
          <w:spacing w:val="0"/>
          <w:sz w:val="32"/>
          <w:szCs w:val="32"/>
          <w:shd w:val="clear" w:fill="FFFFFF"/>
        </w:rPr>
        <w:t>一、总体情况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sz w:val="32"/>
          <w:szCs w:val="32"/>
        </w:rPr>
      </w:pPr>
      <w:r>
        <w:rPr>
          <w:rFonts w:hint="default" w:ascii="Times New Roman" w:hAnsi="Times New Roman" w:eastAsia="宋体" w:cs="Times New Roman"/>
          <w:i w:val="0"/>
          <w:iCs w:val="0"/>
          <w:caps w:val="0"/>
          <w:color w:val="333333"/>
          <w:spacing w:val="0"/>
          <w:sz w:val="32"/>
          <w:szCs w:val="32"/>
          <w:shd w:val="clear" w:fill="FFFFFF"/>
        </w:rPr>
        <w:t>202</w:t>
      </w:r>
      <w:r>
        <w:rPr>
          <w:rFonts w:hint="eastAsia" w:ascii="Times New Roman" w:hAnsi="Times New Roman" w:eastAsia="宋体" w:cs="Times New Roman"/>
          <w:i w:val="0"/>
          <w:iCs w:val="0"/>
          <w:caps w:val="0"/>
          <w:color w:val="333333"/>
          <w:spacing w:val="0"/>
          <w:sz w:val="32"/>
          <w:szCs w:val="32"/>
          <w:shd w:val="clear" w:fill="FFFFFF"/>
          <w:lang w:val="en-US" w:eastAsia="zh-CN"/>
        </w:rPr>
        <w:t>3</w:t>
      </w:r>
      <w:r>
        <w:rPr>
          <w:rFonts w:hint="eastAsia" w:ascii="方正仿宋_GBK" w:hAnsi="方正仿宋_GBK" w:eastAsia="方正仿宋_GBK" w:cs="方正仿宋_GBK"/>
          <w:i w:val="0"/>
          <w:iCs w:val="0"/>
          <w:caps w:val="0"/>
          <w:color w:val="333333"/>
          <w:spacing w:val="0"/>
          <w:sz w:val="32"/>
          <w:szCs w:val="32"/>
          <w:shd w:val="clear" w:fill="FFFFFF"/>
        </w:rPr>
        <w:t>年，</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綦江区城市管理局坚持以习近平新时代中国特色社会主义思想为指导，深入学习贯彻党的二十大、二十届二中全会精神和中央经济工作会议精神，市委六届二次、三次、四次全会和市委经济工作会议</w:t>
      </w:r>
      <w:r>
        <w:rPr>
          <w:rFonts w:hint="eastAsia" w:ascii="方正仿宋_GBK" w:hAnsi="方正仿宋_GBK" w:eastAsia="方正仿宋_GBK" w:cs="方正仿宋_GBK"/>
          <w:i w:val="0"/>
          <w:iCs w:val="0"/>
          <w:caps w:val="0"/>
          <w:color w:val="auto"/>
          <w:spacing w:val="0"/>
          <w:sz w:val="32"/>
          <w:szCs w:val="32"/>
          <w:shd w:val="clear" w:fill="FFFFFF"/>
          <w:lang w:val="en-US" w:eastAsia="zh-CN"/>
        </w:rPr>
        <w:t>精神，区委历次全会精神，持续深化政务公开工作，</w:t>
      </w:r>
      <w:r>
        <w:rPr>
          <w:rFonts w:hint="eastAsia" w:ascii="方正仿宋_GBK" w:hAnsi="方正仿宋_GBK" w:eastAsia="方正仿宋_GBK" w:cs="方正仿宋_GBK"/>
          <w:i w:val="0"/>
          <w:iCs w:val="0"/>
          <w:caps w:val="0"/>
          <w:color w:val="auto"/>
          <w:spacing w:val="0"/>
          <w:sz w:val="32"/>
          <w:szCs w:val="32"/>
          <w:shd w:val="clear" w:fill="FFFFFF"/>
        </w:rPr>
        <w:t>坚持“以公开为常态，不公开为例外”原则，</w:t>
      </w:r>
      <w:r>
        <w:rPr>
          <w:rFonts w:hint="eastAsia" w:ascii="方正仿宋_GBK" w:hAnsi="方正仿宋_GBK" w:eastAsia="方正仿宋_GBK" w:cs="方正仿宋_GBK"/>
          <w:i w:val="0"/>
          <w:iCs w:val="0"/>
          <w:caps w:val="0"/>
          <w:color w:val="333333"/>
          <w:spacing w:val="0"/>
          <w:sz w:val="32"/>
          <w:szCs w:val="32"/>
          <w:shd w:val="clear" w:fill="FFFFFF"/>
        </w:rPr>
        <w:t>全面落实信息公开条例，夯实主动公开工作基础，规范依申请公开办理流程，加大监督保障力度，全力推进政府信息公开工作。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sz w:val="32"/>
          <w:szCs w:val="32"/>
        </w:rPr>
      </w:pPr>
      <w:r>
        <w:rPr>
          <w:rFonts w:ascii="方正楷体_GBK" w:hAnsi="方正楷体_GBK" w:eastAsia="方正楷体_GBK" w:cs="方正楷体_GBK"/>
          <w:b w:val="0"/>
          <w:bCs w:val="0"/>
          <w:i w:val="0"/>
          <w:iCs w:val="0"/>
          <w:caps w:val="0"/>
          <w:color w:val="333333"/>
          <w:spacing w:val="0"/>
          <w:sz w:val="32"/>
          <w:szCs w:val="32"/>
          <w:shd w:val="clear" w:fill="FFFFFF"/>
        </w:rPr>
        <w:t>（一）主动公开情况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color w:val="auto"/>
          <w:sz w:val="32"/>
          <w:szCs w:val="32"/>
        </w:rPr>
      </w:pPr>
      <w:r>
        <w:rPr>
          <w:rFonts w:hint="eastAsia" w:ascii="方正仿宋_GBK" w:hAnsi="方正仿宋_GBK" w:eastAsia="方正仿宋_GBK" w:cs="方正仿宋_GBK"/>
          <w:b w:val="0"/>
          <w:bCs w:val="0"/>
          <w:i w:val="0"/>
          <w:iCs w:val="0"/>
          <w:caps w:val="0"/>
          <w:color w:val="333333"/>
          <w:spacing w:val="0"/>
          <w:sz w:val="32"/>
          <w:szCs w:val="32"/>
          <w:shd w:val="clear" w:fill="FFFFFF"/>
        </w:rPr>
        <w:t>202</w:t>
      </w:r>
      <w:r>
        <w:rPr>
          <w:rFonts w:hint="eastAsia" w:ascii="方正仿宋_GBK" w:hAnsi="方正仿宋_GBK" w:eastAsia="方正仿宋_GBK" w:cs="方正仿宋_GBK"/>
          <w:b w:val="0"/>
          <w:bCs w:val="0"/>
          <w:i w:val="0"/>
          <w:iCs w:val="0"/>
          <w:caps w:val="0"/>
          <w:color w:val="333333"/>
          <w:spacing w:val="0"/>
          <w:sz w:val="32"/>
          <w:szCs w:val="32"/>
          <w:shd w:val="clear" w:fill="FFFFFF"/>
          <w:lang w:val="en-US" w:eastAsia="zh-CN"/>
        </w:rPr>
        <w:t>3</w:t>
      </w:r>
      <w:r>
        <w:rPr>
          <w:rFonts w:hint="eastAsia" w:ascii="方正仿宋_GBK" w:hAnsi="方正仿宋_GBK" w:eastAsia="方正仿宋_GBK" w:cs="方正仿宋_GBK"/>
          <w:b w:val="0"/>
          <w:bCs w:val="0"/>
          <w:i w:val="0"/>
          <w:iCs w:val="0"/>
          <w:caps w:val="0"/>
          <w:color w:val="333333"/>
          <w:spacing w:val="0"/>
          <w:sz w:val="32"/>
          <w:szCs w:val="32"/>
          <w:shd w:val="clear" w:fill="FFFFFF"/>
        </w:rPr>
        <w:t>年，</w:t>
      </w:r>
      <w:r>
        <w:rPr>
          <w:rFonts w:hint="eastAsia" w:ascii="方正仿宋_GBK" w:hAnsi="方正仿宋_GBK" w:eastAsia="方正仿宋_GBK" w:cs="方正仿宋_GBK"/>
          <w:b w:val="0"/>
          <w:bCs w:val="0"/>
          <w:i w:val="0"/>
          <w:iCs w:val="0"/>
          <w:caps w:val="0"/>
          <w:color w:val="333333"/>
          <w:spacing w:val="0"/>
          <w:sz w:val="32"/>
          <w:szCs w:val="32"/>
          <w:shd w:val="clear" w:fill="FFFFFF"/>
          <w:lang w:val="en-US" w:eastAsia="zh-CN"/>
        </w:rPr>
        <w:t>我局</w:t>
      </w:r>
      <w:r>
        <w:rPr>
          <w:rFonts w:hint="eastAsia" w:ascii="方正仿宋_GBK" w:hAnsi="方正仿宋_GBK" w:eastAsia="方正仿宋_GBK" w:cs="方正仿宋_GBK"/>
          <w:b w:val="0"/>
          <w:bCs w:val="0"/>
          <w:i w:val="0"/>
          <w:iCs w:val="0"/>
          <w:caps w:val="0"/>
          <w:color w:val="333333"/>
          <w:spacing w:val="0"/>
          <w:sz w:val="32"/>
          <w:szCs w:val="32"/>
          <w:shd w:val="clear" w:fill="FFFFFF"/>
        </w:rPr>
        <w:t xml:space="preserve">通过政府网站、“綦江城管” </w:t>
      </w:r>
      <w:r>
        <w:rPr>
          <w:rFonts w:hint="eastAsia" w:ascii="方正仿宋_GBK" w:hAnsi="方正仿宋_GBK" w:eastAsia="方正仿宋_GBK" w:cs="方正仿宋_GBK"/>
          <w:b w:val="0"/>
          <w:bCs w:val="0"/>
          <w:i w:val="0"/>
          <w:iCs w:val="0"/>
          <w:caps w:val="0"/>
          <w:color w:val="333333"/>
          <w:spacing w:val="0"/>
          <w:sz w:val="32"/>
          <w:szCs w:val="32"/>
          <w:shd w:val="clear" w:fill="FFFFFF"/>
          <w:lang w:eastAsia="zh-CN"/>
        </w:rPr>
        <w:t>、</w:t>
      </w:r>
      <w:r>
        <w:rPr>
          <w:rFonts w:hint="eastAsia" w:ascii="方正仿宋_GBK" w:hAnsi="方正仿宋_GBK" w:eastAsia="方正仿宋_GBK" w:cs="方正仿宋_GBK"/>
          <w:b w:val="0"/>
          <w:bCs w:val="0"/>
          <w:i w:val="0"/>
          <w:iCs w:val="0"/>
          <w:caps w:val="0"/>
          <w:color w:val="333333"/>
          <w:spacing w:val="0"/>
          <w:sz w:val="32"/>
          <w:szCs w:val="32"/>
          <w:shd w:val="clear" w:fill="FFFFFF"/>
        </w:rPr>
        <w:t>“綦江城管执法”微信公众号以及公示栏、电子显示屏、宣传手册等多方式、多渠道公开</w:t>
      </w:r>
      <w:r>
        <w:rPr>
          <w:rFonts w:hint="eastAsia" w:ascii="方正仿宋_GBK" w:hAnsi="方正仿宋_GBK" w:eastAsia="方正仿宋_GBK" w:cs="方正仿宋_GBK"/>
          <w:b w:val="0"/>
          <w:bCs w:val="0"/>
          <w:i w:val="0"/>
          <w:iCs w:val="0"/>
          <w:caps w:val="0"/>
          <w:color w:val="333333"/>
          <w:spacing w:val="0"/>
          <w:sz w:val="32"/>
          <w:szCs w:val="32"/>
          <w:shd w:val="clear" w:fill="FFFFFF"/>
          <w:lang w:val="en-US" w:eastAsia="zh-CN"/>
        </w:rPr>
        <w:t>政务</w:t>
      </w:r>
      <w:r>
        <w:rPr>
          <w:rFonts w:hint="eastAsia" w:ascii="方正仿宋_GBK" w:hAnsi="方正仿宋_GBK" w:eastAsia="方正仿宋_GBK" w:cs="方正仿宋_GBK"/>
          <w:b w:val="0"/>
          <w:bCs w:val="0"/>
          <w:i w:val="0"/>
          <w:iCs w:val="0"/>
          <w:caps w:val="0"/>
          <w:color w:val="333333"/>
          <w:spacing w:val="0"/>
          <w:sz w:val="32"/>
          <w:szCs w:val="32"/>
          <w:shd w:val="clear" w:fill="FFFFFF"/>
        </w:rPr>
        <w:t>信息</w:t>
      </w:r>
      <w:r>
        <w:rPr>
          <w:rFonts w:hint="eastAsia" w:ascii="方正仿宋_GBK" w:hAnsi="方正仿宋_GBK" w:eastAsia="方正仿宋_GBK" w:cs="方正仿宋_GBK"/>
          <w:b w:val="0"/>
          <w:bCs w:val="0"/>
          <w:i w:val="0"/>
          <w:iCs w:val="0"/>
          <w:caps w:val="0"/>
          <w:color w:val="auto"/>
          <w:spacing w:val="0"/>
          <w:sz w:val="32"/>
          <w:szCs w:val="32"/>
          <w:shd w:val="clear" w:fill="FFFFFF"/>
        </w:rPr>
        <w:t>。</w:t>
      </w:r>
      <w:r>
        <w:rPr>
          <w:rFonts w:hint="eastAsia" w:ascii="方正仿宋_GBK" w:hAnsi="方正仿宋_GBK" w:eastAsia="方正仿宋_GBK" w:cs="方正仿宋_GBK"/>
          <w:b w:val="0"/>
          <w:bCs w:val="0"/>
          <w:i w:val="0"/>
          <w:iCs w:val="0"/>
          <w:caps w:val="0"/>
          <w:color w:val="auto"/>
          <w:spacing w:val="0"/>
          <w:sz w:val="32"/>
          <w:szCs w:val="32"/>
          <w:shd w:val="clear" w:fill="FFFFFF"/>
          <w:lang w:val="en-US" w:eastAsia="zh-CN"/>
        </w:rPr>
        <w:t>其中，</w:t>
      </w:r>
      <w:r>
        <w:rPr>
          <w:rFonts w:hint="eastAsia" w:ascii="方正仿宋_GBK" w:hAnsi="方正仿宋_GBK" w:eastAsia="方正仿宋_GBK" w:cs="方正仿宋_GBK"/>
          <w:b w:val="0"/>
          <w:bCs w:val="0"/>
          <w:i w:val="0"/>
          <w:iCs w:val="0"/>
          <w:caps w:val="0"/>
          <w:color w:val="auto"/>
          <w:spacing w:val="0"/>
          <w:sz w:val="32"/>
          <w:szCs w:val="32"/>
          <w:shd w:val="clear" w:fill="FFFFFF"/>
        </w:rPr>
        <w:t>政府网站公开信息</w:t>
      </w:r>
      <w:r>
        <w:rPr>
          <w:rFonts w:hint="eastAsia" w:ascii="方正仿宋_GBK" w:hAnsi="方正仿宋_GBK" w:eastAsia="方正仿宋_GBK" w:cs="方正仿宋_GBK"/>
          <w:b w:val="0"/>
          <w:bCs w:val="0"/>
          <w:i w:val="0"/>
          <w:iCs w:val="0"/>
          <w:caps w:val="0"/>
          <w:color w:val="auto"/>
          <w:spacing w:val="0"/>
          <w:sz w:val="32"/>
          <w:szCs w:val="32"/>
          <w:shd w:val="clear" w:fill="FFFFFF"/>
          <w:lang w:val="en-US" w:eastAsia="zh-CN"/>
        </w:rPr>
        <w:t>86</w:t>
      </w:r>
      <w:r>
        <w:rPr>
          <w:rFonts w:hint="eastAsia" w:ascii="方正仿宋_GBK" w:hAnsi="方正仿宋_GBK" w:eastAsia="方正仿宋_GBK" w:cs="方正仿宋_GBK"/>
          <w:b w:val="0"/>
          <w:bCs w:val="0"/>
          <w:i w:val="0"/>
          <w:iCs w:val="0"/>
          <w:caps w:val="0"/>
          <w:color w:val="auto"/>
          <w:spacing w:val="0"/>
          <w:sz w:val="32"/>
          <w:szCs w:val="32"/>
          <w:shd w:val="clear" w:fill="FFFFFF"/>
        </w:rPr>
        <w:t>条，</w:t>
      </w:r>
      <w:r>
        <w:rPr>
          <w:rFonts w:hint="eastAsia" w:ascii="方正仿宋_GBK" w:hAnsi="方正仿宋_GBK" w:eastAsia="方正仿宋_GBK" w:cs="方正仿宋_GBK"/>
          <w:b w:val="0"/>
          <w:bCs w:val="0"/>
          <w:i w:val="0"/>
          <w:iCs w:val="0"/>
          <w:caps w:val="0"/>
          <w:color w:val="auto"/>
          <w:spacing w:val="0"/>
          <w:sz w:val="32"/>
          <w:szCs w:val="32"/>
          <w:shd w:val="clear" w:fill="FFFFFF"/>
          <w:lang w:val="en-US" w:eastAsia="zh-CN"/>
        </w:rPr>
        <w:t>綦江城管</w:t>
      </w:r>
      <w:r>
        <w:rPr>
          <w:rFonts w:hint="eastAsia" w:ascii="方正仿宋_GBK" w:hAnsi="方正仿宋_GBK" w:eastAsia="方正仿宋_GBK" w:cs="方正仿宋_GBK"/>
          <w:b w:val="0"/>
          <w:bCs w:val="0"/>
          <w:i w:val="0"/>
          <w:iCs w:val="0"/>
          <w:caps w:val="0"/>
          <w:color w:val="auto"/>
          <w:spacing w:val="0"/>
          <w:sz w:val="32"/>
          <w:szCs w:val="32"/>
          <w:shd w:val="clear" w:fill="FFFFFF"/>
        </w:rPr>
        <w:t>微信公众号公开信息</w:t>
      </w:r>
      <w:r>
        <w:rPr>
          <w:rFonts w:hint="eastAsia" w:ascii="方正仿宋_GBK" w:hAnsi="方正仿宋_GBK" w:eastAsia="方正仿宋_GBK" w:cs="方正仿宋_GBK"/>
          <w:b w:val="0"/>
          <w:bCs w:val="0"/>
          <w:i w:val="0"/>
          <w:iCs w:val="0"/>
          <w:caps w:val="0"/>
          <w:color w:val="auto"/>
          <w:spacing w:val="0"/>
          <w:sz w:val="32"/>
          <w:szCs w:val="32"/>
          <w:shd w:val="clear" w:fill="FFFFFF"/>
          <w:lang w:val="en-US" w:eastAsia="zh-CN"/>
        </w:rPr>
        <w:t>133</w:t>
      </w:r>
      <w:r>
        <w:rPr>
          <w:rFonts w:hint="eastAsia" w:ascii="方正仿宋_GBK" w:hAnsi="方正仿宋_GBK" w:eastAsia="方正仿宋_GBK" w:cs="方正仿宋_GBK"/>
          <w:b w:val="0"/>
          <w:bCs w:val="0"/>
          <w:i w:val="0"/>
          <w:iCs w:val="0"/>
          <w:caps w:val="0"/>
          <w:color w:val="auto"/>
          <w:spacing w:val="0"/>
          <w:sz w:val="32"/>
          <w:szCs w:val="32"/>
          <w:shd w:val="clear" w:fill="FFFFFF"/>
        </w:rPr>
        <w:t>条</w:t>
      </w:r>
      <w:r>
        <w:rPr>
          <w:rFonts w:hint="eastAsia" w:ascii="方正仿宋_GBK" w:hAnsi="方正仿宋_GBK" w:eastAsia="方正仿宋_GBK" w:cs="方正仿宋_GBK"/>
          <w:b w:val="0"/>
          <w:bCs w:val="0"/>
          <w:i w:val="0"/>
          <w:iCs w:val="0"/>
          <w:caps w:val="0"/>
          <w:color w:val="auto"/>
          <w:spacing w:val="0"/>
          <w:sz w:val="32"/>
          <w:szCs w:val="32"/>
          <w:shd w:val="clear" w:fill="FFFFFF"/>
          <w:lang w:eastAsia="zh-CN"/>
        </w:rPr>
        <w:t>，</w:t>
      </w:r>
      <w:r>
        <w:rPr>
          <w:rFonts w:hint="eastAsia" w:ascii="方正仿宋_GBK" w:hAnsi="方正仿宋_GBK" w:eastAsia="方正仿宋_GBK" w:cs="方正仿宋_GBK"/>
          <w:b w:val="0"/>
          <w:bCs w:val="0"/>
          <w:i w:val="0"/>
          <w:iCs w:val="0"/>
          <w:caps w:val="0"/>
          <w:color w:val="auto"/>
          <w:spacing w:val="0"/>
          <w:sz w:val="32"/>
          <w:szCs w:val="32"/>
          <w:shd w:val="clear" w:fill="FFFFFF"/>
          <w:lang w:val="en-US" w:eastAsia="zh-CN"/>
        </w:rPr>
        <w:t>綦江城管执法微信公众号公开信息28条</w:t>
      </w:r>
      <w:r>
        <w:rPr>
          <w:rFonts w:hint="eastAsia" w:ascii="方正仿宋_GBK" w:hAnsi="方正仿宋_GBK" w:eastAsia="方正仿宋_GBK" w:cs="方正仿宋_GBK"/>
          <w:b w:val="0"/>
          <w:bCs w:val="0"/>
          <w:i w:val="0"/>
          <w:iCs w:val="0"/>
          <w:caps w:val="0"/>
          <w:color w:val="auto"/>
          <w:spacing w:val="0"/>
          <w:sz w:val="32"/>
          <w:szCs w:val="32"/>
          <w:shd w:val="clear" w:fill="FFFFFF"/>
        </w:rPr>
        <w:t>。公开内容涉及领导分工、机构职能、工作信息等。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color w:val="auto"/>
          <w:sz w:val="32"/>
          <w:szCs w:val="32"/>
        </w:rPr>
      </w:pPr>
      <w:r>
        <w:rPr>
          <w:rFonts w:hint="eastAsia" w:ascii="方正楷体_GBK" w:hAnsi="方正楷体_GBK" w:eastAsia="方正楷体_GBK" w:cs="方正楷体_GBK"/>
          <w:b w:val="0"/>
          <w:bCs w:val="0"/>
          <w:i w:val="0"/>
          <w:iCs w:val="0"/>
          <w:caps w:val="0"/>
          <w:color w:val="auto"/>
          <w:spacing w:val="0"/>
          <w:sz w:val="32"/>
          <w:szCs w:val="32"/>
          <w:shd w:val="clear" w:fill="FFFFFF"/>
        </w:rPr>
        <w:t>（二）依申请公开情况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sz w:val="32"/>
          <w:szCs w:val="32"/>
        </w:rPr>
      </w:pPr>
      <w:r>
        <w:rPr>
          <w:rFonts w:hint="eastAsia" w:ascii="方正仿宋_GBK" w:hAnsi="方正仿宋_GBK" w:eastAsia="方正仿宋_GBK" w:cs="方正仿宋_GBK"/>
          <w:b w:val="0"/>
          <w:bCs w:val="0"/>
          <w:i w:val="0"/>
          <w:iCs w:val="0"/>
          <w:caps w:val="0"/>
          <w:color w:val="333333"/>
          <w:spacing w:val="0"/>
          <w:sz w:val="32"/>
          <w:szCs w:val="32"/>
          <w:shd w:val="clear" w:fill="FFFFFF"/>
        </w:rPr>
        <w:t>全年</w:t>
      </w:r>
      <w:r>
        <w:rPr>
          <w:rFonts w:hint="eastAsia" w:ascii="方正仿宋_GBK" w:hAnsi="方正仿宋_GBK" w:eastAsia="方正仿宋_GBK" w:cs="方正仿宋_GBK"/>
          <w:b w:val="0"/>
          <w:bCs w:val="0"/>
          <w:i w:val="0"/>
          <w:iCs w:val="0"/>
          <w:caps w:val="0"/>
          <w:color w:val="333333"/>
          <w:spacing w:val="0"/>
          <w:sz w:val="32"/>
          <w:szCs w:val="32"/>
          <w:shd w:val="clear" w:fill="FFFFFF"/>
          <w:lang w:val="en-US" w:eastAsia="zh-CN"/>
        </w:rPr>
        <w:t>共</w:t>
      </w:r>
      <w:r>
        <w:rPr>
          <w:rFonts w:hint="eastAsia" w:ascii="方正仿宋_GBK" w:hAnsi="方正仿宋_GBK" w:eastAsia="方正仿宋_GBK" w:cs="方正仿宋_GBK"/>
          <w:b w:val="0"/>
          <w:bCs w:val="0"/>
          <w:i w:val="0"/>
          <w:iCs w:val="0"/>
          <w:caps w:val="0"/>
          <w:color w:val="333333"/>
          <w:spacing w:val="0"/>
          <w:sz w:val="32"/>
          <w:szCs w:val="32"/>
          <w:shd w:val="clear" w:fill="FFFFFF"/>
        </w:rPr>
        <w:t>收到政府信息依申请公开</w:t>
      </w:r>
      <w:r>
        <w:rPr>
          <w:rFonts w:hint="eastAsia" w:ascii="方正仿宋_GBK" w:hAnsi="方正仿宋_GBK" w:eastAsia="方正仿宋_GBK" w:cs="方正仿宋_GBK"/>
          <w:b w:val="0"/>
          <w:bCs w:val="0"/>
          <w:i w:val="0"/>
          <w:iCs w:val="0"/>
          <w:caps w:val="0"/>
          <w:color w:val="333333"/>
          <w:spacing w:val="0"/>
          <w:sz w:val="32"/>
          <w:szCs w:val="32"/>
          <w:shd w:val="clear" w:fill="FFFFFF"/>
          <w:lang w:val="en-US" w:eastAsia="zh-CN"/>
        </w:rPr>
        <w:t>1次</w:t>
      </w:r>
      <w:r>
        <w:rPr>
          <w:rFonts w:hint="eastAsia" w:ascii="方正仿宋_GBK" w:hAnsi="方正仿宋_GBK" w:eastAsia="方正仿宋_GBK" w:cs="方正仿宋_GBK"/>
          <w:b w:val="0"/>
          <w:bCs w:val="0"/>
          <w:i w:val="0"/>
          <w:iCs w:val="0"/>
          <w:caps w:val="0"/>
          <w:color w:val="333333"/>
          <w:spacing w:val="0"/>
          <w:sz w:val="32"/>
          <w:szCs w:val="32"/>
          <w:shd w:val="clear" w:fill="FFFFFF"/>
        </w:rPr>
        <w:t>，未发生政府信息依申请公开引发的行政复议和行政诉讼情况。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sz w:val="32"/>
          <w:szCs w:val="32"/>
        </w:rPr>
      </w:pPr>
      <w:r>
        <w:rPr>
          <w:rFonts w:hint="eastAsia" w:ascii="方正楷体_GBK" w:hAnsi="方正楷体_GBK" w:eastAsia="方正楷体_GBK" w:cs="方正楷体_GBK"/>
          <w:b w:val="0"/>
          <w:bCs w:val="0"/>
          <w:i w:val="0"/>
          <w:iCs w:val="0"/>
          <w:caps w:val="0"/>
          <w:color w:val="333333"/>
          <w:spacing w:val="0"/>
          <w:sz w:val="32"/>
          <w:szCs w:val="32"/>
          <w:shd w:val="clear" w:fill="FFFFFF"/>
        </w:rPr>
        <w:t>（三）政府信息管理情况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3" w:firstLineChars="200"/>
        <w:jc w:val="left"/>
        <w:textAlignment w:val="auto"/>
        <w:rPr>
          <w:sz w:val="32"/>
          <w:szCs w:val="32"/>
        </w:rPr>
      </w:pPr>
      <w:r>
        <w:rPr>
          <w:rStyle w:val="8"/>
          <w:rFonts w:hint="eastAsia" w:ascii="方正仿宋_GBK" w:hAnsi="方正仿宋_GBK" w:eastAsia="方正仿宋_GBK" w:cs="方正仿宋_GBK"/>
          <w:i w:val="0"/>
          <w:iCs w:val="0"/>
          <w:caps w:val="0"/>
          <w:color w:val="333333"/>
          <w:spacing w:val="0"/>
          <w:sz w:val="32"/>
          <w:szCs w:val="32"/>
          <w:shd w:val="clear" w:fill="FFFFFF"/>
        </w:rPr>
        <w:t>一是</w:t>
      </w:r>
      <w:r>
        <w:rPr>
          <w:rStyle w:val="8"/>
          <w:rFonts w:hint="eastAsia" w:ascii="方正仿宋_GBK" w:hAnsi="方正仿宋_GBK" w:eastAsia="方正仿宋_GBK" w:cs="方正仿宋_GBK"/>
          <w:i w:val="0"/>
          <w:iCs w:val="0"/>
          <w:caps w:val="0"/>
          <w:color w:val="333333"/>
          <w:spacing w:val="0"/>
          <w:sz w:val="32"/>
          <w:szCs w:val="32"/>
          <w:shd w:val="clear" w:fill="FFFFFF"/>
          <w:lang w:val="en-US" w:eastAsia="zh-CN"/>
        </w:rPr>
        <w:t>进一步健全工作机制</w:t>
      </w:r>
      <w:r>
        <w:rPr>
          <w:rStyle w:val="8"/>
          <w:rFonts w:hint="eastAsia"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030303"/>
          <w:spacing w:val="7"/>
          <w:sz w:val="32"/>
          <w:szCs w:val="32"/>
          <w:shd w:val="clear" w:fill="FFFFFF"/>
        </w:rPr>
        <w:t>进一步规范采、编、发工作流程，</w:t>
      </w:r>
      <w:r>
        <w:rPr>
          <w:rStyle w:val="8"/>
          <w:rFonts w:hint="eastAsia" w:ascii="方正仿宋_GBK" w:hAnsi="方正仿宋_GBK" w:eastAsia="方正仿宋_GBK" w:cs="方正仿宋_GBK"/>
          <w:b w:val="0"/>
          <w:bCs/>
          <w:i w:val="0"/>
          <w:iCs w:val="0"/>
          <w:caps w:val="0"/>
          <w:color w:val="333333"/>
          <w:spacing w:val="0"/>
          <w:sz w:val="32"/>
          <w:szCs w:val="32"/>
          <w:shd w:val="clear" w:fill="FFFFFF"/>
          <w:lang w:val="en-US" w:eastAsia="zh-CN"/>
        </w:rPr>
        <w:t>严格执行“三审三校”工作制度，建立信息来源核实核准机制，确保公开信息真实、全面、客观、公正。</w:t>
      </w:r>
      <w:r>
        <w:rPr>
          <w:rStyle w:val="8"/>
          <w:rFonts w:hint="eastAsia" w:ascii="方正仿宋_GBK" w:hAnsi="方正仿宋_GBK" w:eastAsia="方正仿宋_GBK" w:cs="方正仿宋_GBK"/>
          <w:i w:val="0"/>
          <w:iCs w:val="0"/>
          <w:caps w:val="0"/>
          <w:color w:val="333333"/>
          <w:spacing w:val="0"/>
          <w:sz w:val="32"/>
          <w:szCs w:val="32"/>
          <w:shd w:val="clear" w:fill="FFFFFF"/>
          <w:lang w:val="en-US" w:eastAsia="zh-CN"/>
        </w:rPr>
        <w:t>二</w:t>
      </w:r>
      <w:r>
        <w:rPr>
          <w:rStyle w:val="8"/>
          <w:rFonts w:hint="eastAsia" w:ascii="方正仿宋_GBK" w:hAnsi="方正仿宋_GBK" w:eastAsia="方正仿宋_GBK" w:cs="方正仿宋_GBK"/>
          <w:i w:val="0"/>
          <w:iCs w:val="0"/>
          <w:caps w:val="0"/>
          <w:color w:val="333333"/>
          <w:spacing w:val="0"/>
          <w:sz w:val="32"/>
          <w:szCs w:val="32"/>
          <w:shd w:val="clear" w:fill="FFFFFF"/>
        </w:rPr>
        <w:t>是</w:t>
      </w:r>
      <w:r>
        <w:rPr>
          <w:rStyle w:val="8"/>
          <w:rFonts w:hint="eastAsia" w:ascii="方正仿宋_GBK" w:hAnsi="方正仿宋_GBK" w:eastAsia="方正仿宋_GBK" w:cs="方正仿宋_GBK"/>
          <w:i w:val="0"/>
          <w:iCs w:val="0"/>
          <w:caps w:val="0"/>
          <w:color w:val="333333"/>
          <w:spacing w:val="0"/>
          <w:sz w:val="32"/>
          <w:szCs w:val="32"/>
          <w:shd w:val="clear" w:fill="FFFFFF"/>
          <w:lang w:val="en-US" w:eastAsia="zh-CN"/>
        </w:rPr>
        <w:t>进一步提高履职能力</w:t>
      </w:r>
      <w:r>
        <w:rPr>
          <w:rStyle w:val="8"/>
          <w:rFonts w:hint="eastAsia"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b w:val="0"/>
          <w:bCs w:val="0"/>
          <w:i w:val="0"/>
          <w:iCs w:val="0"/>
          <w:caps w:val="0"/>
          <w:color w:val="333333"/>
          <w:spacing w:val="0"/>
          <w:sz w:val="32"/>
          <w:szCs w:val="32"/>
          <w:shd w:val="clear" w:fill="FFFFFF"/>
          <w:lang w:val="en-US" w:eastAsia="zh-CN"/>
        </w:rPr>
        <w:t>提高</w:t>
      </w:r>
      <w:r>
        <w:rPr>
          <w:rFonts w:hint="eastAsia" w:ascii="方正仿宋_GBK" w:hAnsi="方正仿宋_GBK" w:eastAsia="方正仿宋_GBK" w:cs="方正仿宋_GBK"/>
          <w:b w:val="0"/>
          <w:bCs w:val="0"/>
          <w:i w:val="0"/>
          <w:iCs w:val="0"/>
          <w:caps w:val="0"/>
          <w:color w:val="333333"/>
          <w:spacing w:val="0"/>
          <w:sz w:val="32"/>
          <w:szCs w:val="32"/>
          <w:shd w:val="clear" w:fill="FFFFFF"/>
        </w:rPr>
        <w:t>信息员队伍</w:t>
      </w:r>
      <w:r>
        <w:rPr>
          <w:rFonts w:hint="eastAsia" w:ascii="方正仿宋_GBK" w:hAnsi="方正仿宋_GBK" w:eastAsia="方正仿宋_GBK" w:cs="方正仿宋_GBK"/>
          <w:b w:val="0"/>
          <w:bCs w:val="0"/>
          <w:i w:val="0"/>
          <w:iCs w:val="0"/>
          <w:caps w:val="0"/>
          <w:color w:val="333333"/>
          <w:spacing w:val="0"/>
          <w:sz w:val="32"/>
          <w:szCs w:val="32"/>
          <w:shd w:val="clear" w:fill="FFFFFF"/>
          <w:lang w:val="en-US" w:eastAsia="zh-CN"/>
        </w:rPr>
        <w:t>履职能力</w:t>
      </w:r>
      <w:r>
        <w:rPr>
          <w:rFonts w:hint="eastAsia" w:ascii="方正仿宋_GBK" w:hAnsi="方正仿宋_GBK" w:eastAsia="方正仿宋_GBK" w:cs="方正仿宋_GBK"/>
          <w:b w:val="0"/>
          <w:bCs w:val="0"/>
          <w:i w:val="0"/>
          <w:iCs w:val="0"/>
          <w:caps w:val="0"/>
          <w:color w:val="333333"/>
          <w:spacing w:val="0"/>
          <w:sz w:val="32"/>
          <w:szCs w:val="32"/>
          <w:shd w:val="clear" w:fill="FFFFFF"/>
        </w:rPr>
        <w:t>，定期开展信息工作培训，</w:t>
      </w:r>
      <w:r>
        <w:rPr>
          <w:rFonts w:hint="eastAsia" w:ascii="方正仿宋_GBK" w:hAnsi="方正仿宋_GBK" w:eastAsia="方正仿宋_GBK" w:cs="方正仿宋_GBK"/>
          <w:b w:val="0"/>
          <w:bCs w:val="0"/>
          <w:i w:val="0"/>
          <w:iCs w:val="0"/>
          <w:caps w:val="0"/>
          <w:color w:val="333333"/>
          <w:spacing w:val="0"/>
          <w:sz w:val="32"/>
          <w:szCs w:val="32"/>
          <w:shd w:val="clear" w:fill="FFFFFF"/>
          <w:lang w:val="en-US" w:eastAsia="zh-CN"/>
        </w:rPr>
        <w:t>组织</w:t>
      </w:r>
      <w:r>
        <w:rPr>
          <w:rFonts w:hint="eastAsia" w:ascii="方正仿宋_GBK" w:hAnsi="方正仿宋_GBK" w:eastAsia="方正仿宋_GBK" w:cs="方正仿宋_GBK"/>
          <w:b w:val="0"/>
          <w:bCs w:val="0"/>
          <w:i w:val="0"/>
          <w:iCs w:val="0"/>
          <w:caps w:val="0"/>
          <w:color w:val="333333"/>
          <w:spacing w:val="0"/>
          <w:sz w:val="32"/>
          <w:szCs w:val="32"/>
          <w:shd w:val="clear" w:fill="FFFFFF"/>
        </w:rPr>
        <w:t>信息撰写、信息管理等专题培训。</w:t>
      </w:r>
      <w:r>
        <w:rPr>
          <w:rFonts w:hint="eastAsia" w:ascii="方正仿宋_GBK" w:hAnsi="方正仿宋_GBK" w:eastAsia="方正仿宋_GBK" w:cs="方正仿宋_GBK"/>
          <w:b/>
          <w:bCs/>
          <w:i w:val="0"/>
          <w:iCs w:val="0"/>
          <w:caps w:val="0"/>
          <w:color w:val="333333"/>
          <w:spacing w:val="0"/>
          <w:sz w:val="32"/>
          <w:szCs w:val="32"/>
          <w:shd w:val="clear" w:fill="FFFFFF"/>
          <w:lang w:val="en-US" w:eastAsia="zh-CN"/>
        </w:rPr>
        <w:t>三</w:t>
      </w:r>
      <w:r>
        <w:rPr>
          <w:rFonts w:hint="eastAsia" w:ascii="方正仿宋_GBK" w:hAnsi="方正仿宋_GBK" w:eastAsia="方正仿宋_GBK" w:cs="方正仿宋_GBK"/>
          <w:b/>
          <w:bCs/>
          <w:i w:val="0"/>
          <w:iCs w:val="0"/>
          <w:caps w:val="0"/>
          <w:color w:val="333333"/>
          <w:spacing w:val="0"/>
          <w:sz w:val="32"/>
          <w:szCs w:val="32"/>
          <w:shd w:val="clear" w:fill="FFFFFF"/>
        </w:rPr>
        <w:t>是进一步提升履职质效。</w:t>
      </w:r>
      <w:r>
        <w:rPr>
          <w:rFonts w:hint="eastAsia" w:ascii="方正仿宋_GBK" w:hAnsi="方正仿宋_GBK" w:eastAsia="方正仿宋_GBK" w:cs="方正仿宋_GBK"/>
          <w:b w:val="0"/>
          <w:bCs w:val="0"/>
          <w:i w:val="0"/>
          <w:iCs w:val="0"/>
          <w:caps w:val="0"/>
          <w:color w:val="333333"/>
          <w:spacing w:val="0"/>
          <w:sz w:val="32"/>
          <w:szCs w:val="32"/>
          <w:shd w:val="clear" w:fill="FFFFFF"/>
        </w:rPr>
        <w:t>指定专人负责政务公开工作，建立全局联动机制，在出现班子分工调整、出台新的政策文件、工作上有新动向新成效等情形时，及时在门户网站上进行更新调整。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sz w:val="32"/>
          <w:szCs w:val="32"/>
        </w:rPr>
      </w:pPr>
      <w:r>
        <w:rPr>
          <w:rFonts w:hint="eastAsia" w:ascii="方正楷体_GBK" w:hAnsi="方正楷体_GBK" w:eastAsia="方正楷体_GBK" w:cs="方正楷体_GBK"/>
          <w:b w:val="0"/>
          <w:bCs w:val="0"/>
          <w:i w:val="0"/>
          <w:iCs w:val="0"/>
          <w:caps w:val="0"/>
          <w:color w:val="333333"/>
          <w:spacing w:val="0"/>
          <w:sz w:val="32"/>
          <w:szCs w:val="32"/>
          <w:shd w:val="clear" w:fill="FFFFFF"/>
        </w:rPr>
        <w:t>（四）平台建设情况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default" w:eastAsia="方正仿宋_GBK"/>
          <w:b w:val="0"/>
          <w:bCs w:val="0"/>
          <w:sz w:val="32"/>
          <w:szCs w:val="32"/>
          <w:lang w:val="en-US" w:eastAsia="zh-CN"/>
        </w:rPr>
      </w:pPr>
      <w:r>
        <w:rPr>
          <w:rFonts w:hint="eastAsia" w:ascii="方正仿宋_GBK" w:hAnsi="方正仿宋_GBK" w:eastAsia="方正仿宋_GBK" w:cs="方正仿宋_GBK"/>
          <w:b w:val="0"/>
          <w:bCs w:val="0"/>
          <w:i w:val="0"/>
          <w:iCs w:val="0"/>
          <w:caps w:val="0"/>
          <w:color w:val="333333"/>
          <w:spacing w:val="0"/>
          <w:sz w:val="32"/>
          <w:szCs w:val="32"/>
          <w:shd w:val="clear" w:fill="FFFFFF"/>
          <w:lang w:val="en-US" w:eastAsia="zh-CN"/>
        </w:rPr>
        <w:t>以</w:t>
      </w:r>
      <w:r>
        <w:rPr>
          <w:rFonts w:hint="eastAsia" w:ascii="方正仿宋_GBK" w:hAnsi="方正仿宋_GBK" w:eastAsia="方正仿宋_GBK" w:cs="方正仿宋_GBK"/>
          <w:b w:val="0"/>
          <w:bCs w:val="0"/>
          <w:i w:val="0"/>
          <w:iCs w:val="0"/>
          <w:caps w:val="0"/>
          <w:color w:val="333333"/>
          <w:spacing w:val="0"/>
          <w:sz w:val="32"/>
          <w:szCs w:val="32"/>
          <w:shd w:val="clear" w:fill="FFFFFF"/>
        </w:rPr>
        <w:t>政府网站和“綦江城管”“綦江城管执法”微信公众号3个平台</w:t>
      </w:r>
      <w:r>
        <w:rPr>
          <w:rFonts w:hint="eastAsia" w:ascii="方正仿宋_GBK" w:hAnsi="方正仿宋_GBK" w:eastAsia="方正仿宋_GBK" w:cs="方正仿宋_GBK"/>
          <w:b w:val="0"/>
          <w:bCs w:val="0"/>
          <w:i w:val="0"/>
          <w:iCs w:val="0"/>
          <w:caps w:val="0"/>
          <w:color w:val="333333"/>
          <w:spacing w:val="0"/>
          <w:sz w:val="32"/>
          <w:szCs w:val="32"/>
          <w:shd w:val="clear" w:fill="FFFFFF"/>
          <w:lang w:val="en-US" w:eastAsia="zh-CN"/>
        </w:rPr>
        <w:t>建设为抓手，持续深化基层政务公开标准化规范化建设，积极拓宽政务公开渠道，强化群众参与度，提高决策透明度，以公开促落实、以服务促发展，让政务公开有温度、有速度、有态度。</w:t>
      </w:r>
      <w:r>
        <w:rPr>
          <w:rFonts w:hint="eastAsia" w:ascii="方正仿宋_GBK" w:hAnsi="方正仿宋_GBK" w:eastAsia="方正仿宋_GBK" w:cs="方正仿宋_GBK"/>
          <w:b/>
          <w:bCs/>
          <w:i w:val="0"/>
          <w:iCs w:val="0"/>
          <w:caps w:val="0"/>
          <w:color w:val="333333"/>
          <w:spacing w:val="0"/>
          <w:sz w:val="32"/>
          <w:szCs w:val="32"/>
          <w:shd w:val="clear" w:fill="FFFFFF"/>
          <w:lang w:val="en-US" w:eastAsia="zh-CN"/>
        </w:rPr>
        <w:t>一是充分发挥政府网站的第一平台作用</w:t>
      </w:r>
      <w:r>
        <w:rPr>
          <w:rFonts w:hint="eastAsia" w:ascii="方正仿宋_GBK" w:hAnsi="方正仿宋_GBK" w:eastAsia="方正仿宋_GBK" w:cs="方正仿宋_GBK"/>
          <w:b w:val="0"/>
          <w:bCs w:val="0"/>
          <w:i w:val="0"/>
          <w:iCs w:val="0"/>
          <w:caps w:val="0"/>
          <w:color w:val="333333"/>
          <w:spacing w:val="0"/>
          <w:sz w:val="32"/>
          <w:szCs w:val="32"/>
          <w:shd w:val="clear" w:fill="FFFFFF"/>
          <w:lang w:val="en-US" w:eastAsia="zh-CN"/>
        </w:rPr>
        <w:t>。进一步优化政府门户网站信息公开专栏的公开功能和用户体验，根据政务公开工作新要求，结合工作实际，及时更新应公开信息。</w:t>
      </w:r>
      <w:r>
        <w:rPr>
          <w:rFonts w:hint="eastAsia" w:ascii="方正仿宋_GBK" w:hAnsi="方正仿宋_GBK" w:eastAsia="方正仿宋_GBK" w:cs="方正仿宋_GBK"/>
          <w:b/>
          <w:bCs/>
          <w:i w:val="0"/>
          <w:iCs w:val="0"/>
          <w:caps w:val="0"/>
          <w:color w:val="333333"/>
          <w:spacing w:val="0"/>
          <w:sz w:val="32"/>
          <w:szCs w:val="32"/>
          <w:shd w:val="clear" w:fill="FFFFFF"/>
          <w:lang w:val="en-US" w:eastAsia="zh-CN"/>
        </w:rPr>
        <w:t>二是持续加强信息发布平台日常监管。</w:t>
      </w:r>
      <w:r>
        <w:rPr>
          <w:rFonts w:hint="eastAsia" w:ascii="方正仿宋_GBK" w:hAnsi="方正仿宋_GBK" w:eastAsia="方正仿宋_GBK" w:cs="方正仿宋_GBK"/>
          <w:b w:val="0"/>
          <w:bCs w:val="0"/>
          <w:i w:val="0"/>
          <w:iCs w:val="0"/>
          <w:caps w:val="0"/>
          <w:color w:val="333333"/>
          <w:spacing w:val="0"/>
          <w:sz w:val="32"/>
          <w:szCs w:val="32"/>
          <w:shd w:val="clear" w:fill="FFFFFF"/>
          <w:lang w:val="en-US" w:eastAsia="zh-CN"/>
        </w:rPr>
        <w:t>指定专人负责管理，在日常管理中管理人员定期对信息公开平台进行检查，重点对目录维护、信息分类、信息质量、信息及时性等进行核查，法定、主动、及时、高质量公开政府信息。</w:t>
      </w:r>
      <w:r>
        <w:rPr>
          <w:rFonts w:hint="eastAsia" w:ascii="方正仿宋_GBK" w:hAnsi="方正仿宋_GBK" w:eastAsia="方正仿宋_GBK" w:cs="方正仿宋_GBK"/>
          <w:b/>
          <w:bCs/>
          <w:i w:val="0"/>
          <w:iCs w:val="0"/>
          <w:caps w:val="0"/>
          <w:color w:val="333333"/>
          <w:spacing w:val="0"/>
          <w:sz w:val="32"/>
          <w:szCs w:val="32"/>
          <w:shd w:val="clear" w:fill="FFFFFF"/>
          <w:lang w:val="en-US" w:eastAsia="zh-CN"/>
        </w:rPr>
        <w:t>三是不断优化平台服务功能。</w:t>
      </w:r>
      <w:r>
        <w:rPr>
          <w:rFonts w:hint="eastAsia" w:ascii="方正仿宋_GBK" w:hAnsi="方正仿宋_GBK" w:eastAsia="方正仿宋_GBK" w:cs="方正仿宋_GBK"/>
          <w:b w:val="0"/>
          <w:bCs w:val="0"/>
          <w:i w:val="0"/>
          <w:iCs w:val="0"/>
          <w:caps w:val="0"/>
          <w:color w:val="333333"/>
          <w:spacing w:val="0"/>
          <w:sz w:val="32"/>
          <w:szCs w:val="32"/>
          <w:shd w:val="clear" w:fill="FFFFFF"/>
          <w:lang w:val="en-US" w:eastAsia="zh-CN"/>
        </w:rPr>
        <w:t>深入开展政民互动交流，在“綦江城管”微信公众号开通“两代表一委员”建言献策专区，依托“城市管理公众服务”小程序，推广綦江区城管便民生活地图，录入城市公园、公厕、公共停车场等数据1984个。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sz w:val="32"/>
          <w:szCs w:val="32"/>
        </w:rPr>
      </w:pPr>
      <w:r>
        <w:rPr>
          <w:rFonts w:hint="eastAsia" w:ascii="方正楷体_GBK" w:hAnsi="方正楷体_GBK" w:eastAsia="方正楷体_GBK" w:cs="方正楷体_GBK"/>
          <w:b w:val="0"/>
          <w:bCs w:val="0"/>
          <w:i w:val="0"/>
          <w:iCs w:val="0"/>
          <w:caps w:val="0"/>
          <w:color w:val="333333"/>
          <w:spacing w:val="0"/>
          <w:sz w:val="32"/>
          <w:szCs w:val="32"/>
          <w:shd w:val="clear" w:fill="FFFFFF"/>
        </w:rPr>
        <w:t>（五）监督保障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default" w:ascii="方正仿宋_GBK" w:hAnsi="方正仿宋_GBK" w:eastAsia="方正仿宋_GBK" w:cs="方正仿宋_GBK"/>
          <w:b w:val="0"/>
          <w:bCs w:val="0"/>
          <w:i w:val="0"/>
          <w:iCs w:val="0"/>
          <w:caps w:val="0"/>
          <w:color w:val="333333"/>
          <w:spacing w:val="0"/>
          <w:sz w:val="32"/>
          <w:szCs w:val="32"/>
          <w:shd w:val="clear" w:fill="FFFFFF"/>
          <w:lang w:val="en-US" w:eastAsia="zh-CN"/>
        </w:rPr>
      </w:pPr>
      <w:bookmarkStart w:id="0" w:name="_Toc61424589"/>
      <w:bookmarkEnd w:id="0"/>
      <w:bookmarkStart w:id="1" w:name="_Toc7481"/>
      <w:bookmarkEnd w:id="1"/>
      <w:r>
        <w:rPr>
          <w:rFonts w:hint="eastAsia" w:ascii="方正仿宋_GBK" w:hAnsi="方正仿宋_GBK" w:eastAsia="方正仿宋_GBK" w:cs="方正仿宋_GBK"/>
          <w:b/>
          <w:bCs/>
          <w:i w:val="0"/>
          <w:iCs w:val="0"/>
          <w:caps w:val="0"/>
          <w:color w:val="333333"/>
          <w:spacing w:val="0"/>
          <w:sz w:val="32"/>
          <w:szCs w:val="32"/>
          <w:shd w:val="clear" w:fill="FFFFFF"/>
          <w:lang w:val="en-US" w:eastAsia="zh-CN"/>
        </w:rPr>
        <w:t>一是压实工作责任。</w:t>
      </w:r>
      <w:r>
        <w:rPr>
          <w:rFonts w:hint="eastAsia" w:ascii="方正仿宋_GBK" w:hAnsi="方正仿宋_GBK" w:eastAsia="方正仿宋_GBK" w:cs="方正仿宋_GBK"/>
          <w:b w:val="0"/>
          <w:bCs w:val="0"/>
          <w:i w:val="0"/>
          <w:iCs w:val="0"/>
          <w:caps w:val="0"/>
          <w:color w:val="333333"/>
          <w:spacing w:val="0"/>
          <w:sz w:val="32"/>
          <w:szCs w:val="32"/>
          <w:shd w:val="clear" w:fill="FFFFFF"/>
          <w:lang w:val="en-US" w:eastAsia="zh-CN"/>
        </w:rPr>
        <w:t>建立健全政务公开推进机制，明确由主要领导负总责，分管领导具体抓，业务科室直接办的三级办理机制。进一步修改完善信息发布“三审三校”工作机制，不断改进和提升政务公开工作水平。</w:t>
      </w:r>
      <w:r>
        <w:rPr>
          <w:rFonts w:hint="eastAsia" w:ascii="方正仿宋_GBK" w:hAnsi="方正仿宋_GBK" w:eastAsia="方正仿宋_GBK" w:cs="方正仿宋_GBK"/>
          <w:b/>
          <w:bCs/>
          <w:i w:val="0"/>
          <w:iCs w:val="0"/>
          <w:caps w:val="0"/>
          <w:color w:val="333333"/>
          <w:spacing w:val="0"/>
          <w:sz w:val="32"/>
          <w:szCs w:val="32"/>
          <w:shd w:val="clear" w:fill="FFFFFF"/>
          <w:lang w:val="en-US" w:eastAsia="zh-CN"/>
        </w:rPr>
        <w:t>二是严格把关发布内容。</w:t>
      </w:r>
      <w:r>
        <w:rPr>
          <w:rFonts w:hint="eastAsia" w:ascii="方正仿宋_GBK" w:hAnsi="方正仿宋_GBK" w:eastAsia="方正仿宋_GBK" w:cs="方正仿宋_GBK"/>
          <w:b w:val="0"/>
          <w:bCs w:val="0"/>
          <w:i w:val="0"/>
          <w:iCs w:val="0"/>
          <w:caps w:val="0"/>
          <w:color w:val="333333"/>
          <w:spacing w:val="0"/>
          <w:sz w:val="32"/>
          <w:szCs w:val="32"/>
          <w:shd w:val="clear" w:fill="FFFFFF"/>
          <w:lang w:val="en-US" w:eastAsia="zh-CN"/>
        </w:rPr>
        <w:t>始终把提升信息发布质量作为工作的重中之重，从信息编辑到网上发布，坚持先审后发，</w:t>
      </w:r>
      <w:r>
        <w:rPr>
          <w:rFonts w:hint="eastAsia" w:ascii="方正仿宋_GBK" w:hAnsi="方正仿宋_GBK" w:eastAsia="方正仿宋_GBK" w:cs="方正仿宋_GBK"/>
          <w:b w:val="0"/>
          <w:bCs w:val="0"/>
          <w:i w:val="0"/>
          <w:iCs w:val="0"/>
          <w:caps w:val="0"/>
          <w:color w:val="333333"/>
          <w:spacing w:val="0"/>
          <w:sz w:val="32"/>
          <w:szCs w:val="32"/>
          <w:shd w:val="clear" w:fill="FFFFFF"/>
        </w:rPr>
        <w:t>严格执行政府信息公开前保密审查制度，</w:t>
      </w:r>
      <w:r>
        <w:rPr>
          <w:rFonts w:hint="eastAsia" w:ascii="方正仿宋_GBK" w:hAnsi="方正仿宋_GBK" w:eastAsia="方正仿宋_GBK" w:cs="方正仿宋_GBK"/>
          <w:b w:val="0"/>
          <w:bCs w:val="0"/>
          <w:i w:val="0"/>
          <w:iCs w:val="0"/>
          <w:caps w:val="0"/>
          <w:color w:val="333333"/>
          <w:spacing w:val="0"/>
          <w:sz w:val="32"/>
          <w:szCs w:val="32"/>
          <w:shd w:val="clear" w:fill="FFFFFF"/>
          <w:lang w:val="en-US" w:eastAsia="zh-CN"/>
        </w:rPr>
        <w:t>确保公开内容的及时性、真实性和安全性。</w:t>
      </w:r>
      <w:r>
        <w:rPr>
          <w:rFonts w:hint="eastAsia" w:ascii="方正仿宋_GBK" w:hAnsi="方正仿宋_GBK" w:eastAsia="方正仿宋_GBK" w:cs="方正仿宋_GBK"/>
          <w:b/>
          <w:bCs/>
          <w:i w:val="0"/>
          <w:iCs w:val="0"/>
          <w:caps w:val="0"/>
          <w:color w:val="333333"/>
          <w:spacing w:val="0"/>
          <w:sz w:val="32"/>
          <w:szCs w:val="32"/>
          <w:shd w:val="clear" w:fill="FFFFFF"/>
          <w:lang w:val="en-US" w:eastAsia="zh-CN"/>
        </w:rPr>
        <w:t>三是强化督导检查。</w:t>
      </w:r>
      <w:r>
        <w:rPr>
          <w:rFonts w:hint="eastAsia" w:ascii="方正仿宋_GBK" w:hAnsi="方正仿宋_GBK" w:eastAsia="方正仿宋_GBK" w:cs="方正仿宋_GBK"/>
          <w:b w:val="0"/>
          <w:bCs w:val="0"/>
          <w:i w:val="0"/>
          <w:iCs w:val="0"/>
          <w:caps w:val="0"/>
          <w:color w:val="333333"/>
          <w:spacing w:val="0"/>
          <w:sz w:val="32"/>
          <w:szCs w:val="32"/>
          <w:shd w:val="clear" w:fill="FFFFFF"/>
        </w:rPr>
        <w:t>严格对照《政府网站和政务新媒体信息发布“三审三校”工作制度》、《政务新媒体读网值班制度》、《政府信息公开保密审查制度》</w:t>
      </w:r>
      <w:r>
        <w:rPr>
          <w:rFonts w:hint="eastAsia" w:ascii="方正仿宋_GBK" w:hAnsi="方正仿宋_GBK" w:eastAsia="方正仿宋_GBK" w:cs="方正仿宋_GBK"/>
          <w:b w:val="0"/>
          <w:bCs w:val="0"/>
          <w:i w:val="0"/>
          <w:iCs w:val="0"/>
          <w:caps w:val="0"/>
          <w:color w:val="333333"/>
          <w:spacing w:val="0"/>
          <w:sz w:val="32"/>
          <w:szCs w:val="32"/>
          <w:shd w:val="clear" w:fill="FFFFFF"/>
          <w:lang w:val="en-US" w:eastAsia="zh-CN"/>
        </w:rPr>
        <w:t>等要求</w:t>
      </w:r>
      <w:r>
        <w:rPr>
          <w:rFonts w:hint="eastAsia" w:ascii="方正仿宋_GBK" w:hAnsi="方正仿宋_GBK" w:eastAsia="方正仿宋_GBK" w:cs="方正仿宋_GBK"/>
          <w:b w:val="0"/>
          <w:bCs w:val="0"/>
          <w:i w:val="0"/>
          <w:iCs w:val="0"/>
          <w:caps w:val="0"/>
          <w:color w:val="333333"/>
          <w:spacing w:val="0"/>
          <w:sz w:val="32"/>
          <w:szCs w:val="32"/>
          <w:shd w:val="clear" w:fill="FFFFFF"/>
        </w:rPr>
        <w:t>，</w:t>
      </w:r>
      <w:r>
        <w:rPr>
          <w:rFonts w:hint="eastAsia" w:ascii="方正仿宋_GBK" w:hAnsi="方正仿宋_GBK" w:eastAsia="方正仿宋_GBK" w:cs="方正仿宋_GBK"/>
          <w:b w:val="0"/>
          <w:bCs w:val="0"/>
          <w:i w:val="0"/>
          <w:iCs w:val="0"/>
          <w:caps w:val="0"/>
          <w:color w:val="333333"/>
          <w:spacing w:val="0"/>
          <w:sz w:val="32"/>
          <w:szCs w:val="32"/>
          <w:shd w:val="clear" w:fill="FFFFFF"/>
          <w:lang w:val="en-US" w:eastAsia="zh-CN"/>
        </w:rPr>
        <w:t>定期检查已公开内容，及时查漏补缺。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二、主动公开政府信息情况</w:t>
      </w:r>
    </w:p>
    <w:tbl>
      <w:tblPr>
        <w:tblStyle w:val="6"/>
        <w:tblW w:w="84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632"/>
        <w:gridCol w:w="1912"/>
        <w:gridCol w:w="1536"/>
        <w:gridCol w:w="34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8488" w:type="dxa"/>
            <w:gridSpan w:val="4"/>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center"/>
              <w:rPr>
                <w:sz w:val="21"/>
                <w:szCs w:val="21"/>
              </w:rPr>
            </w:pPr>
            <w:r>
              <w:rPr>
                <w:rFonts w:hint="eastAsia" w:ascii="宋体" w:hAnsi="宋体" w:eastAsia="宋体" w:cs="宋体"/>
                <w:color w:val="000000"/>
                <w:sz w:val="21"/>
                <w:szCs w:val="21"/>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6" w:hRule="atLeast"/>
        </w:trPr>
        <w:tc>
          <w:tcPr>
            <w:tcW w:w="1632" w:type="dxa"/>
            <w:tcBorders>
              <w:top w:val="nil"/>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both"/>
              <w:rPr>
                <w:sz w:val="21"/>
                <w:szCs w:val="21"/>
              </w:rPr>
            </w:pPr>
            <w:r>
              <w:rPr>
                <w:rFonts w:hint="eastAsia" w:ascii="宋体" w:hAnsi="宋体" w:eastAsia="宋体" w:cs="宋体"/>
                <w:color w:val="000000"/>
                <w:sz w:val="21"/>
                <w:szCs w:val="21"/>
              </w:rPr>
              <w:t>信息内容</w:t>
            </w:r>
          </w:p>
        </w:tc>
        <w:tc>
          <w:tcPr>
            <w:tcW w:w="191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0"/>
              <w:jc w:val="both"/>
              <w:rPr>
                <w:sz w:val="21"/>
                <w:szCs w:val="21"/>
              </w:rPr>
            </w:pPr>
            <w:r>
              <w:rPr>
                <w:rFonts w:hint="eastAsia" w:ascii="宋体" w:hAnsi="宋体" w:eastAsia="宋体" w:cs="宋体"/>
                <w:color w:val="000000"/>
                <w:sz w:val="21"/>
                <w:szCs w:val="21"/>
              </w:rPr>
              <w:t>本年制发件作数</w:t>
            </w:r>
          </w:p>
        </w:tc>
        <w:tc>
          <w:tcPr>
            <w:tcW w:w="1536"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0"/>
              <w:jc w:val="both"/>
              <w:rPr>
                <w:sz w:val="21"/>
                <w:szCs w:val="21"/>
              </w:rPr>
            </w:pPr>
            <w:r>
              <w:rPr>
                <w:rFonts w:hint="eastAsia" w:ascii="宋体" w:hAnsi="宋体" w:eastAsia="宋体" w:cs="宋体"/>
                <w:color w:val="000000"/>
                <w:sz w:val="21"/>
                <w:szCs w:val="21"/>
              </w:rPr>
              <w:t>本年废止件数</w:t>
            </w:r>
          </w:p>
        </w:tc>
        <w:tc>
          <w:tcPr>
            <w:tcW w:w="340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both"/>
              <w:rPr>
                <w:sz w:val="21"/>
                <w:szCs w:val="21"/>
              </w:rPr>
            </w:pPr>
            <w:r>
              <w:rPr>
                <w:rFonts w:hint="eastAsia" w:ascii="宋体" w:hAnsi="宋体" w:eastAsia="宋体" w:cs="宋体"/>
                <w:color w:val="000000"/>
                <w:sz w:val="21"/>
                <w:szCs w:val="21"/>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6" w:hRule="atLeast"/>
        </w:trPr>
        <w:tc>
          <w:tcPr>
            <w:tcW w:w="1632" w:type="dxa"/>
            <w:tcBorders>
              <w:top w:val="nil"/>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both"/>
              <w:rPr>
                <w:sz w:val="21"/>
                <w:szCs w:val="21"/>
              </w:rPr>
            </w:pPr>
            <w:r>
              <w:rPr>
                <w:rFonts w:hint="eastAsia" w:ascii="宋体" w:hAnsi="宋体" w:eastAsia="宋体" w:cs="宋体"/>
                <w:color w:val="000000"/>
                <w:sz w:val="21"/>
                <w:szCs w:val="21"/>
              </w:rPr>
              <w:t>规章</w:t>
            </w:r>
          </w:p>
        </w:tc>
        <w:tc>
          <w:tcPr>
            <w:tcW w:w="191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both"/>
              <w:rPr>
                <w:color w:val="auto"/>
                <w:sz w:val="21"/>
                <w:szCs w:val="21"/>
              </w:rPr>
            </w:pPr>
            <w:r>
              <w:rPr>
                <w:rFonts w:hint="eastAsia" w:ascii="方正仿宋_GBK" w:hAnsi="方正仿宋_GBK" w:eastAsia="方正仿宋_GBK" w:cs="方正仿宋_GBK"/>
                <w:color w:val="auto"/>
                <w:sz w:val="21"/>
                <w:szCs w:val="21"/>
              </w:rPr>
              <w:t>0</w:t>
            </w:r>
          </w:p>
        </w:tc>
        <w:tc>
          <w:tcPr>
            <w:tcW w:w="1536"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both"/>
              <w:rPr>
                <w:color w:val="auto"/>
                <w:sz w:val="21"/>
                <w:szCs w:val="21"/>
              </w:rPr>
            </w:pPr>
            <w:r>
              <w:rPr>
                <w:rFonts w:hint="eastAsia" w:ascii="方正仿宋_GBK" w:hAnsi="方正仿宋_GBK" w:eastAsia="方正仿宋_GBK" w:cs="方正仿宋_GBK"/>
                <w:color w:val="auto"/>
                <w:sz w:val="21"/>
                <w:szCs w:val="21"/>
              </w:rPr>
              <w:t>0</w:t>
            </w:r>
          </w:p>
        </w:tc>
        <w:tc>
          <w:tcPr>
            <w:tcW w:w="340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both"/>
              <w:rPr>
                <w:color w:val="auto"/>
                <w:sz w:val="21"/>
                <w:szCs w:val="21"/>
              </w:rPr>
            </w:pPr>
            <w:r>
              <w:rPr>
                <w:rFonts w:hint="eastAsia" w:ascii="方正仿宋_GBK" w:hAnsi="方正仿宋_GBK" w:eastAsia="方正仿宋_GBK" w:cs="方正仿宋_GBK"/>
                <w:color w:val="auto"/>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6" w:hRule="atLeast"/>
        </w:trPr>
        <w:tc>
          <w:tcPr>
            <w:tcW w:w="1632" w:type="dxa"/>
            <w:tcBorders>
              <w:top w:val="nil"/>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0"/>
              <w:jc w:val="both"/>
              <w:rPr>
                <w:sz w:val="21"/>
                <w:szCs w:val="21"/>
              </w:rPr>
            </w:pPr>
            <w:r>
              <w:rPr>
                <w:rFonts w:hint="eastAsia" w:ascii="宋体" w:hAnsi="宋体" w:eastAsia="宋体" w:cs="宋体"/>
                <w:color w:val="000000"/>
                <w:sz w:val="21"/>
                <w:szCs w:val="21"/>
              </w:rPr>
              <w:t>行政规范性文件</w:t>
            </w:r>
          </w:p>
        </w:tc>
        <w:tc>
          <w:tcPr>
            <w:tcW w:w="191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both"/>
              <w:rPr>
                <w:color w:val="auto"/>
                <w:sz w:val="21"/>
                <w:szCs w:val="21"/>
              </w:rPr>
            </w:pPr>
            <w:r>
              <w:rPr>
                <w:rFonts w:hint="eastAsia" w:ascii="方正仿宋_GBK" w:hAnsi="方正仿宋_GBK" w:eastAsia="方正仿宋_GBK" w:cs="方正仿宋_GBK"/>
                <w:color w:val="auto"/>
                <w:sz w:val="21"/>
                <w:szCs w:val="21"/>
              </w:rPr>
              <w:t>0</w:t>
            </w:r>
          </w:p>
        </w:tc>
        <w:tc>
          <w:tcPr>
            <w:tcW w:w="1536"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both"/>
              <w:rPr>
                <w:rFonts w:hint="eastAsia" w:eastAsiaTheme="minorEastAsia"/>
                <w:color w:val="auto"/>
                <w:sz w:val="21"/>
                <w:szCs w:val="21"/>
                <w:lang w:eastAsia="zh-CN"/>
              </w:rPr>
            </w:pPr>
            <w:r>
              <w:rPr>
                <w:rFonts w:hint="eastAsia" w:ascii="方正仿宋_GBK" w:hAnsi="方正仿宋_GBK" w:eastAsia="方正仿宋_GBK" w:cs="方正仿宋_GBK"/>
                <w:color w:val="auto"/>
                <w:sz w:val="21"/>
                <w:szCs w:val="21"/>
                <w:lang w:val="en-US" w:eastAsia="zh-CN"/>
              </w:rPr>
              <w:t>0</w:t>
            </w:r>
          </w:p>
        </w:tc>
        <w:tc>
          <w:tcPr>
            <w:tcW w:w="340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both"/>
              <w:rPr>
                <w:rFonts w:hint="eastAsia" w:eastAsiaTheme="minorEastAsia"/>
                <w:color w:val="auto"/>
                <w:sz w:val="21"/>
                <w:szCs w:val="21"/>
                <w:lang w:eastAsia="zh-CN"/>
              </w:rPr>
            </w:pPr>
            <w:r>
              <w:rPr>
                <w:rFonts w:hint="eastAsia" w:ascii="方正仿宋_GBK" w:hAnsi="方正仿宋_GBK" w:eastAsia="方正仿宋_GBK" w:cs="方正仿宋_GBK"/>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6" w:hRule="atLeast"/>
        </w:trPr>
        <w:tc>
          <w:tcPr>
            <w:tcW w:w="8488" w:type="dxa"/>
            <w:gridSpan w:val="4"/>
            <w:tcBorders>
              <w:top w:val="nil"/>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center"/>
              <w:rPr>
                <w:sz w:val="21"/>
                <w:szCs w:val="21"/>
              </w:rPr>
            </w:pPr>
            <w:r>
              <w:rPr>
                <w:rFonts w:hint="eastAsia" w:ascii="宋体" w:hAnsi="宋体" w:eastAsia="宋体" w:cs="宋体"/>
                <w:color w:val="000000"/>
                <w:sz w:val="21"/>
                <w:szCs w:val="21"/>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6" w:hRule="atLeast"/>
        </w:trPr>
        <w:tc>
          <w:tcPr>
            <w:tcW w:w="1632" w:type="dxa"/>
            <w:tcBorders>
              <w:top w:val="nil"/>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both"/>
              <w:rPr>
                <w:sz w:val="21"/>
                <w:szCs w:val="21"/>
              </w:rPr>
            </w:pPr>
            <w:r>
              <w:rPr>
                <w:rFonts w:hint="eastAsia" w:ascii="宋体" w:hAnsi="宋体" w:eastAsia="宋体" w:cs="宋体"/>
                <w:color w:val="000000"/>
                <w:sz w:val="21"/>
                <w:szCs w:val="21"/>
              </w:rPr>
              <w:t>信息内容</w:t>
            </w:r>
          </w:p>
        </w:tc>
        <w:tc>
          <w:tcPr>
            <w:tcW w:w="6856"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both"/>
              <w:rPr>
                <w:sz w:val="21"/>
                <w:szCs w:val="21"/>
              </w:rPr>
            </w:pPr>
            <w:r>
              <w:rPr>
                <w:rFonts w:hint="eastAsia" w:ascii="宋体" w:hAnsi="宋体" w:eastAsia="宋体" w:cs="宋体"/>
                <w:color w:val="000000"/>
                <w:sz w:val="21"/>
                <w:szCs w:val="21"/>
              </w:rPr>
              <w:t>本年处理决定数量</w:t>
            </w:r>
            <w:bookmarkStart w:id="4" w:name="_GoBack"/>
            <w:bookmarkEnd w:id="4"/>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6" w:hRule="atLeast"/>
        </w:trPr>
        <w:tc>
          <w:tcPr>
            <w:tcW w:w="1632" w:type="dxa"/>
            <w:tcBorders>
              <w:top w:val="nil"/>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both"/>
              <w:rPr>
                <w:sz w:val="21"/>
                <w:szCs w:val="21"/>
              </w:rPr>
            </w:pPr>
            <w:r>
              <w:rPr>
                <w:rFonts w:hint="eastAsia" w:ascii="宋体" w:hAnsi="宋体" w:eastAsia="宋体" w:cs="宋体"/>
                <w:color w:val="000000"/>
                <w:sz w:val="21"/>
                <w:szCs w:val="21"/>
              </w:rPr>
              <w:t>行政许可</w:t>
            </w:r>
          </w:p>
        </w:tc>
        <w:tc>
          <w:tcPr>
            <w:tcW w:w="6856"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both"/>
              <w:rPr>
                <w:rFonts w:hint="default" w:eastAsiaTheme="minorEastAsia"/>
                <w:sz w:val="21"/>
                <w:szCs w:val="21"/>
                <w:lang w:val="en-US" w:eastAsia="zh-CN"/>
              </w:rPr>
            </w:pPr>
            <w:r>
              <w:rPr>
                <w:rFonts w:hint="eastAsia" w:ascii="方正仿宋_GBK" w:hAnsi="方正仿宋_GBK" w:eastAsia="方正仿宋_GBK" w:cs="方正仿宋_GBK"/>
                <w:color w:val="auto"/>
                <w:sz w:val="21"/>
                <w:szCs w:val="21"/>
                <w:lang w:val="en-US" w:eastAsia="zh-CN"/>
              </w:rPr>
              <w:t>1423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6" w:hRule="atLeast"/>
        </w:trPr>
        <w:tc>
          <w:tcPr>
            <w:tcW w:w="8488" w:type="dxa"/>
            <w:gridSpan w:val="4"/>
            <w:tcBorders>
              <w:top w:val="nil"/>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both"/>
              <w:rPr>
                <w:sz w:val="21"/>
                <w:szCs w:val="21"/>
              </w:rPr>
            </w:pPr>
            <w:r>
              <w:rPr>
                <w:rFonts w:hint="eastAsia" w:ascii="宋体" w:hAnsi="宋体" w:eastAsia="宋体" w:cs="宋体"/>
                <w:color w:val="000000"/>
                <w:sz w:val="21"/>
                <w:szCs w:val="21"/>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6" w:hRule="atLeast"/>
        </w:trPr>
        <w:tc>
          <w:tcPr>
            <w:tcW w:w="1632" w:type="dxa"/>
            <w:tcBorders>
              <w:top w:val="nil"/>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both"/>
              <w:rPr>
                <w:sz w:val="21"/>
                <w:szCs w:val="21"/>
              </w:rPr>
            </w:pPr>
            <w:r>
              <w:rPr>
                <w:rFonts w:hint="eastAsia" w:ascii="宋体" w:hAnsi="宋体" w:eastAsia="宋体" w:cs="宋体"/>
                <w:color w:val="000000"/>
                <w:sz w:val="21"/>
                <w:szCs w:val="21"/>
              </w:rPr>
              <w:t>信息内容</w:t>
            </w:r>
          </w:p>
        </w:tc>
        <w:tc>
          <w:tcPr>
            <w:tcW w:w="6856"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both"/>
              <w:rPr>
                <w:sz w:val="21"/>
                <w:szCs w:val="21"/>
              </w:rPr>
            </w:pPr>
            <w:r>
              <w:rPr>
                <w:rFonts w:hint="eastAsia" w:ascii="宋体" w:hAnsi="宋体" w:eastAsia="宋体" w:cs="宋体"/>
                <w:color w:val="00000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6" w:hRule="atLeast"/>
        </w:trPr>
        <w:tc>
          <w:tcPr>
            <w:tcW w:w="1632" w:type="dxa"/>
            <w:tcBorders>
              <w:top w:val="nil"/>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both"/>
              <w:rPr>
                <w:sz w:val="21"/>
                <w:szCs w:val="21"/>
              </w:rPr>
            </w:pPr>
            <w:r>
              <w:rPr>
                <w:rFonts w:hint="eastAsia" w:ascii="宋体" w:hAnsi="宋体" w:eastAsia="宋体" w:cs="宋体"/>
                <w:color w:val="000000"/>
                <w:sz w:val="21"/>
                <w:szCs w:val="21"/>
              </w:rPr>
              <w:t>行政处罚</w:t>
            </w:r>
          </w:p>
        </w:tc>
        <w:tc>
          <w:tcPr>
            <w:tcW w:w="6856"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both"/>
              <w:rPr>
                <w:color w:val="auto"/>
                <w:sz w:val="21"/>
                <w:szCs w:val="21"/>
              </w:rPr>
            </w:pPr>
            <w:r>
              <w:rPr>
                <w:rFonts w:ascii="微软雅黑" w:hAnsi="微软雅黑" w:eastAsia="微软雅黑" w:cs="微软雅黑"/>
                <w:i w:val="0"/>
                <w:iCs w:val="0"/>
                <w:caps w:val="0"/>
                <w:color w:val="171A1D"/>
                <w:spacing w:val="0"/>
                <w:sz w:val="21"/>
                <w:szCs w:val="21"/>
                <w:shd w:val="clear" w:fill="FFFFFF"/>
              </w:rPr>
              <w:t>2495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1" w:hRule="atLeast"/>
        </w:trPr>
        <w:tc>
          <w:tcPr>
            <w:tcW w:w="1632" w:type="dxa"/>
            <w:tcBorders>
              <w:top w:val="nil"/>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both"/>
              <w:rPr>
                <w:sz w:val="21"/>
                <w:szCs w:val="21"/>
              </w:rPr>
            </w:pPr>
            <w:r>
              <w:rPr>
                <w:rFonts w:hint="eastAsia" w:ascii="宋体" w:hAnsi="宋体" w:eastAsia="宋体" w:cs="宋体"/>
                <w:color w:val="000000"/>
                <w:sz w:val="21"/>
                <w:szCs w:val="21"/>
              </w:rPr>
              <w:t>行政强制</w:t>
            </w:r>
          </w:p>
        </w:tc>
        <w:tc>
          <w:tcPr>
            <w:tcW w:w="6856"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both"/>
              <w:rPr>
                <w:color w:val="auto"/>
                <w:sz w:val="21"/>
                <w:szCs w:val="21"/>
              </w:rPr>
            </w:pPr>
            <w:r>
              <w:rPr>
                <w:rFonts w:hint="eastAsia" w:ascii="方正仿宋_GBK" w:hAnsi="方正仿宋_GBK" w:eastAsia="方正仿宋_GBK" w:cs="方正仿宋_GBK"/>
                <w:color w:val="auto"/>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8488" w:type="dxa"/>
            <w:gridSpan w:val="4"/>
            <w:tcBorders>
              <w:top w:val="nil"/>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center"/>
              <w:rPr>
                <w:sz w:val="21"/>
                <w:szCs w:val="21"/>
              </w:rPr>
            </w:pPr>
            <w:r>
              <w:rPr>
                <w:rFonts w:hint="eastAsia" w:ascii="宋体" w:hAnsi="宋体" w:eastAsia="宋体" w:cs="宋体"/>
                <w:color w:val="000000"/>
                <w:sz w:val="21"/>
                <w:szCs w:val="21"/>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6" w:hRule="atLeast"/>
        </w:trPr>
        <w:tc>
          <w:tcPr>
            <w:tcW w:w="1632" w:type="dxa"/>
            <w:tcBorders>
              <w:top w:val="nil"/>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both"/>
              <w:rPr>
                <w:sz w:val="21"/>
                <w:szCs w:val="21"/>
              </w:rPr>
            </w:pPr>
            <w:r>
              <w:rPr>
                <w:rFonts w:hint="eastAsia" w:ascii="宋体" w:hAnsi="宋体" w:eastAsia="宋体" w:cs="宋体"/>
                <w:color w:val="000000"/>
                <w:sz w:val="21"/>
                <w:szCs w:val="21"/>
              </w:rPr>
              <w:t>信息内容</w:t>
            </w:r>
          </w:p>
        </w:tc>
        <w:tc>
          <w:tcPr>
            <w:tcW w:w="6856"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both"/>
              <w:rPr>
                <w:sz w:val="21"/>
                <w:szCs w:val="21"/>
              </w:rPr>
            </w:pPr>
            <w:r>
              <w:rPr>
                <w:rFonts w:hint="eastAsia" w:ascii="宋体" w:hAnsi="宋体" w:eastAsia="宋体" w:cs="宋体"/>
                <w:color w:val="000000"/>
                <w:sz w:val="21"/>
                <w:szCs w:val="21"/>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1" w:hRule="atLeast"/>
        </w:trPr>
        <w:tc>
          <w:tcPr>
            <w:tcW w:w="1632" w:type="dxa"/>
            <w:tcBorders>
              <w:top w:val="nil"/>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0"/>
              <w:jc w:val="both"/>
              <w:rPr>
                <w:sz w:val="21"/>
                <w:szCs w:val="21"/>
              </w:rPr>
            </w:pPr>
            <w:r>
              <w:rPr>
                <w:rFonts w:hint="eastAsia" w:ascii="宋体" w:hAnsi="宋体" w:eastAsia="宋体" w:cs="宋体"/>
                <w:color w:val="000000"/>
                <w:sz w:val="21"/>
                <w:szCs w:val="21"/>
              </w:rPr>
              <w:t>行政事业性收费</w:t>
            </w:r>
          </w:p>
        </w:tc>
        <w:tc>
          <w:tcPr>
            <w:tcW w:w="6856"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both"/>
              <w:rPr>
                <w:rFonts w:hint="default" w:eastAsiaTheme="minorEastAsia"/>
                <w:sz w:val="21"/>
                <w:szCs w:val="21"/>
                <w:lang w:val="en-US" w:eastAsia="zh-CN"/>
              </w:rPr>
            </w:pPr>
            <w:r>
              <w:rPr>
                <w:rFonts w:hint="eastAsia" w:ascii="方正仿宋_GBK" w:hAnsi="方正仿宋_GBK" w:eastAsia="方正仿宋_GBK" w:cs="方正仿宋_GBK"/>
                <w:color w:val="auto"/>
                <w:sz w:val="21"/>
                <w:szCs w:val="21"/>
                <w:lang w:val="en-US" w:eastAsia="zh-CN"/>
              </w:rPr>
              <w:t>142.96</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403" w:lineRule="atLeast"/>
        <w:ind w:right="0" w:firstLine="640" w:firstLineChars="200"/>
        <w:jc w:val="left"/>
      </w:pPr>
      <w:bookmarkStart w:id="2" w:name="_Toc21368"/>
      <w:bookmarkEnd w:id="2"/>
      <w:bookmarkStart w:id="3" w:name="_Toc61424596"/>
      <w:bookmarkEnd w:id="3"/>
      <w:r>
        <w:rPr>
          <w:rFonts w:hint="eastAsia" w:ascii="方正黑体_GBK" w:hAnsi="方正黑体_GBK" w:eastAsia="方正黑体_GBK" w:cs="方正黑体_GBK"/>
          <w:i w:val="0"/>
          <w:iCs w:val="0"/>
          <w:caps w:val="0"/>
          <w:color w:val="000000"/>
          <w:spacing w:val="0"/>
          <w:sz w:val="32"/>
          <w:szCs w:val="32"/>
          <w:shd w:val="clear" w:fill="FFFFFF"/>
        </w:rPr>
        <w:t>三、收到和处理政府信息公开申请情况</w:t>
      </w:r>
    </w:p>
    <w:tbl>
      <w:tblPr>
        <w:tblStyle w:val="6"/>
        <w:tblW w:w="8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45" w:type="dxa"/>
          <w:left w:w="45" w:type="dxa"/>
          <w:bottom w:w="45" w:type="dxa"/>
          <w:right w:w="45" w:type="dxa"/>
        </w:tblCellMar>
      </w:tblPr>
      <w:tblGrid>
        <w:gridCol w:w="890"/>
        <w:gridCol w:w="1050"/>
        <w:gridCol w:w="1181"/>
        <w:gridCol w:w="792"/>
        <w:gridCol w:w="588"/>
        <w:gridCol w:w="648"/>
        <w:gridCol w:w="660"/>
        <w:gridCol w:w="852"/>
        <w:gridCol w:w="804"/>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c>
          <w:tcPr>
            <w:tcW w:w="3121" w:type="dxa"/>
            <w:gridSpan w:val="3"/>
            <w:vMerge w:val="restart"/>
            <w:tcBorders>
              <w:top w:val="single" w:color="000000" w:sz="6" w:space="0"/>
              <w:left w:val="single" w:color="000000" w:sz="6" w:space="0"/>
              <w:bottom w:val="inset" w:color="000000" w:sz="12"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center"/>
              <w:textAlignment w:val="auto"/>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color w:val="000000"/>
                <w:sz w:val="21"/>
                <w:szCs w:val="21"/>
              </w:rPr>
              <w:t>（本列数据的勾稽关系为：第一项加第二项之和，等于第三项加第四项之和）</w:t>
            </w:r>
          </w:p>
        </w:tc>
        <w:tc>
          <w:tcPr>
            <w:tcW w:w="5379" w:type="dxa"/>
            <w:gridSpan w:val="7"/>
            <w:tcBorders>
              <w:top w:val="single" w:color="000000" w:sz="6" w:space="0"/>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center"/>
              <w:textAlignment w:val="auto"/>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color w:val="000000"/>
                <w:sz w:val="21"/>
                <w:szCs w:val="21"/>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c>
          <w:tcPr>
            <w:tcW w:w="3121" w:type="dxa"/>
            <w:gridSpan w:val="3"/>
            <w:vMerge w:val="continue"/>
            <w:tcBorders>
              <w:top w:val="single" w:color="000000" w:sz="6" w:space="0"/>
              <w:left w:val="single" w:color="000000" w:sz="6" w:space="0"/>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b/>
                <w:bCs/>
                <w:color w:val="333333"/>
                <w:sz w:val="21"/>
                <w:szCs w:val="21"/>
              </w:rPr>
            </w:pPr>
          </w:p>
        </w:tc>
        <w:tc>
          <w:tcPr>
            <w:tcW w:w="792" w:type="dxa"/>
            <w:vMerge w:val="restart"/>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color w:val="000000"/>
                <w:sz w:val="21"/>
                <w:szCs w:val="21"/>
              </w:rPr>
              <w:t>自然人</w:t>
            </w:r>
          </w:p>
        </w:tc>
        <w:tc>
          <w:tcPr>
            <w:tcW w:w="3552" w:type="dxa"/>
            <w:gridSpan w:val="5"/>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center"/>
              <w:textAlignment w:val="auto"/>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color w:val="000000"/>
                <w:sz w:val="21"/>
                <w:szCs w:val="21"/>
              </w:rPr>
              <w:t>法人或其他组织</w:t>
            </w:r>
          </w:p>
        </w:tc>
        <w:tc>
          <w:tcPr>
            <w:tcW w:w="1035" w:type="dxa"/>
            <w:vMerge w:val="restart"/>
            <w:tcBorders>
              <w:top w:val="nil"/>
              <w:left w:val="nil"/>
              <w:bottom w:val="inset" w:color="000000" w:sz="12"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1" w:firstLineChars="100"/>
              <w:jc w:val="both"/>
              <w:textAlignment w:val="auto"/>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color w:val="000000"/>
                <w:sz w:val="21"/>
                <w:szCs w:val="21"/>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1206" w:hRule="atLeast"/>
        </w:trPr>
        <w:tc>
          <w:tcPr>
            <w:tcW w:w="3121" w:type="dxa"/>
            <w:gridSpan w:val="3"/>
            <w:vMerge w:val="continue"/>
            <w:tcBorders>
              <w:top w:val="single" w:color="000000" w:sz="6" w:space="0"/>
              <w:left w:val="single" w:color="000000" w:sz="6" w:space="0"/>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792" w:type="dxa"/>
            <w:vMerge w:val="continue"/>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58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74"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商业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企业</w:t>
            </w:r>
          </w:p>
        </w:tc>
        <w:tc>
          <w:tcPr>
            <w:tcW w:w="64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74"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科研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机构</w:t>
            </w:r>
          </w:p>
        </w:tc>
        <w:tc>
          <w:tcPr>
            <w:tcW w:w="660"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社会公益组织</w:t>
            </w:r>
          </w:p>
        </w:tc>
        <w:tc>
          <w:tcPr>
            <w:tcW w:w="85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法律服务机构</w:t>
            </w:r>
          </w:p>
        </w:tc>
        <w:tc>
          <w:tcPr>
            <w:tcW w:w="80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其他</w:t>
            </w:r>
          </w:p>
        </w:tc>
        <w:tc>
          <w:tcPr>
            <w:tcW w:w="1035" w:type="dxa"/>
            <w:vMerge w:val="continue"/>
            <w:tcBorders>
              <w:top w:val="nil"/>
              <w:left w:val="nil"/>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855" w:hRule="atLeast"/>
        </w:trPr>
        <w:tc>
          <w:tcPr>
            <w:tcW w:w="3121" w:type="dxa"/>
            <w:gridSpan w:val="3"/>
            <w:tcBorders>
              <w:top w:val="nil"/>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bCs/>
                <w:color w:val="000000"/>
                <w:sz w:val="21"/>
                <w:szCs w:val="21"/>
              </w:rPr>
              <w:t>一、本年新收政府信息公开申请数量</w:t>
            </w:r>
          </w:p>
        </w:tc>
        <w:tc>
          <w:tcPr>
            <w:tcW w:w="79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8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color w:val="0000FF"/>
                <w:sz w:val="21"/>
                <w:szCs w:val="21"/>
                <w:lang w:val="en-US" w:eastAsia="zh-CN"/>
              </w:rPr>
              <w:t>1</w:t>
            </w:r>
          </w:p>
        </w:tc>
        <w:tc>
          <w:tcPr>
            <w:tcW w:w="64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60"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5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0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color w:val="4874CB" w:themeColor="accent1"/>
                <w:sz w:val="21"/>
                <w:szCs w:val="21"/>
                <w:lang w:eastAsia="zh-CN"/>
                <w14:textFill>
                  <w14:solidFill>
                    <w14:schemeClr w14:val="accent1"/>
                  </w14:solidFill>
                </w14:textFill>
              </w:rPr>
            </w:pPr>
            <w:r>
              <w:rPr>
                <w:rFonts w:hint="eastAsia" w:ascii="方正仿宋_GBK" w:hAnsi="方正仿宋_GBK" w:eastAsia="方正仿宋_GBK" w:cs="方正仿宋_GBK"/>
                <w:color w:val="4874CB" w:themeColor="accent1"/>
                <w:sz w:val="21"/>
                <w:szCs w:val="21"/>
                <w:lang w:val="en-US" w:eastAsia="zh-CN"/>
                <w14:textFill>
                  <w14:solidFill>
                    <w14:schemeClr w14:val="accent1"/>
                  </w14:solidFill>
                </w14:textFill>
              </w:rPr>
              <w:t>0</w:t>
            </w:r>
          </w:p>
        </w:tc>
        <w:tc>
          <w:tcPr>
            <w:tcW w:w="1035"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color w:val="4874CB" w:themeColor="accent1"/>
                <w:sz w:val="21"/>
                <w:szCs w:val="21"/>
                <w:lang w:eastAsia="zh-CN"/>
                <w14:textFill>
                  <w14:solidFill>
                    <w14:schemeClr w14:val="accent1"/>
                  </w14:solidFill>
                </w14:textFill>
              </w:rPr>
            </w:pPr>
            <w:r>
              <w:rPr>
                <w:rFonts w:hint="eastAsia" w:ascii="方正仿宋_GBK" w:hAnsi="方正仿宋_GBK" w:eastAsia="方正仿宋_GBK" w:cs="方正仿宋_GBK"/>
                <w:color w:val="4874CB" w:themeColor="accent1"/>
                <w:sz w:val="21"/>
                <w:szCs w:val="21"/>
                <w:lang w:val="en-US" w:eastAsia="zh-CN"/>
                <w14:textFill>
                  <w14:solidFill>
                    <w14:schemeClr w14:val="accent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rPr>
          <w:trHeight w:val="783" w:hRule="atLeast"/>
        </w:trPr>
        <w:tc>
          <w:tcPr>
            <w:tcW w:w="3121" w:type="dxa"/>
            <w:gridSpan w:val="3"/>
            <w:tcBorders>
              <w:top w:val="nil"/>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bCs/>
                <w:color w:val="000000"/>
                <w:sz w:val="21"/>
                <w:szCs w:val="21"/>
              </w:rPr>
              <w:t>二、上年结转政府信息公开申请数量</w:t>
            </w:r>
          </w:p>
        </w:tc>
        <w:tc>
          <w:tcPr>
            <w:tcW w:w="79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8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4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60"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5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0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1035"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rPr>
          <w:trHeight w:val="690" w:hRule="atLeast"/>
        </w:trPr>
        <w:tc>
          <w:tcPr>
            <w:tcW w:w="890" w:type="dxa"/>
            <w:vMerge w:val="restart"/>
            <w:tcBorders>
              <w:top w:val="nil"/>
              <w:left w:val="single" w:color="000000" w:sz="6" w:space="0"/>
              <w:bottom w:val="inset" w:color="000000" w:sz="12"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bCs/>
                <w:color w:val="000000"/>
                <w:sz w:val="21"/>
                <w:szCs w:val="21"/>
              </w:rPr>
              <w:t>三、本年度办理结果</w:t>
            </w:r>
          </w:p>
        </w:tc>
        <w:tc>
          <w:tcPr>
            <w:tcW w:w="2231" w:type="dxa"/>
            <w:gridSpan w:val="2"/>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（一）予以公开</w:t>
            </w:r>
          </w:p>
        </w:tc>
        <w:tc>
          <w:tcPr>
            <w:tcW w:w="79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8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color w:val="0000FF"/>
                <w:sz w:val="21"/>
                <w:szCs w:val="21"/>
                <w:lang w:val="en-US" w:eastAsia="zh-CN"/>
              </w:rPr>
              <w:t>1</w:t>
            </w:r>
          </w:p>
        </w:tc>
        <w:tc>
          <w:tcPr>
            <w:tcW w:w="64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60"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5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0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color w:val="4874CB" w:themeColor="accent1"/>
                <w:sz w:val="21"/>
                <w:szCs w:val="21"/>
                <w:lang w:eastAsia="zh-CN"/>
                <w14:textFill>
                  <w14:solidFill>
                    <w14:schemeClr w14:val="accent1"/>
                  </w14:solidFill>
                </w14:textFill>
              </w:rPr>
            </w:pPr>
            <w:r>
              <w:rPr>
                <w:rFonts w:hint="eastAsia" w:ascii="方正仿宋_GBK" w:hAnsi="方正仿宋_GBK" w:eastAsia="方正仿宋_GBK" w:cs="方正仿宋_GBK"/>
                <w:color w:val="4874CB" w:themeColor="accent1"/>
                <w:sz w:val="21"/>
                <w:szCs w:val="21"/>
                <w:lang w:val="en-US" w:eastAsia="zh-CN"/>
                <w14:textFill>
                  <w14:solidFill>
                    <w14:schemeClr w14:val="accent1"/>
                  </w14:solidFill>
                </w14:textFill>
              </w:rPr>
              <w:t>0</w:t>
            </w:r>
          </w:p>
        </w:tc>
        <w:tc>
          <w:tcPr>
            <w:tcW w:w="1035"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color w:val="4874CB" w:themeColor="accent1"/>
                <w:sz w:val="21"/>
                <w:szCs w:val="21"/>
                <w:lang w:eastAsia="zh-CN"/>
                <w14:textFill>
                  <w14:solidFill>
                    <w14:schemeClr w14:val="accent1"/>
                  </w14:solidFill>
                </w14:textFill>
              </w:rPr>
            </w:pPr>
            <w:r>
              <w:rPr>
                <w:rFonts w:hint="eastAsia" w:ascii="方正仿宋_GBK" w:hAnsi="方正仿宋_GBK" w:eastAsia="方正仿宋_GBK" w:cs="方正仿宋_GBK"/>
                <w:color w:val="4874CB" w:themeColor="accent1"/>
                <w:sz w:val="21"/>
                <w:szCs w:val="21"/>
                <w:lang w:val="en-US" w:eastAsia="zh-CN"/>
                <w14:textFill>
                  <w14:solidFill>
                    <w14:schemeClr w14:val="accent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c>
          <w:tcPr>
            <w:tcW w:w="890" w:type="dxa"/>
            <w:vMerge w:val="continue"/>
            <w:tcBorders>
              <w:top w:val="nil"/>
              <w:left w:val="single" w:color="000000" w:sz="6" w:space="0"/>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2231" w:type="dxa"/>
            <w:gridSpan w:val="2"/>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（二）部分公开（区分处理的，只计这一情形，不计其他情形）</w:t>
            </w:r>
          </w:p>
        </w:tc>
        <w:tc>
          <w:tcPr>
            <w:tcW w:w="79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8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4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60"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5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0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1035"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867" w:hRule="atLeast"/>
        </w:trPr>
        <w:tc>
          <w:tcPr>
            <w:tcW w:w="890" w:type="dxa"/>
            <w:vMerge w:val="continue"/>
            <w:tcBorders>
              <w:top w:val="nil"/>
              <w:left w:val="single" w:color="000000" w:sz="6" w:space="0"/>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050" w:type="dxa"/>
            <w:vMerge w:val="restart"/>
            <w:tcBorders>
              <w:top w:val="nil"/>
              <w:left w:val="nil"/>
              <w:bottom w:val="inset" w:color="000000" w:sz="12"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（三）不予公开</w:t>
            </w:r>
          </w:p>
        </w:tc>
        <w:tc>
          <w:tcPr>
            <w:tcW w:w="1181"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1.</w:t>
            </w:r>
            <w:r>
              <w:rPr>
                <w:rFonts w:hint="eastAsia" w:ascii="方正仿宋_GBK" w:hAnsi="方正仿宋_GBK" w:eastAsia="方正仿宋_GBK" w:cs="方正仿宋_GBK"/>
                <w:color w:val="333333"/>
                <w:sz w:val="21"/>
                <w:szCs w:val="21"/>
              </w:rPr>
              <w:t>属于国家秘密</w:t>
            </w:r>
          </w:p>
        </w:tc>
        <w:tc>
          <w:tcPr>
            <w:tcW w:w="79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420" w:firstLineChars="2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8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4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60"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5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0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1035"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rPr>
          <w:trHeight w:val="1263" w:hRule="atLeast"/>
        </w:trPr>
        <w:tc>
          <w:tcPr>
            <w:tcW w:w="890" w:type="dxa"/>
            <w:vMerge w:val="continue"/>
            <w:tcBorders>
              <w:top w:val="nil"/>
              <w:left w:val="single" w:color="000000" w:sz="6" w:space="0"/>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050" w:type="dxa"/>
            <w:vMerge w:val="continue"/>
            <w:tcBorders>
              <w:top w:val="nil"/>
              <w:left w:val="nil"/>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181"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2.</w:t>
            </w:r>
            <w:r>
              <w:rPr>
                <w:rFonts w:hint="eastAsia" w:ascii="方正仿宋_GBK" w:hAnsi="方正仿宋_GBK" w:eastAsia="方正仿宋_GBK" w:cs="方正仿宋_GBK"/>
                <w:color w:val="333333"/>
                <w:sz w:val="21"/>
                <w:szCs w:val="21"/>
              </w:rPr>
              <w:t>其他法律行政法规禁止公开</w:t>
            </w:r>
          </w:p>
        </w:tc>
        <w:tc>
          <w:tcPr>
            <w:tcW w:w="79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8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4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60"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5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0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1035"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1059" w:hRule="atLeast"/>
        </w:trPr>
        <w:tc>
          <w:tcPr>
            <w:tcW w:w="890" w:type="dxa"/>
            <w:vMerge w:val="continue"/>
            <w:tcBorders>
              <w:top w:val="nil"/>
              <w:left w:val="single" w:color="000000" w:sz="6" w:space="0"/>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050" w:type="dxa"/>
            <w:vMerge w:val="continue"/>
            <w:tcBorders>
              <w:top w:val="nil"/>
              <w:left w:val="nil"/>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181"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3.</w:t>
            </w:r>
            <w:r>
              <w:rPr>
                <w:rFonts w:hint="eastAsia" w:ascii="方正仿宋_GBK" w:hAnsi="方正仿宋_GBK" w:eastAsia="方正仿宋_GBK" w:cs="方正仿宋_GBK"/>
                <w:color w:val="333333"/>
                <w:sz w:val="21"/>
                <w:szCs w:val="21"/>
              </w:rPr>
              <w:t>危及“三安全一稳定”</w:t>
            </w:r>
          </w:p>
        </w:tc>
        <w:tc>
          <w:tcPr>
            <w:tcW w:w="79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8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4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60"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5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0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1035"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c>
          <w:tcPr>
            <w:tcW w:w="890" w:type="dxa"/>
            <w:vMerge w:val="continue"/>
            <w:tcBorders>
              <w:top w:val="nil"/>
              <w:left w:val="single" w:color="000000" w:sz="6" w:space="0"/>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050" w:type="dxa"/>
            <w:vMerge w:val="continue"/>
            <w:tcBorders>
              <w:top w:val="nil"/>
              <w:left w:val="nil"/>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181"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4.</w:t>
            </w:r>
            <w:r>
              <w:rPr>
                <w:rFonts w:hint="eastAsia" w:ascii="方正仿宋_GBK" w:hAnsi="方正仿宋_GBK" w:eastAsia="方正仿宋_GBK" w:cs="方正仿宋_GBK"/>
                <w:color w:val="333333"/>
                <w:sz w:val="21"/>
                <w:szCs w:val="21"/>
              </w:rPr>
              <w:t>保护第三方合法权益</w:t>
            </w:r>
          </w:p>
        </w:tc>
        <w:tc>
          <w:tcPr>
            <w:tcW w:w="79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8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4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60"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5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0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1035"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1119" w:hRule="atLeast"/>
        </w:trPr>
        <w:tc>
          <w:tcPr>
            <w:tcW w:w="890" w:type="dxa"/>
            <w:vMerge w:val="continue"/>
            <w:tcBorders>
              <w:top w:val="nil"/>
              <w:left w:val="single" w:color="000000" w:sz="6" w:space="0"/>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050" w:type="dxa"/>
            <w:vMerge w:val="continue"/>
            <w:tcBorders>
              <w:top w:val="nil"/>
              <w:left w:val="nil"/>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181"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5.</w:t>
            </w:r>
            <w:r>
              <w:rPr>
                <w:rFonts w:hint="eastAsia" w:ascii="方正仿宋_GBK" w:hAnsi="方正仿宋_GBK" w:eastAsia="方正仿宋_GBK" w:cs="方正仿宋_GBK"/>
                <w:color w:val="333333"/>
                <w:sz w:val="21"/>
                <w:szCs w:val="21"/>
              </w:rPr>
              <w:t>属于三类内部事务信息</w:t>
            </w:r>
          </w:p>
        </w:tc>
        <w:tc>
          <w:tcPr>
            <w:tcW w:w="79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8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4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60"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5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0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1035"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rPr>
          <w:trHeight w:val="1098" w:hRule="atLeast"/>
        </w:trPr>
        <w:tc>
          <w:tcPr>
            <w:tcW w:w="890" w:type="dxa"/>
            <w:vMerge w:val="continue"/>
            <w:tcBorders>
              <w:top w:val="nil"/>
              <w:left w:val="single" w:color="000000" w:sz="6" w:space="0"/>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050" w:type="dxa"/>
            <w:vMerge w:val="continue"/>
            <w:tcBorders>
              <w:top w:val="nil"/>
              <w:left w:val="nil"/>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181"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6.</w:t>
            </w:r>
            <w:r>
              <w:rPr>
                <w:rFonts w:hint="eastAsia" w:ascii="方正仿宋_GBK" w:hAnsi="方正仿宋_GBK" w:eastAsia="方正仿宋_GBK" w:cs="方正仿宋_GBK"/>
                <w:color w:val="333333"/>
                <w:sz w:val="21"/>
                <w:szCs w:val="21"/>
              </w:rPr>
              <w:t>属于四类过程性信息</w:t>
            </w:r>
          </w:p>
        </w:tc>
        <w:tc>
          <w:tcPr>
            <w:tcW w:w="79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8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4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60"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5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0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1035"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c>
          <w:tcPr>
            <w:tcW w:w="890" w:type="dxa"/>
            <w:vMerge w:val="continue"/>
            <w:tcBorders>
              <w:top w:val="nil"/>
              <w:left w:val="single" w:color="000000" w:sz="6" w:space="0"/>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050" w:type="dxa"/>
            <w:vMerge w:val="continue"/>
            <w:tcBorders>
              <w:top w:val="nil"/>
              <w:left w:val="nil"/>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181"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7.</w:t>
            </w:r>
            <w:r>
              <w:rPr>
                <w:rFonts w:hint="eastAsia" w:ascii="方正仿宋_GBK" w:hAnsi="方正仿宋_GBK" w:eastAsia="方正仿宋_GBK" w:cs="方正仿宋_GBK"/>
                <w:color w:val="333333"/>
                <w:sz w:val="21"/>
                <w:szCs w:val="21"/>
              </w:rPr>
              <w:t>属于行政执法案卷</w:t>
            </w:r>
          </w:p>
        </w:tc>
        <w:tc>
          <w:tcPr>
            <w:tcW w:w="79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8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4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60"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5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0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1035"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c>
          <w:tcPr>
            <w:tcW w:w="890" w:type="dxa"/>
            <w:vMerge w:val="continue"/>
            <w:tcBorders>
              <w:top w:val="nil"/>
              <w:left w:val="single" w:color="000000" w:sz="6" w:space="0"/>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050" w:type="dxa"/>
            <w:vMerge w:val="continue"/>
            <w:tcBorders>
              <w:top w:val="nil"/>
              <w:left w:val="nil"/>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181"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8.</w:t>
            </w:r>
            <w:r>
              <w:rPr>
                <w:rFonts w:hint="eastAsia" w:ascii="方正仿宋_GBK" w:hAnsi="方正仿宋_GBK" w:eastAsia="方正仿宋_GBK" w:cs="方正仿宋_GBK"/>
                <w:color w:val="333333"/>
                <w:sz w:val="21"/>
                <w:szCs w:val="21"/>
              </w:rPr>
              <w:t>属于行政查询事项</w:t>
            </w:r>
          </w:p>
        </w:tc>
        <w:tc>
          <w:tcPr>
            <w:tcW w:w="79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8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4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60"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5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0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1035"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c>
          <w:tcPr>
            <w:tcW w:w="890" w:type="dxa"/>
            <w:vMerge w:val="continue"/>
            <w:tcBorders>
              <w:top w:val="nil"/>
              <w:left w:val="single" w:color="000000" w:sz="6" w:space="0"/>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050" w:type="dxa"/>
            <w:vMerge w:val="restart"/>
            <w:tcBorders>
              <w:top w:val="nil"/>
              <w:left w:val="nil"/>
              <w:bottom w:val="inset" w:color="000000" w:sz="12"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（四）无法提供</w:t>
            </w:r>
          </w:p>
        </w:tc>
        <w:tc>
          <w:tcPr>
            <w:tcW w:w="1181"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1.</w:t>
            </w:r>
            <w:r>
              <w:rPr>
                <w:rFonts w:hint="eastAsia" w:ascii="方正仿宋_GBK" w:hAnsi="方正仿宋_GBK" w:eastAsia="方正仿宋_GBK" w:cs="方正仿宋_GBK"/>
                <w:color w:val="333333"/>
                <w:sz w:val="21"/>
                <w:szCs w:val="21"/>
              </w:rPr>
              <w:t>本机关不掌握相关政府信息</w:t>
            </w:r>
          </w:p>
        </w:tc>
        <w:tc>
          <w:tcPr>
            <w:tcW w:w="79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8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4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60"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5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0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1035"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c>
          <w:tcPr>
            <w:tcW w:w="890" w:type="dxa"/>
            <w:vMerge w:val="continue"/>
            <w:tcBorders>
              <w:top w:val="nil"/>
              <w:left w:val="single" w:color="000000" w:sz="6" w:space="0"/>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050" w:type="dxa"/>
            <w:vMerge w:val="continue"/>
            <w:tcBorders>
              <w:top w:val="nil"/>
              <w:left w:val="nil"/>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181"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2.</w:t>
            </w:r>
            <w:r>
              <w:rPr>
                <w:rFonts w:hint="eastAsia" w:ascii="方正仿宋_GBK" w:hAnsi="方正仿宋_GBK" w:eastAsia="方正仿宋_GBK" w:cs="方正仿宋_GBK"/>
                <w:color w:val="333333"/>
                <w:sz w:val="21"/>
                <w:szCs w:val="21"/>
              </w:rPr>
              <w:t>没有现成信息需要另行制作</w:t>
            </w:r>
          </w:p>
        </w:tc>
        <w:tc>
          <w:tcPr>
            <w:tcW w:w="79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8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4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60"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5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0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1035"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c>
          <w:tcPr>
            <w:tcW w:w="890" w:type="dxa"/>
            <w:vMerge w:val="continue"/>
            <w:tcBorders>
              <w:top w:val="nil"/>
              <w:left w:val="single" w:color="000000" w:sz="6" w:space="0"/>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050" w:type="dxa"/>
            <w:vMerge w:val="continue"/>
            <w:tcBorders>
              <w:top w:val="nil"/>
              <w:left w:val="nil"/>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181"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3.</w:t>
            </w:r>
            <w:r>
              <w:rPr>
                <w:rFonts w:hint="eastAsia" w:ascii="方正仿宋_GBK" w:hAnsi="方正仿宋_GBK" w:eastAsia="方正仿宋_GBK" w:cs="方正仿宋_GBK"/>
                <w:color w:val="333333"/>
                <w:sz w:val="21"/>
                <w:szCs w:val="21"/>
              </w:rPr>
              <w:t>补正后申请内容仍不明确</w:t>
            </w:r>
          </w:p>
        </w:tc>
        <w:tc>
          <w:tcPr>
            <w:tcW w:w="79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8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4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60"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5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0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1035"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c>
          <w:tcPr>
            <w:tcW w:w="890" w:type="dxa"/>
            <w:vMerge w:val="continue"/>
            <w:tcBorders>
              <w:top w:val="nil"/>
              <w:left w:val="single" w:color="000000" w:sz="6" w:space="0"/>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050" w:type="dxa"/>
            <w:vMerge w:val="restart"/>
            <w:tcBorders>
              <w:top w:val="nil"/>
              <w:left w:val="nil"/>
              <w:bottom w:val="inset" w:color="000000" w:sz="12"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（五）不予处理</w:t>
            </w:r>
          </w:p>
        </w:tc>
        <w:tc>
          <w:tcPr>
            <w:tcW w:w="1181"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1.</w:t>
            </w:r>
            <w:r>
              <w:rPr>
                <w:rFonts w:hint="eastAsia" w:ascii="方正仿宋_GBK" w:hAnsi="方正仿宋_GBK" w:eastAsia="方正仿宋_GBK" w:cs="方正仿宋_GBK"/>
                <w:color w:val="333333"/>
                <w:sz w:val="21"/>
                <w:szCs w:val="21"/>
              </w:rPr>
              <w:t>信访举报投诉类申请</w:t>
            </w:r>
          </w:p>
        </w:tc>
        <w:tc>
          <w:tcPr>
            <w:tcW w:w="79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8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4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60"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5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0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1035"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c>
          <w:tcPr>
            <w:tcW w:w="890" w:type="dxa"/>
            <w:vMerge w:val="continue"/>
            <w:tcBorders>
              <w:top w:val="nil"/>
              <w:left w:val="single" w:color="000000" w:sz="6" w:space="0"/>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050" w:type="dxa"/>
            <w:vMerge w:val="continue"/>
            <w:tcBorders>
              <w:top w:val="nil"/>
              <w:left w:val="nil"/>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181"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2.</w:t>
            </w:r>
            <w:r>
              <w:rPr>
                <w:rFonts w:hint="eastAsia" w:ascii="方正仿宋_GBK" w:hAnsi="方正仿宋_GBK" w:eastAsia="方正仿宋_GBK" w:cs="方正仿宋_GBK"/>
                <w:color w:val="333333"/>
                <w:sz w:val="21"/>
                <w:szCs w:val="21"/>
              </w:rPr>
              <w:t>重复申请</w:t>
            </w:r>
          </w:p>
        </w:tc>
        <w:tc>
          <w:tcPr>
            <w:tcW w:w="79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8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4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60"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5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0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1035"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c>
          <w:tcPr>
            <w:tcW w:w="890" w:type="dxa"/>
            <w:vMerge w:val="continue"/>
            <w:tcBorders>
              <w:top w:val="nil"/>
              <w:left w:val="single" w:color="000000" w:sz="6" w:space="0"/>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050" w:type="dxa"/>
            <w:vMerge w:val="continue"/>
            <w:tcBorders>
              <w:top w:val="nil"/>
              <w:left w:val="nil"/>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181"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3.</w:t>
            </w:r>
            <w:r>
              <w:rPr>
                <w:rFonts w:hint="eastAsia" w:ascii="方正仿宋_GBK" w:hAnsi="方正仿宋_GBK" w:eastAsia="方正仿宋_GBK" w:cs="方正仿宋_GBK"/>
                <w:color w:val="333333"/>
                <w:sz w:val="21"/>
                <w:szCs w:val="21"/>
              </w:rPr>
              <w:t>要求提供公开出版物</w:t>
            </w:r>
          </w:p>
        </w:tc>
        <w:tc>
          <w:tcPr>
            <w:tcW w:w="79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8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4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60"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5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0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1035"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c>
          <w:tcPr>
            <w:tcW w:w="890" w:type="dxa"/>
            <w:vMerge w:val="continue"/>
            <w:tcBorders>
              <w:top w:val="nil"/>
              <w:left w:val="single" w:color="000000" w:sz="6" w:space="0"/>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050" w:type="dxa"/>
            <w:vMerge w:val="continue"/>
            <w:tcBorders>
              <w:top w:val="nil"/>
              <w:left w:val="nil"/>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181"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4.</w:t>
            </w:r>
            <w:r>
              <w:rPr>
                <w:rFonts w:hint="eastAsia" w:ascii="方正仿宋_GBK" w:hAnsi="方正仿宋_GBK" w:eastAsia="方正仿宋_GBK" w:cs="方正仿宋_GBK"/>
                <w:color w:val="333333"/>
                <w:sz w:val="21"/>
                <w:szCs w:val="21"/>
              </w:rPr>
              <w:t>无正当理由大量反复申请</w:t>
            </w:r>
          </w:p>
        </w:tc>
        <w:tc>
          <w:tcPr>
            <w:tcW w:w="79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8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4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60"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5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0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1035"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c>
          <w:tcPr>
            <w:tcW w:w="890" w:type="dxa"/>
            <w:vMerge w:val="continue"/>
            <w:tcBorders>
              <w:top w:val="nil"/>
              <w:left w:val="single" w:color="000000" w:sz="6" w:space="0"/>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050" w:type="dxa"/>
            <w:vMerge w:val="continue"/>
            <w:tcBorders>
              <w:top w:val="nil"/>
              <w:left w:val="nil"/>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181" w:type="dxa"/>
            <w:tcBorders>
              <w:top w:val="nil"/>
              <w:left w:val="nil"/>
              <w:bottom w:val="inset" w:color="000000" w:sz="12"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5.</w:t>
            </w:r>
            <w:r>
              <w:rPr>
                <w:rFonts w:hint="eastAsia" w:ascii="方正仿宋_GBK" w:hAnsi="方正仿宋_GBK" w:eastAsia="方正仿宋_GBK" w:cs="方正仿宋_GBK"/>
                <w:color w:val="333333"/>
                <w:sz w:val="21"/>
                <w:szCs w:val="21"/>
              </w:rPr>
              <w:t>要求行政机关确认或重新出具已获取信息</w:t>
            </w:r>
          </w:p>
        </w:tc>
        <w:tc>
          <w:tcPr>
            <w:tcW w:w="792" w:type="dxa"/>
            <w:tcBorders>
              <w:top w:val="nil"/>
              <w:left w:val="nil"/>
              <w:bottom w:val="inset" w:color="000000" w:sz="12"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88" w:type="dxa"/>
            <w:tcBorders>
              <w:top w:val="nil"/>
              <w:left w:val="nil"/>
              <w:bottom w:val="inset" w:color="000000" w:sz="12"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48" w:type="dxa"/>
            <w:tcBorders>
              <w:top w:val="nil"/>
              <w:left w:val="nil"/>
              <w:bottom w:val="inset" w:color="000000" w:sz="12"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60" w:type="dxa"/>
            <w:tcBorders>
              <w:top w:val="nil"/>
              <w:left w:val="nil"/>
              <w:bottom w:val="inset" w:color="000000" w:sz="12"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52" w:type="dxa"/>
            <w:tcBorders>
              <w:top w:val="nil"/>
              <w:left w:val="nil"/>
              <w:bottom w:val="inset" w:color="000000" w:sz="12"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04" w:type="dxa"/>
            <w:tcBorders>
              <w:top w:val="nil"/>
              <w:left w:val="nil"/>
              <w:bottom w:val="inset" w:color="000000" w:sz="12"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1035" w:type="dxa"/>
            <w:tcBorders>
              <w:top w:val="nil"/>
              <w:left w:val="nil"/>
              <w:bottom w:val="inset" w:color="000000" w:sz="12"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c>
          <w:tcPr>
            <w:tcW w:w="890" w:type="dxa"/>
            <w:vMerge w:val="continue"/>
            <w:tcBorders>
              <w:top w:val="nil"/>
              <w:left w:val="single" w:color="000000" w:sz="6" w:space="0"/>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050" w:type="dxa"/>
            <w:vMerge w:val="restart"/>
            <w:tcBorders>
              <w:top w:val="nil"/>
              <w:left w:val="nil"/>
              <w:bottom w:val="inset" w:color="000000" w:sz="12"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（六）其他处理</w:t>
            </w:r>
          </w:p>
        </w:tc>
        <w:tc>
          <w:tcPr>
            <w:tcW w:w="1181"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1.</w:t>
            </w:r>
            <w:r>
              <w:rPr>
                <w:rFonts w:hint="eastAsia" w:ascii="方正仿宋_GBK" w:hAnsi="方正仿宋_GBK" w:eastAsia="方正仿宋_GBK" w:cs="方正仿宋_GBK"/>
                <w:color w:val="333333"/>
                <w:sz w:val="21"/>
                <w:szCs w:val="21"/>
              </w:rPr>
              <w:t>申请人无正当理由逾期不补正、行政机关不再处理其政府信息公开申请</w:t>
            </w:r>
          </w:p>
        </w:tc>
        <w:tc>
          <w:tcPr>
            <w:tcW w:w="79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8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4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60"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5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0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1035"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c>
          <w:tcPr>
            <w:tcW w:w="890" w:type="dxa"/>
            <w:vMerge w:val="continue"/>
            <w:tcBorders>
              <w:top w:val="nil"/>
              <w:left w:val="single" w:color="000000" w:sz="6" w:space="0"/>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050" w:type="dxa"/>
            <w:vMerge w:val="continue"/>
            <w:tcBorders>
              <w:top w:val="nil"/>
              <w:left w:val="nil"/>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181"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2.</w:t>
            </w:r>
            <w:r>
              <w:rPr>
                <w:rFonts w:hint="eastAsia" w:ascii="方正仿宋_GBK" w:hAnsi="方正仿宋_GBK" w:eastAsia="方正仿宋_GBK" w:cs="方正仿宋_GBK"/>
                <w:color w:val="333333"/>
                <w:sz w:val="21"/>
                <w:szCs w:val="21"/>
              </w:rPr>
              <w:t>申请人逾期未按收费通知要求缴纳费用、行政机关不再处理其政府信息公开申请</w:t>
            </w:r>
          </w:p>
        </w:tc>
        <w:tc>
          <w:tcPr>
            <w:tcW w:w="79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8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4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60"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5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0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1035"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c>
          <w:tcPr>
            <w:tcW w:w="890" w:type="dxa"/>
            <w:vMerge w:val="continue"/>
            <w:tcBorders>
              <w:top w:val="nil"/>
              <w:left w:val="single" w:color="000000" w:sz="6" w:space="0"/>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050" w:type="dxa"/>
            <w:vMerge w:val="continue"/>
            <w:tcBorders>
              <w:top w:val="nil"/>
              <w:left w:val="nil"/>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1181"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3.</w:t>
            </w:r>
            <w:r>
              <w:rPr>
                <w:rFonts w:hint="eastAsia" w:ascii="方正仿宋_GBK" w:hAnsi="方正仿宋_GBK" w:eastAsia="方正仿宋_GBK" w:cs="方正仿宋_GBK"/>
                <w:color w:val="333333"/>
                <w:sz w:val="21"/>
                <w:szCs w:val="21"/>
              </w:rPr>
              <w:t>其他</w:t>
            </w:r>
          </w:p>
        </w:tc>
        <w:tc>
          <w:tcPr>
            <w:tcW w:w="79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8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4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60"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5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0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1035"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c>
          <w:tcPr>
            <w:tcW w:w="890" w:type="dxa"/>
            <w:vMerge w:val="continue"/>
            <w:tcBorders>
              <w:top w:val="nil"/>
              <w:left w:val="single" w:color="000000" w:sz="6" w:space="0"/>
              <w:bottom w:val="inset" w:color="000000" w:sz="12"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2231" w:type="dxa"/>
            <w:gridSpan w:val="2"/>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（七）总计</w:t>
            </w:r>
          </w:p>
        </w:tc>
        <w:tc>
          <w:tcPr>
            <w:tcW w:w="79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color w:val="FF0000"/>
                <w:sz w:val="21"/>
                <w:szCs w:val="21"/>
              </w:rPr>
            </w:pPr>
            <w:r>
              <w:rPr>
                <w:rFonts w:hint="eastAsia" w:ascii="方正仿宋_GBK" w:hAnsi="方正仿宋_GBK" w:eastAsia="方正仿宋_GBK" w:cs="方正仿宋_GBK"/>
                <w:color w:val="FF0000"/>
                <w:sz w:val="21"/>
                <w:szCs w:val="21"/>
              </w:rPr>
              <w:t>0</w:t>
            </w:r>
          </w:p>
        </w:tc>
        <w:tc>
          <w:tcPr>
            <w:tcW w:w="58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color w:val="FF0000"/>
                <w:sz w:val="21"/>
                <w:szCs w:val="21"/>
                <w:lang w:eastAsia="zh-CN"/>
              </w:rPr>
            </w:pPr>
            <w:r>
              <w:rPr>
                <w:rFonts w:hint="eastAsia" w:ascii="方正仿宋_GBK" w:hAnsi="方正仿宋_GBK" w:eastAsia="方正仿宋_GBK" w:cs="方正仿宋_GBK"/>
                <w:color w:val="FF0000"/>
                <w:sz w:val="21"/>
                <w:szCs w:val="21"/>
                <w:lang w:val="en-US" w:eastAsia="zh-CN"/>
              </w:rPr>
              <w:t>1</w:t>
            </w:r>
          </w:p>
        </w:tc>
        <w:tc>
          <w:tcPr>
            <w:tcW w:w="64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color w:val="FF0000"/>
                <w:sz w:val="21"/>
                <w:szCs w:val="21"/>
              </w:rPr>
            </w:pPr>
            <w:r>
              <w:rPr>
                <w:rFonts w:hint="eastAsia" w:ascii="方正仿宋_GBK" w:hAnsi="方正仿宋_GBK" w:eastAsia="方正仿宋_GBK" w:cs="方正仿宋_GBK"/>
                <w:color w:val="FF0000"/>
                <w:sz w:val="21"/>
                <w:szCs w:val="21"/>
              </w:rPr>
              <w:t>0</w:t>
            </w:r>
          </w:p>
        </w:tc>
        <w:tc>
          <w:tcPr>
            <w:tcW w:w="660"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color w:val="FF0000"/>
                <w:sz w:val="21"/>
                <w:szCs w:val="21"/>
              </w:rPr>
            </w:pPr>
            <w:r>
              <w:rPr>
                <w:rFonts w:hint="eastAsia" w:ascii="方正仿宋_GBK" w:hAnsi="方正仿宋_GBK" w:eastAsia="方正仿宋_GBK" w:cs="方正仿宋_GBK"/>
                <w:color w:val="FF0000"/>
                <w:sz w:val="21"/>
                <w:szCs w:val="21"/>
              </w:rPr>
              <w:t>0</w:t>
            </w:r>
          </w:p>
        </w:tc>
        <w:tc>
          <w:tcPr>
            <w:tcW w:w="85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color w:val="FF0000"/>
                <w:sz w:val="21"/>
                <w:szCs w:val="21"/>
              </w:rPr>
            </w:pPr>
            <w:r>
              <w:rPr>
                <w:rFonts w:hint="eastAsia" w:ascii="方正仿宋_GBK" w:hAnsi="方正仿宋_GBK" w:eastAsia="方正仿宋_GBK" w:cs="方正仿宋_GBK"/>
                <w:color w:val="FF0000"/>
                <w:sz w:val="21"/>
                <w:szCs w:val="21"/>
              </w:rPr>
              <w:t>0</w:t>
            </w:r>
          </w:p>
        </w:tc>
        <w:tc>
          <w:tcPr>
            <w:tcW w:w="80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color w:val="FF0000"/>
                <w:sz w:val="21"/>
                <w:szCs w:val="21"/>
              </w:rPr>
            </w:pPr>
            <w:r>
              <w:rPr>
                <w:rFonts w:hint="eastAsia" w:ascii="方正仿宋_GBK" w:hAnsi="方正仿宋_GBK" w:eastAsia="方正仿宋_GBK" w:cs="方正仿宋_GBK"/>
                <w:color w:val="FF0000"/>
                <w:sz w:val="21"/>
                <w:szCs w:val="21"/>
              </w:rPr>
              <w:t>0</w:t>
            </w:r>
          </w:p>
        </w:tc>
        <w:tc>
          <w:tcPr>
            <w:tcW w:w="1035"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color w:val="FF0000"/>
                <w:sz w:val="21"/>
                <w:szCs w:val="21"/>
                <w:lang w:eastAsia="zh-CN"/>
              </w:rPr>
            </w:pPr>
            <w:r>
              <w:rPr>
                <w:rFonts w:hint="eastAsia" w:ascii="方正仿宋_GBK" w:hAnsi="方正仿宋_GBK" w:eastAsia="方正仿宋_GBK" w:cs="方正仿宋_GBK"/>
                <w:color w:val="FF0000"/>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c>
          <w:tcPr>
            <w:tcW w:w="3121" w:type="dxa"/>
            <w:gridSpan w:val="3"/>
            <w:tcBorders>
              <w:top w:val="nil"/>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bCs/>
                <w:color w:val="000000"/>
                <w:sz w:val="21"/>
                <w:szCs w:val="21"/>
              </w:rPr>
              <w:t>四、结转下年度继续办理</w:t>
            </w:r>
          </w:p>
        </w:tc>
        <w:tc>
          <w:tcPr>
            <w:tcW w:w="79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8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48"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660"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firstLine="210" w:firstLineChars="1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52"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80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1035"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r>
    </w:tbl>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20" w:leftChars="0" w:right="0" w:rightChars="0"/>
        <w:textAlignment w:val="auto"/>
        <w:outlineLvl w:val="1"/>
        <w:rPr>
          <w:rFonts w:hint="eastAsia" w:ascii="方正黑体_GBK" w:hAnsi="方正黑体_GBK" w:eastAsia="方正黑体_GBK" w:cs="方正黑体_GBK"/>
          <w:b w:val="0"/>
          <w:bCs w:val="0"/>
          <w:i w:val="0"/>
          <w:iCs w:val="0"/>
          <w:caps w:val="0"/>
          <w:color w:val="000000"/>
          <w:spacing w:val="0"/>
          <w:sz w:val="32"/>
          <w:szCs w:val="32"/>
          <w:shd w:val="clear" w:fill="FFFFFF"/>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20" w:leftChars="0" w:right="0" w:rightChars="0" w:firstLine="320" w:firstLineChars="100"/>
        <w:textAlignment w:val="auto"/>
        <w:outlineLvl w:val="1"/>
        <w:rPr>
          <w:rFonts w:hint="eastAsia" w:ascii="方正黑体_GBK" w:hAnsi="方正黑体_GBK" w:eastAsia="方正黑体_GBK" w:cs="方正黑体_GBK"/>
          <w:b w:val="0"/>
          <w:bCs w:val="0"/>
          <w:i w:val="0"/>
          <w:iCs w:val="0"/>
          <w:caps w:val="0"/>
          <w:color w:val="000000"/>
          <w:spacing w:val="0"/>
          <w:sz w:val="32"/>
          <w:szCs w:val="32"/>
          <w:shd w:val="clear" w:fill="FFFFFF"/>
        </w:rPr>
      </w:pPr>
      <w:r>
        <w:rPr>
          <w:rFonts w:hint="eastAsia" w:ascii="方正黑体_GBK" w:hAnsi="方正黑体_GBK" w:eastAsia="方正黑体_GBK" w:cs="方正黑体_GBK"/>
          <w:b w:val="0"/>
          <w:bCs w:val="0"/>
          <w:i w:val="0"/>
          <w:iCs w:val="0"/>
          <w:caps w:val="0"/>
          <w:color w:val="000000"/>
          <w:spacing w:val="0"/>
          <w:sz w:val="32"/>
          <w:szCs w:val="32"/>
          <w:shd w:val="clear" w:fill="FFFFFF"/>
          <w:lang w:val="en-US" w:eastAsia="zh-CN"/>
        </w:rPr>
        <w:t>四、</w:t>
      </w:r>
      <w:r>
        <w:rPr>
          <w:rFonts w:hint="eastAsia" w:ascii="方正黑体_GBK" w:hAnsi="方正黑体_GBK" w:eastAsia="方正黑体_GBK" w:cs="方正黑体_GBK"/>
          <w:b w:val="0"/>
          <w:bCs w:val="0"/>
          <w:i w:val="0"/>
          <w:iCs w:val="0"/>
          <w:caps w:val="0"/>
          <w:color w:val="000000"/>
          <w:spacing w:val="0"/>
          <w:sz w:val="32"/>
          <w:szCs w:val="32"/>
          <w:shd w:val="clear" w:fill="FFFFFF"/>
        </w:rPr>
        <w:t>政府信息公开行政复议、行政诉讼情况</w:t>
      </w:r>
    </w:p>
    <w:p>
      <w:pPr>
        <w:numPr>
          <w:ilvl w:val="0"/>
          <w:numId w:val="0"/>
        </w:numPr>
        <w:rPr>
          <w:rFonts w:hint="eastAsia"/>
        </w:rPr>
      </w:pPr>
    </w:p>
    <w:tbl>
      <w:tblPr>
        <w:tblStyle w:val="6"/>
        <w:tblW w:w="84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63"/>
        <w:gridCol w:w="563"/>
        <w:gridCol w:w="563"/>
        <w:gridCol w:w="563"/>
        <w:gridCol w:w="564"/>
        <w:gridCol w:w="564"/>
        <w:gridCol w:w="564"/>
        <w:gridCol w:w="564"/>
        <w:gridCol w:w="564"/>
        <w:gridCol w:w="564"/>
        <w:gridCol w:w="564"/>
        <w:gridCol w:w="564"/>
        <w:gridCol w:w="564"/>
        <w:gridCol w:w="564"/>
        <w:gridCol w:w="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1" w:hRule="atLeast"/>
        </w:trPr>
        <w:tc>
          <w:tcPr>
            <w:tcW w:w="2816" w:type="dxa"/>
            <w:gridSpan w:val="5"/>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center"/>
              <w:textAlignment w:val="auto"/>
              <w:rPr>
                <w:rFonts w:hint="eastAsia" w:ascii="方正黑体_GBK" w:hAnsi="方正黑体_GBK" w:eastAsia="方正黑体_GBK" w:cs="方正黑体_GBK"/>
                <w:sz w:val="21"/>
                <w:szCs w:val="21"/>
              </w:rPr>
            </w:pPr>
            <w:r>
              <w:rPr>
                <w:rFonts w:hint="eastAsia" w:ascii="方正黑体_GBK" w:hAnsi="方正黑体_GBK" w:eastAsia="方正黑体_GBK" w:cs="方正黑体_GBK"/>
                <w:color w:val="000000"/>
                <w:sz w:val="21"/>
                <w:szCs w:val="21"/>
              </w:rPr>
              <w:t>行政复议</w:t>
            </w:r>
          </w:p>
        </w:tc>
        <w:tc>
          <w:tcPr>
            <w:tcW w:w="5640" w:type="dxa"/>
            <w:gridSpan w:val="10"/>
            <w:tcBorders>
              <w:top w:val="single" w:color="000000" w:sz="6" w:space="0"/>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center"/>
              <w:textAlignment w:val="auto"/>
              <w:rPr>
                <w:rFonts w:hint="eastAsia" w:ascii="方正黑体_GBK" w:hAnsi="方正黑体_GBK" w:eastAsia="方正黑体_GBK" w:cs="方正黑体_GBK"/>
                <w:sz w:val="21"/>
                <w:szCs w:val="21"/>
              </w:rPr>
            </w:pPr>
            <w:r>
              <w:rPr>
                <w:rFonts w:hint="eastAsia" w:ascii="方正黑体_GBK" w:hAnsi="方正黑体_GBK" w:eastAsia="方正黑体_GBK" w:cs="方正黑体_GBK"/>
                <w:color w:val="000000"/>
                <w:sz w:val="21"/>
                <w:szCs w:val="21"/>
              </w:rPr>
              <w:t>行    政    诉    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563" w:type="dxa"/>
            <w:vMerge w:val="restart"/>
            <w:tcBorders>
              <w:top w:val="nil"/>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结果维持</w:t>
            </w:r>
          </w:p>
        </w:tc>
        <w:tc>
          <w:tcPr>
            <w:tcW w:w="563" w:type="dxa"/>
            <w:vMerge w:val="restart"/>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结果纠正</w:t>
            </w:r>
          </w:p>
        </w:tc>
        <w:tc>
          <w:tcPr>
            <w:tcW w:w="563" w:type="dxa"/>
            <w:vMerge w:val="restart"/>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lang w:val="en-US" w:eastAsia="zh-CN"/>
              </w:rPr>
              <w:t xml:space="preserve"> </w:t>
            </w:r>
            <w:r>
              <w:rPr>
                <w:rFonts w:hint="eastAsia" w:ascii="方正仿宋_GBK" w:hAnsi="方正仿宋_GBK" w:eastAsia="方正仿宋_GBK" w:cs="方正仿宋_GBK"/>
                <w:color w:val="000000"/>
                <w:sz w:val="21"/>
                <w:szCs w:val="21"/>
              </w:rPr>
              <w:t>其他结果</w:t>
            </w:r>
          </w:p>
        </w:tc>
        <w:tc>
          <w:tcPr>
            <w:tcW w:w="563" w:type="dxa"/>
            <w:vMerge w:val="restart"/>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尚未审结</w:t>
            </w:r>
          </w:p>
        </w:tc>
        <w:tc>
          <w:tcPr>
            <w:tcW w:w="564" w:type="dxa"/>
            <w:vMerge w:val="restart"/>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总计</w:t>
            </w:r>
          </w:p>
        </w:tc>
        <w:tc>
          <w:tcPr>
            <w:tcW w:w="2820" w:type="dxa"/>
            <w:gridSpan w:val="5"/>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未经复议直接起诉</w:t>
            </w:r>
          </w:p>
        </w:tc>
        <w:tc>
          <w:tcPr>
            <w:tcW w:w="2820" w:type="dxa"/>
            <w:gridSpan w:val="5"/>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left="0" w:right="0" w:firstLine="42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26" w:hRule="atLeast"/>
        </w:trPr>
        <w:tc>
          <w:tcPr>
            <w:tcW w:w="563" w:type="dxa"/>
            <w:vMerge w:val="continue"/>
            <w:tcBorders>
              <w:top w:val="nil"/>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563" w:type="dxa"/>
            <w:vMerge w:val="continue"/>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563" w:type="dxa"/>
            <w:vMerge w:val="continue"/>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563" w:type="dxa"/>
            <w:vMerge w:val="continue"/>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564" w:type="dxa"/>
            <w:vMerge w:val="continue"/>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333333"/>
                <w:sz w:val="21"/>
                <w:szCs w:val="21"/>
              </w:rPr>
            </w:pPr>
          </w:p>
        </w:tc>
        <w:tc>
          <w:tcPr>
            <w:tcW w:w="56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结果维持</w:t>
            </w:r>
          </w:p>
        </w:tc>
        <w:tc>
          <w:tcPr>
            <w:tcW w:w="56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结果纠正</w:t>
            </w:r>
          </w:p>
        </w:tc>
        <w:tc>
          <w:tcPr>
            <w:tcW w:w="56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其他结果</w:t>
            </w:r>
          </w:p>
        </w:tc>
        <w:tc>
          <w:tcPr>
            <w:tcW w:w="56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尚未审结</w:t>
            </w:r>
          </w:p>
        </w:tc>
        <w:tc>
          <w:tcPr>
            <w:tcW w:w="56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总计</w:t>
            </w:r>
          </w:p>
        </w:tc>
        <w:tc>
          <w:tcPr>
            <w:tcW w:w="56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结果维持</w:t>
            </w:r>
          </w:p>
        </w:tc>
        <w:tc>
          <w:tcPr>
            <w:tcW w:w="56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结果纠正</w:t>
            </w:r>
          </w:p>
        </w:tc>
        <w:tc>
          <w:tcPr>
            <w:tcW w:w="56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其他结果</w:t>
            </w:r>
          </w:p>
        </w:tc>
        <w:tc>
          <w:tcPr>
            <w:tcW w:w="56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尚未审结</w:t>
            </w:r>
          </w:p>
        </w:tc>
        <w:tc>
          <w:tcPr>
            <w:tcW w:w="56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trPr>
        <w:tc>
          <w:tcPr>
            <w:tcW w:w="563" w:type="dxa"/>
            <w:tcBorders>
              <w:top w:val="nil"/>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63"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63"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63"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6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6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6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6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6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6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6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6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6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6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c>
          <w:tcPr>
            <w:tcW w:w="564"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exact"/>
              <w:ind w:right="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left"/>
        <w:rPr>
          <w:rFonts w:hint="eastAsia" w:ascii="方正仿宋_GBK" w:hAnsi="方正仿宋_GBK" w:eastAsia="方正仿宋_GBK" w:cs="方正仿宋_GBK"/>
          <w:sz w:val="21"/>
          <w:szCs w:val="21"/>
        </w:rPr>
      </w:pP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eastAsia" w:ascii="方正黑体_GBK" w:hAnsi="方正黑体_GBK" w:eastAsia="方正黑体_GBK" w:cs="方正黑体_GBK"/>
          <w:b w:val="0"/>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b w:val="0"/>
          <w:color w:val="000000" w:themeColor="text1"/>
          <w:sz w:val="32"/>
          <w:szCs w:val="32"/>
          <w:lang w:eastAsia="zh-CN"/>
          <w14:textFill>
            <w14:solidFill>
              <w14:schemeClr w14:val="tx1"/>
            </w14:solidFill>
          </w14:textFill>
        </w:rPr>
        <w:t>当前</w:t>
      </w:r>
      <w:r>
        <w:rPr>
          <w:rFonts w:hint="eastAsia" w:ascii="方正黑体_GBK" w:hAnsi="方正黑体_GBK" w:eastAsia="方正黑体_GBK" w:cs="方正黑体_GBK"/>
          <w:b w:val="0"/>
          <w:color w:val="000000" w:themeColor="text1"/>
          <w:sz w:val="32"/>
          <w:szCs w:val="32"/>
          <w14:textFill>
            <w14:solidFill>
              <w14:schemeClr w14:val="tx1"/>
            </w14:solidFill>
          </w14:textFill>
        </w:rPr>
        <w:t>存在的主要问题及</w:t>
      </w:r>
      <w:r>
        <w:rPr>
          <w:rFonts w:hint="eastAsia" w:ascii="方正黑体_GBK" w:hAnsi="方正黑体_GBK" w:eastAsia="方正黑体_GBK" w:cs="方正黑体_GBK"/>
          <w:b w:val="0"/>
          <w:color w:val="000000" w:themeColor="text1"/>
          <w:sz w:val="32"/>
          <w:szCs w:val="32"/>
          <w:lang w:eastAsia="zh-CN"/>
          <w14:textFill>
            <w14:solidFill>
              <w14:schemeClr w14:val="tx1"/>
            </w14:solidFill>
          </w14:textFill>
        </w:rPr>
        <w:t>下步</w:t>
      </w:r>
      <w:r>
        <w:rPr>
          <w:rFonts w:hint="eastAsia" w:ascii="方正黑体_GBK" w:hAnsi="方正黑体_GBK" w:eastAsia="方正黑体_GBK" w:cs="方正黑体_GBK"/>
          <w:b w:val="0"/>
          <w:color w:val="000000" w:themeColor="text1"/>
          <w:sz w:val="32"/>
          <w:szCs w:val="32"/>
          <w14:textFill>
            <w14:solidFill>
              <w14:schemeClr w14:val="tx1"/>
            </w14:solidFill>
          </w14:textFill>
        </w:rPr>
        <w:t>改进</w:t>
      </w:r>
      <w:r>
        <w:rPr>
          <w:rFonts w:hint="eastAsia" w:ascii="方正黑体_GBK" w:hAnsi="方正黑体_GBK" w:eastAsia="方正黑体_GBK" w:cs="方正黑体_GBK"/>
          <w:b w:val="0"/>
          <w:color w:val="000000" w:themeColor="text1"/>
          <w:sz w:val="32"/>
          <w:szCs w:val="32"/>
          <w:lang w:eastAsia="zh-CN"/>
          <w14:textFill>
            <w14:solidFill>
              <w14:schemeClr w14:val="tx1"/>
            </w14:solidFill>
          </w14:textFill>
        </w:rPr>
        <w:t>措施</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left"/>
        <w:textAlignment w:val="auto"/>
        <w:rPr>
          <w:rFonts w:hint="eastAsia" w:ascii="方正楷体_GBK" w:hAnsi="方正楷体_GBK" w:eastAsia="方正楷体_GBK" w:cs="方正楷体_GBK"/>
          <w:i w:val="0"/>
          <w:iCs w:val="0"/>
          <w:caps w:val="0"/>
          <w:color w:val="333333"/>
          <w:spacing w:val="0"/>
          <w:sz w:val="32"/>
          <w:szCs w:val="32"/>
          <w:shd w:val="clear" w:fill="FFFFFF"/>
        </w:rPr>
      </w:pPr>
      <w:r>
        <w:rPr>
          <w:rFonts w:hint="eastAsia" w:ascii="方正楷体_GBK" w:hAnsi="方正楷体_GBK" w:eastAsia="方正楷体_GBK" w:cs="方正楷体_GBK"/>
          <w:i w:val="0"/>
          <w:iCs w:val="0"/>
          <w:caps w:val="0"/>
          <w:color w:val="333333"/>
          <w:spacing w:val="0"/>
          <w:sz w:val="32"/>
          <w:szCs w:val="32"/>
          <w:shd w:val="clear" w:fill="FFFFFF"/>
        </w:rPr>
        <w:t>存在的主要问题</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r>
        <w:rPr>
          <w:rFonts w:hint="eastAsia" w:ascii="方正仿宋_GBK" w:hAnsi="方正仿宋_GBK" w:eastAsia="方正仿宋_GBK" w:cs="方正仿宋_GBK"/>
          <w:i w:val="0"/>
          <w:iCs w:val="0"/>
          <w:caps w:val="0"/>
          <w:color w:val="333333"/>
          <w:spacing w:val="0"/>
          <w:sz w:val="32"/>
          <w:szCs w:val="32"/>
          <w:shd w:val="clear" w:fill="FFFFFF"/>
          <w:lang w:val="en-US" w:eastAsia="zh-CN"/>
        </w:rPr>
        <w:t>一是主动公开自觉性还有待加强，更多的是根据上级部门要求做“规定动作”。二是政务公开工作业务能力有待提高，工作中对相关政策、标准把握不准，经常是遇到问题“现学现用”。三是工作统筹有待增强。虽然初步形成了办公室牵头，指挥中心、执法支队具体承办的工作模式，但是全局上下主动、定期对接公开信息的氛围尚未形成。</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leftChars="0" w:right="0" w:firstLine="640" w:firstLineChars="200"/>
        <w:jc w:val="left"/>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i w:val="0"/>
          <w:iCs w:val="0"/>
          <w:caps w:val="0"/>
          <w:color w:val="333333"/>
          <w:spacing w:val="0"/>
          <w:sz w:val="32"/>
          <w:szCs w:val="32"/>
          <w:shd w:val="clear" w:fill="FFFFFF"/>
          <w:lang w:val="en-US" w:eastAsia="zh-CN"/>
        </w:rPr>
        <w:t>下步改进措施</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left"/>
        <w:textAlignment w:val="auto"/>
        <w:rPr>
          <w:rFonts w:hint="eastAsia" w:eastAsia="方正仿宋_GBK"/>
          <w:lang w:eastAsia="zh-CN"/>
        </w:rPr>
      </w:pPr>
      <w:r>
        <w:rPr>
          <w:rFonts w:hint="eastAsia" w:ascii="方正仿宋_GBK" w:hAnsi="方正仿宋_GBK" w:eastAsia="方正仿宋_GBK" w:cs="方正仿宋_GBK"/>
          <w:i w:val="0"/>
          <w:iCs w:val="0"/>
          <w:caps w:val="0"/>
          <w:color w:val="333333"/>
          <w:spacing w:val="0"/>
          <w:sz w:val="32"/>
          <w:szCs w:val="32"/>
          <w:shd w:val="clear" w:fill="FFFFFF"/>
          <w:lang w:val="en-US" w:eastAsia="zh-CN"/>
        </w:rPr>
        <w:t>一是加强业务学习。通过集中学习、自学，加强与其他部门交流等方式，提高具体承办科室、经办人员业务能力。二是完善政务公开机制。进一步优化我局“三审三校”工作机制，压实各科室、单位职责，提高政务公开工作效率。三是加强统筹调度。由分管负责同志牵头，局办公室做好落实，定期组织业务培训、发送工作提醒，从面上加强全局系统统筹协调，确保</w:t>
      </w:r>
      <w:r>
        <w:rPr>
          <w:rFonts w:hint="eastAsia" w:ascii="方正仿宋_GBK" w:hAnsi="方正仿宋_GBK" w:eastAsia="方正仿宋_GBK" w:cs="方正仿宋_GBK"/>
          <w:i w:val="0"/>
          <w:iCs w:val="0"/>
          <w:caps w:val="0"/>
          <w:color w:val="333333"/>
          <w:spacing w:val="0"/>
          <w:sz w:val="32"/>
          <w:szCs w:val="32"/>
          <w:shd w:val="clear" w:fill="FFFFFF"/>
        </w:rPr>
        <w:t>我局政府信息公开工作再上台阶</w:t>
      </w:r>
      <w:r>
        <w:rPr>
          <w:rFonts w:hint="eastAsia" w:ascii="方正仿宋_GBK" w:hAnsi="方正仿宋_GBK" w:eastAsia="方正仿宋_GBK" w:cs="方正仿宋_GBK"/>
          <w:i w:val="0"/>
          <w:iCs w:val="0"/>
          <w:caps w:val="0"/>
          <w:color w:val="333333"/>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pPr>
      <w:r>
        <w:rPr>
          <w:rFonts w:hint="eastAsia" w:ascii="方正黑体_GBK" w:hAnsi="方正黑体_GBK" w:eastAsia="方正黑体_GBK" w:cs="方正黑体_GBK"/>
          <w:i w:val="0"/>
          <w:iCs w:val="0"/>
          <w:caps w:val="0"/>
          <w:color w:val="333333"/>
          <w:spacing w:val="0"/>
          <w:sz w:val="32"/>
          <w:szCs w:val="32"/>
          <w:shd w:val="clear" w:fill="FFFFFF"/>
        </w:rPr>
        <w:t>六、其他需要报告的事项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eastAsia="方正仿宋_GBK"/>
          <w:lang w:eastAsia="zh-CN"/>
        </w:rPr>
      </w:pPr>
      <w:r>
        <w:rPr>
          <w:rFonts w:hint="eastAsia" w:ascii="方正仿宋_GBK" w:hAnsi="方正仿宋_GBK" w:eastAsia="方正仿宋_GBK" w:cs="方正仿宋_GBK"/>
          <w:i w:val="0"/>
          <w:iCs w:val="0"/>
          <w:caps w:val="0"/>
          <w:color w:val="333333"/>
          <w:spacing w:val="0"/>
          <w:sz w:val="32"/>
          <w:szCs w:val="32"/>
          <w:shd w:val="clear" w:fill="FFFFFF"/>
        </w:rPr>
        <w:t>无</w:t>
      </w:r>
      <w:r>
        <w:rPr>
          <w:rFonts w:hint="eastAsia" w:ascii="方正仿宋_GBK" w:hAnsi="方正仿宋_GBK" w:eastAsia="方正仿宋_GBK" w:cs="方正仿宋_GBK"/>
          <w:i w:val="0"/>
          <w:iCs w:val="0"/>
          <w:caps w:val="0"/>
          <w:color w:val="333333"/>
          <w:spacing w:val="0"/>
          <w:sz w:val="32"/>
          <w:szCs w:val="32"/>
          <w:shd w:val="clear" w:fill="FFFFFF"/>
          <w:lang w:eastAsia="zh-CN"/>
        </w:rPr>
        <w:t>。</w:t>
      </w:r>
    </w:p>
    <w:p>
      <w:pPr>
        <w:keepNext w:val="0"/>
        <w:keepLines w:val="0"/>
        <w:pageBreakBefore w:val="0"/>
        <w:kinsoku/>
        <w:wordWrap/>
        <w:overflowPunct/>
        <w:topLinePunct w:val="0"/>
        <w:autoSpaceDE/>
        <w:autoSpaceDN/>
        <w:bidi w:val="0"/>
        <w:adjustRightInd/>
        <w:snapToGrid/>
        <w:spacing w:line="576" w:lineRule="exact"/>
        <w:textAlignment w:val="auto"/>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7607BD"/>
    <w:multiLevelType w:val="singleLevel"/>
    <w:tmpl w:val="877607BD"/>
    <w:lvl w:ilvl="0" w:tentative="0">
      <w:start w:val="1"/>
      <w:numFmt w:val="chineseCounting"/>
      <w:suff w:val="nothing"/>
      <w:lvlText w:val="（%1）"/>
      <w:lvlJc w:val="left"/>
      <w:rPr>
        <w:rFonts w:hint="eastAsia"/>
      </w:rPr>
    </w:lvl>
  </w:abstractNum>
  <w:abstractNum w:abstractNumId="1">
    <w:nsid w:val="6F0B3E19"/>
    <w:multiLevelType w:val="singleLevel"/>
    <w:tmpl w:val="6F0B3E19"/>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xN2ZlNTk2ZGE5ZmUxMmIyZTlmN2JiNTM3MzVlYzAifQ=="/>
  </w:docVars>
  <w:rsids>
    <w:rsidRoot w:val="00000000"/>
    <w:rsid w:val="01535BBA"/>
    <w:rsid w:val="02AC212F"/>
    <w:rsid w:val="02AF769C"/>
    <w:rsid w:val="05411F71"/>
    <w:rsid w:val="06F46A5E"/>
    <w:rsid w:val="07027CB2"/>
    <w:rsid w:val="091B6D1A"/>
    <w:rsid w:val="0D6E60A1"/>
    <w:rsid w:val="0D98410F"/>
    <w:rsid w:val="100827DD"/>
    <w:rsid w:val="13C640FF"/>
    <w:rsid w:val="15CC09DD"/>
    <w:rsid w:val="17222C66"/>
    <w:rsid w:val="17285DD4"/>
    <w:rsid w:val="18697B91"/>
    <w:rsid w:val="187D363C"/>
    <w:rsid w:val="18DA6CE0"/>
    <w:rsid w:val="1D1105C2"/>
    <w:rsid w:val="1D3C3AC6"/>
    <w:rsid w:val="1DC064A5"/>
    <w:rsid w:val="1EB342A2"/>
    <w:rsid w:val="1F1840BF"/>
    <w:rsid w:val="1F9A2D26"/>
    <w:rsid w:val="1FB57B5F"/>
    <w:rsid w:val="205B24B5"/>
    <w:rsid w:val="20F75857"/>
    <w:rsid w:val="233B2849"/>
    <w:rsid w:val="23952182"/>
    <w:rsid w:val="23F01166"/>
    <w:rsid w:val="280F7590"/>
    <w:rsid w:val="2A753876"/>
    <w:rsid w:val="2AC1560A"/>
    <w:rsid w:val="2B7408CF"/>
    <w:rsid w:val="2B74267D"/>
    <w:rsid w:val="2D9A0AA6"/>
    <w:rsid w:val="2E474078"/>
    <w:rsid w:val="2EE87609"/>
    <w:rsid w:val="2FC02334"/>
    <w:rsid w:val="30000983"/>
    <w:rsid w:val="33FE167D"/>
    <w:rsid w:val="346F60D7"/>
    <w:rsid w:val="353D7F83"/>
    <w:rsid w:val="3C7624CD"/>
    <w:rsid w:val="3CA8662A"/>
    <w:rsid w:val="3E3A1504"/>
    <w:rsid w:val="403265C1"/>
    <w:rsid w:val="44A51020"/>
    <w:rsid w:val="451231DA"/>
    <w:rsid w:val="4682495B"/>
    <w:rsid w:val="47B71E17"/>
    <w:rsid w:val="484E4529"/>
    <w:rsid w:val="48A81E2F"/>
    <w:rsid w:val="49747FC0"/>
    <w:rsid w:val="4B3C4B0D"/>
    <w:rsid w:val="4C286E40"/>
    <w:rsid w:val="4D447CA9"/>
    <w:rsid w:val="4DB03590"/>
    <w:rsid w:val="4EA50C1B"/>
    <w:rsid w:val="4FBD750E"/>
    <w:rsid w:val="52A631B4"/>
    <w:rsid w:val="538B4884"/>
    <w:rsid w:val="547B03D3"/>
    <w:rsid w:val="57F86260"/>
    <w:rsid w:val="580746F5"/>
    <w:rsid w:val="582F0373"/>
    <w:rsid w:val="583D3C73"/>
    <w:rsid w:val="58A81A34"/>
    <w:rsid w:val="58A9755A"/>
    <w:rsid w:val="58CF6576"/>
    <w:rsid w:val="59575634"/>
    <w:rsid w:val="5A731BCE"/>
    <w:rsid w:val="5A80330A"/>
    <w:rsid w:val="5A9164F8"/>
    <w:rsid w:val="5B2F01EA"/>
    <w:rsid w:val="5F2D4A41"/>
    <w:rsid w:val="5FEB1BD5"/>
    <w:rsid w:val="601B0D3D"/>
    <w:rsid w:val="61BF1B9C"/>
    <w:rsid w:val="63BC3221"/>
    <w:rsid w:val="69054339"/>
    <w:rsid w:val="6A753740"/>
    <w:rsid w:val="6B6A2B79"/>
    <w:rsid w:val="6C2422D2"/>
    <w:rsid w:val="6D384CD5"/>
    <w:rsid w:val="6EF15529"/>
    <w:rsid w:val="6FBC771B"/>
    <w:rsid w:val="70B2124A"/>
    <w:rsid w:val="72161365"/>
    <w:rsid w:val="767945B8"/>
    <w:rsid w:val="77364257"/>
    <w:rsid w:val="789B6A68"/>
    <w:rsid w:val="79072972"/>
    <w:rsid w:val="7B787A4F"/>
    <w:rsid w:val="7C136915"/>
    <w:rsid w:val="7CCA6519"/>
    <w:rsid w:val="7D225061"/>
    <w:rsid w:val="7F833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2024-01-03T03:39:00Z</dcterms:created>
  <dc:creator>Administrator</dc:creator>
  <cp:lastModifiedBy>WPS_1698306767</cp:lastModifiedBy>
  <dcterms:modified xsi:type="dcterms:W3CDTF">2024-01-30T01:04:20Z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5B3D1776CB5B4601A1FDDC1168EA79AA_12</vt:lpwstr>
  </property>
</Properties>
</file>